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D8" w:rsidRDefault="00285CD8" w:rsidP="00285CD8">
      <w:pPr>
        <w:spacing w:line="60" w:lineRule="exact"/>
        <w:rPr>
          <w:color w:val="010000"/>
          <w:sz w:val="6"/>
        </w:rPr>
        <w:sectPr w:rsidR="00285CD8" w:rsidSect="00285CD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742" w:right="1200" w:bottom="1898" w:left="1200" w:header="576" w:footer="1030" w:gutter="0"/>
          <w:pgNumType w:start="1"/>
          <w:cols w:space="720"/>
          <w:noEndnote/>
          <w:titlePg/>
          <w:docGrid w:linePitch="360"/>
        </w:sectPr>
      </w:pPr>
      <w:r>
        <w:rPr>
          <w:rStyle w:val="CommentReference"/>
        </w:rPr>
        <w:commentReference w:id="0"/>
      </w:r>
    </w:p>
    <w:p w:rsidR="001F6FBC" w:rsidRDefault="001F6FBC" w:rsidP="001F6FB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Комитет по ликвидации дискриминации</w:t>
      </w:r>
      <w:r w:rsidRPr="001F6FBC">
        <w:br/>
      </w:r>
      <w:r>
        <w:t>в отношении женщин</w:t>
      </w:r>
    </w:p>
    <w:p w:rsidR="001F6FBC" w:rsidRPr="001F6FBC" w:rsidRDefault="001F6FBC" w:rsidP="001F6FBC">
      <w:pPr>
        <w:pStyle w:val="SingleTxt"/>
        <w:spacing w:after="0" w:line="120" w:lineRule="exact"/>
        <w:rPr>
          <w:sz w:val="10"/>
        </w:rPr>
      </w:pPr>
    </w:p>
    <w:p w:rsidR="001F6FBC" w:rsidRPr="001F6FBC" w:rsidRDefault="001F6FBC" w:rsidP="001F6FBC">
      <w:pPr>
        <w:pStyle w:val="SingleTxt"/>
        <w:spacing w:after="0" w:line="120" w:lineRule="exact"/>
        <w:rPr>
          <w:sz w:val="10"/>
        </w:rPr>
      </w:pPr>
    </w:p>
    <w:p w:rsidR="001F6FBC" w:rsidRPr="001F6FBC" w:rsidRDefault="001F6FBC" w:rsidP="001F6FBC">
      <w:pPr>
        <w:pStyle w:val="SingleTxt"/>
        <w:spacing w:after="0" w:line="120" w:lineRule="exact"/>
        <w:rPr>
          <w:sz w:val="10"/>
        </w:rPr>
      </w:pPr>
    </w:p>
    <w:p w:rsidR="001F6FBC" w:rsidRDefault="001F6FBC" w:rsidP="001F6F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Рассмотрение докладов, представляемых государствами-участниками в соответствии</w:t>
      </w:r>
      <w:r w:rsidRPr="001F6FBC">
        <w:br/>
      </w:r>
      <w:r>
        <w:t>со статьей</w:t>
      </w:r>
      <w:r>
        <w:rPr>
          <w:lang w:val="en-US"/>
        </w:rPr>
        <w:t> </w:t>
      </w:r>
      <w:r>
        <w:t>18 Конвенции</w:t>
      </w:r>
    </w:p>
    <w:p w:rsidR="001F6FBC" w:rsidRPr="001F6FBC" w:rsidRDefault="001F6FBC" w:rsidP="001F6FBC">
      <w:pPr>
        <w:pStyle w:val="SingleTxt"/>
        <w:spacing w:after="0" w:line="120" w:lineRule="exact"/>
        <w:rPr>
          <w:sz w:val="10"/>
        </w:rPr>
      </w:pPr>
    </w:p>
    <w:p w:rsidR="001F6FBC" w:rsidRPr="001F6FBC" w:rsidRDefault="001F6FBC" w:rsidP="001F6FBC">
      <w:pPr>
        <w:pStyle w:val="SingleTxt"/>
        <w:spacing w:after="0" w:line="120" w:lineRule="exact"/>
        <w:rPr>
          <w:sz w:val="10"/>
        </w:rPr>
      </w:pPr>
    </w:p>
    <w:p w:rsidR="001F6FBC" w:rsidRDefault="001F6FBC" w:rsidP="001F6F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Седьмой и восьмой периодические доклады государств-участников, подлежащие представлению в 2014 году</w:t>
      </w:r>
    </w:p>
    <w:p w:rsidR="001F6FBC" w:rsidRPr="001F6FBC" w:rsidRDefault="001F6FBC" w:rsidP="001F6FBC">
      <w:pPr>
        <w:pStyle w:val="SingleTxt"/>
        <w:spacing w:after="0" w:line="120" w:lineRule="exact"/>
        <w:rPr>
          <w:sz w:val="10"/>
        </w:rPr>
      </w:pPr>
    </w:p>
    <w:p w:rsidR="001F6FBC" w:rsidRPr="001F6FBC" w:rsidRDefault="001F6FBC" w:rsidP="001F6FBC">
      <w:pPr>
        <w:pStyle w:val="SingleTxt"/>
        <w:spacing w:after="0" w:line="120" w:lineRule="exact"/>
        <w:rPr>
          <w:sz w:val="10"/>
        </w:rPr>
      </w:pPr>
    </w:p>
    <w:p w:rsidR="001F6FBC" w:rsidRDefault="001F6FBC" w:rsidP="001F6F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Объединенная Республика Танзания</w:t>
      </w:r>
      <w:r w:rsidRPr="001F6FBC">
        <w:rPr>
          <w:rStyle w:val="FootnoteReference"/>
          <w:b w:val="0"/>
          <w:sz w:val="20"/>
        </w:rPr>
        <w:footnoteReference w:customMarkFollows="1" w:id="1"/>
        <w:t>*</w:t>
      </w:r>
    </w:p>
    <w:p w:rsidR="001F6FBC" w:rsidRPr="001F6FBC" w:rsidRDefault="001F6FBC" w:rsidP="001F6FBC">
      <w:pPr>
        <w:pStyle w:val="SingleTxt"/>
        <w:spacing w:after="0" w:line="120" w:lineRule="exact"/>
        <w:rPr>
          <w:sz w:val="10"/>
        </w:rPr>
      </w:pPr>
    </w:p>
    <w:p w:rsidR="001F6FBC" w:rsidRPr="001F6FBC" w:rsidRDefault="001F6FBC" w:rsidP="001F6FBC">
      <w:pPr>
        <w:pStyle w:val="SingleTxt"/>
        <w:spacing w:after="0" w:line="120" w:lineRule="exact"/>
        <w:rPr>
          <w:sz w:val="10"/>
        </w:rPr>
      </w:pPr>
    </w:p>
    <w:p w:rsidR="001F6FBC" w:rsidRDefault="001F6FBC" w:rsidP="001F6FBC">
      <w:pPr>
        <w:pStyle w:val="SingleTxt"/>
        <w:jc w:val="right"/>
      </w:pPr>
      <w:r>
        <w:t>10 ноября 2014 года</w:t>
      </w:r>
    </w:p>
    <w:p w:rsidR="001F6FBC" w:rsidRDefault="001F6FBC" w:rsidP="001F6FBC">
      <w:pPr>
        <w:pStyle w:val="SingleTxt"/>
      </w:pPr>
    </w:p>
    <w:p w:rsidR="001F6FBC" w:rsidRDefault="001F6FBC" w:rsidP="001F6FBC">
      <w:pPr>
        <w:pStyle w:val="SingleTxt"/>
      </w:pPr>
    </w:p>
    <w:p w:rsidR="001F6FBC" w:rsidRPr="00570DEC" w:rsidRDefault="001F6FBC" w:rsidP="001F6F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bookmarkStart w:id="1" w:name="_Toc417395200"/>
      <w:bookmarkStart w:id="2" w:name="_Toc417395432"/>
      <w:bookmarkStart w:id="3" w:name="_Toc417398627"/>
      <w:r w:rsidRPr="00570DEC">
        <w:t>Содержание</w:t>
      </w:r>
      <w:bookmarkEnd w:id="1"/>
      <w:bookmarkEnd w:id="2"/>
      <w:bookmarkEnd w:id="3"/>
    </w:p>
    <w:p w:rsidR="001F6FBC" w:rsidRPr="00F433E5" w:rsidRDefault="001F6FBC" w:rsidP="001F6FBC">
      <w:pPr>
        <w:tabs>
          <w:tab w:val="left" w:pos="1060"/>
          <w:tab w:val="left" w:pos="8375"/>
          <w:tab w:val="left" w:pos="9369"/>
        </w:tabs>
        <w:spacing w:after="120" w:line="240" w:lineRule="auto"/>
        <w:jc w:val="right"/>
        <w:rPr>
          <w:i/>
          <w:color w:val="000000"/>
          <w:spacing w:val="0"/>
          <w:w w:val="100"/>
          <w:sz w:val="16"/>
          <w:szCs w:val="16"/>
        </w:rPr>
      </w:pPr>
      <w:r w:rsidRPr="00570DEC">
        <w:rPr>
          <w:i/>
          <w:color w:val="000000"/>
          <w:spacing w:val="0"/>
          <w:w w:val="100"/>
          <w:sz w:val="14"/>
        </w:rPr>
        <w:tab/>
      </w:r>
      <w:r w:rsidRPr="00570DEC">
        <w:rPr>
          <w:i/>
          <w:color w:val="000000"/>
          <w:spacing w:val="0"/>
          <w:w w:val="100"/>
          <w:sz w:val="14"/>
        </w:rPr>
        <w:tab/>
      </w:r>
      <w:r w:rsidRPr="00570DEC">
        <w:rPr>
          <w:i/>
          <w:color w:val="000000"/>
          <w:spacing w:val="0"/>
          <w:w w:val="100"/>
          <w:sz w:val="14"/>
        </w:rPr>
        <w:tab/>
      </w:r>
      <w:r w:rsidRPr="00F433E5">
        <w:rPr>
          <w:i/>
          <w:color w:val="000000"/>
          <w:spacing w:val="0"/>
          <w:w w:val="100"/>
          <w:sz w:val="16"/>
          <w:szCs w:val="16"/>
        </w:rPr>
        <w:t>Стр.</w:t>
      </w:r>
    </w:p>
    <w:p w:rsidR="001F6FBC" w:rsidRPr="00360D96" w:rsidRDefault="001F6FBC" w:rsidP="001F6FBC">
      <w:pPr>
        <w:pStyle w:val="TOC1"/>
        <w:tabs>
          <w:tab w:val="right" w:pos="993"/>
          <w:tab w:val="left" w:pos="1276"/>
          <w:tab w:val="left" w:pos="1843"/>
          <w:tab w:val="right" w:pos="9781"/>
        </w:tabs>
        <w:spacing w:after="100" w:line="240" w:lineRule="auto"/>
        <w:ind w:left="0" w:firstLine="0"/>
        <w:rPr>
          <w:noProof/>
          <w:sz w:val="20"/>
          <w:szCs w:val="20"/>
          <w:lang w:val="ru-RU" w:eastAsia="ru-RU"/>
        </w:rPr>
      </w:pPr>
      <w:r w:rsidRPr="00360D96">
        <w:rPr>
          <w:color w:val="000000"/>
          <w:sz w:val="20"/>
          <w:szCs w:val="20"/>
          <w:lang w:val="ru-RU"/>
        </w:rPr>
        <w:tab/>
      </w:r>
      <w:r w:rsidRPr="00360D96">
        <w:rPr>
          <w:color w:val="000000"/>
          <w:sz w:val="20"/>
          <w:szCs w:val="20"/>
          <w:lang w:val="ru-RU"/>
        </w:rPr>
        <w:tab/>
      </w:r>
      <w:r w:rsidRPr="00AD593A">
        <w:rPr>
          <w:rStyle w:val="Hyperlink"/>
          <w:noProof/>
          <w:sz w:val="20"/>
          <w:szCs w:val="20"/>
          <w:lang w:val="ru-RU"/>
        </w:rPr>
        <w:t>Сокращения</w:t>
      </w:r>
      <w:r w:rsidRPr="00AD593A">
        <w:rPr>
          <w:noProof/>
          <w:webHidden/>
          <w:sz w:val="20"/>
          <w:szCs w:val="20"/>
          <w:lang w:val="ru-RU"/>
        </w:rPr>
        <w:tab/>
      </w:r>
      <w:r w:rsidRPr="00360D96">
        <w:rPr>
          <w:noProof/>
          <w:webHidden/>
          <w:sz w:val="20"/>
          <w:szCs w:val="20"/>
          <w:lang w:val="ru-RU"/>
        </w:rPr>
        <w:tab/>
      </w:r>
      <w:r w:rsidRPr="00AD593A">
        <w:rPr>
          <w:noProof/>
          <w:webHidden/>
          <w:sz w:val="20"/>
          <w:szCs w:val="20"/>
          <w:lang w:val="ru-RU"/>
        </w:rPr>
        <w:t>3</w:t>
      </w:r>
    </w:p>
    <w:p w:rsidR="001F6FBC" w:rsidRPr="00360D96" w:rsidRDefault="001F6FBC" w:rsidP="001F6FBC">
      <w:pPr>
        <w:pStyle w:val="TOC1"/>
        <w:tabs>
          <w:tab w:val="right" w:pos="993"/>
          <w:tab w:val="left" w:pos="1276"/>
          <w:tab w:val="left" w:pos="1843"/>
          <w:tab w:val="right" w:pos="9781"/>
        </w:tabs>
        <w:spacing w:after="100" w:line="240" w:lineRule="auto"/>
        <w:ind w:left="1276" w:hanging="1276"/>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r w:rsidRPr="00AD593A">
        <w:rPr>
          <w:rStyle w:val="Hyperlink"/>
          <w:noProof/>
          <w:sz w:val="20"/>
          <w:szCs w:val="20"/>
          <w:lang w:val="ru-RU"/>
        </w:rPr>
        <w:t xml:space="preserve">Часть первая </w:t>
      </w:r>
      <w:r w:rsidRPr="00AD593A">
        <w:rPr>
          <w:rStyle w:val="Hyperlink"/>
          <w:noProof/>
          <w:sz w:val="20"/>
          <w:szCs w:val="20"/>
          <w:lang w:val="ru-RU"/>
        </w:rPr>
        <w:br/>
        <w:t>Общие справочные материалы и методика</w:t>
      </w:r>
      <w:r w:rsidRPr="00AD593A">
        <w:rPr>
          <w:noProof/>
          <w:webHidden/>
          <w:sz w:val="20"/>
          <w:szCs w:val="20"/>
          <w:lang w:val="ru-RU"/>
        </w:rPr>
        <w:tab/>
      </w:r>
      <w:r w:rsidRPr="00360D96">
        <w:rPr>
          <w:noProof/>
          <w:webHidden/>
          <w:sz w:val="20"/>
          <w:szCs w:val="20"/>
          <w:lang w:val="ru-RU"/>
        </w:rPr>
        <w:tab/>
      </w:r>
      <w:r w:rsidRPr="00AD593A">
        <w:rPr>
          <w:noProof/>
          <w:webHidden/>
          <w:sz w:val="20"/>
          <w:szCs w:val="20"/>
          <w:lang w:val="ru-RU"/>
        </w:rPr>
        <w:t>7</w:t>
      </w:r>
    </w:p>
    <w:p w:rsidR="001F6FBC" w:rsidRPr="00360D96" w:rsidRDefault="001F6FBC" w:rsidP="001F6FBC">
      <w:pPr>
        <w:pStyle w:val="TOC1"/>
        <w:tabs>
          <w:tab w:val="right" w:pos="993"/>
          <w:tab w:val="left" w:pos="1276"/>
          <w:tab w:val="left" w:pos="1843"/>
          <w:tab w:val="right" w:pos="9781"/>
        </w:tabs>
        <w:spacing w:after="100" w:line="240" w:lineRule="auto"/>
        <w:ind w:left="1276" w:hanging="1276"/>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r w:rsidRPr="00AD593A">
        <w:rPr>
          <w:rStyle w:val="Hyperlink"/>
          <w:noProof/>
          <w:sz w:val="20"/>
          <w:szCs w:val="20"/>
          <w:lang w:val="ru-RU"/>
        </w:rPr>
        <w:t xml:space="preserve">Часть вторая </w:t>
      </w:r>
      <w:r w:rsidRPr="00AD593A">
        <w:rPr>
          <w:rStyle w:val="Hyperlink"/>
          <w:noProof/>
          <w:sz w:val="20"/>
          <w:szCs w:val="20"/>
          <w:lang w:val="ru-RU"/>
        </w:rPr>
        <w:br/>
        <w:t>Документ по Конвенции</w:t>
      </w:r>
      <w:r w:rsidRPr="00AD593A">
        <w:rPr>
          <w:noProof/>
          <w:webHidden/>
          <w:sz w:val="20"/>
          <w:szCs w:val="20"/>
          <w:lang w:val="ru-RU"/>
        </w:rPr>
        <w:tab/>
      </w:r>
      <w:r w:rsidRPr="00360D96">
        <w:rPr>
          <w:noProof/>
          <w:webHidden/>
          <w:sz w:val="20"/>
          <w:szCs w:val="20"/>
          <w:lang w:val="ru-RU"/>
        </w:rPr>
        <w:tab/>
      </w:r>
      <w:r w:rsidRPr="00AD593A">
        <w:rPr>
          <w:noProof/>
          <w:webHidden/>
          <w:sz w:val="20"/>
          <w:szCs w:val="20"/>
          <w:lang w:val="ru-RU"/>
        </w:rPr>
        <w:t>8</w:t>
      </w:r>
    </w:p>
    <w:p w:rsidR="001F6FBC" w:rsidRPr="00360D96" w:rsidRDefault="001F6FBC" w:rsidP="001F6FBC">
      <w:pPr>
        <w:pStyle w:val="TOC1"/>
        <w:tabs>
          <w:tab w:val="right" w:pos="993"/>
          <w:tab w:val="left" w:pos="1276"/>
          <w:tab w:val="left" w:pos="1843"/>
          <w:tab w:val="right" w:pos="9781"/>
        </w:tabs>
        <w:spacing w:after="100" w:line="240" w:lineRule="auto"/>
        <w:ind w:left="0" w:firstLine="0"/>
        <w:rPr>
          <w:noProof/>
          <w:sz w:val="20"/>
          <w:szCs w:val="20"/>
          <w:lang w:val="ru-RU" w:eastAsia="ru-RU"/>
        </w:rPr>
      </w:pPr>
      <w:r w:rsidRPr="00360D96">
        <w:rPr>
          <w:rStyle w:val="Hyperlink"/>
          <w:noProof/>
          <w:sz w:val="20"/>
          <w:szCs w:val="20"/>
          <w:lang w:val="ru-RU"/>
        </w:rPr>
        <w:tab/>
      </w:r>
      <w:r w:rsidRPr="00AD593A">
        <w:rPr>
          <w:rStyle w:val="Hyperlink"/>
          <w:noProof/>
          <w:sz w:val="20"/>
          <w:szCs w:val="20"/>
        </w:rPr>
        <w:t>I</w:t>
      </w:r>
      <w:r w:rsidRPr="00AD593A">
        <w:rPr>
          <w:rStyle w:val="Hyperlink"/>
          <w:noProof/>
          <w:sz w:val="20"/>
          <w:szCs w:val="20"/>
          <w:lang w:val="ru-RU"/>
        </w:rPr>
        <w:t>.</w:t>
      </w:r>
      <w:r w:rsidRPr="00360D96">
        <w:rPr>
          <w:noProof/>
          <w:sz w:val="20"/>
          <w:szCs w:val="20"/>
          <w:lang w:val="ru-RU" w:eastAsia="ru-RU"/>
        </w:rPr>
        <w:tab/>
      </w:r>
      <w:r w:rsidRPr="00AD593A">
        <w:rPr>
          <w:rStyle w:val="Hyperlink"/>
          <w:noProof/>
          <w:sz w:val="20"/>
          <w:szCs w:val="20"/>
          <w:lang w:val="ru-RU"/>
        </w:rPr>
        <w:t>Общие меры по осуществлению Конвенции</w:t>
      </w:r>
      <w:r w:rsidRPr="00AD593A">
        <w:rPr>
          <w:noProof/>
          <w:webHidden/>
          <w:sz w:val="20"/>
          <w:szCs w:val="20"/>
          <w:lang w:val="ru-RU"/>
        </w:rPr>
        <w:tab/>
      </w:r>
      <w:r>
        <w:rPr>
          <w:noProof/>
          <w:webHidden/>
          <w:sz w:val="20"/>
          <w:szCs w:val="20"/>
          <w:lang w:val="ru-RU"/>
        </w:rPr>
        <w:tab/>
      </w:r>
      <w:r w:rsidRPr="00AD593A">
        <w:rPr>
          <w:noProof/>
          <w:webHidden/>
          <w:sz w:val="20"/>
          <w:szCs w:val="20"/>
          <w:lang w:val="ru-RU"/>
        </w:rPr>
        <w:t>8</w:t>
      </w:r>
    </w:p>
    <w:p w:rsidR="001F6FBC" w:rsidRPr="00360D96" w:rsidRDefault="001F6FBC" w:rsidP="001F6FBC">
      <w:pPr>
        <w:pStyle w:val="TOC2"/>
        <w:spacing w:after="100"/>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r w:rsidRPr="00AD593A">
        <w:rPr>
          <w:rStyle w:val="Hyperlink"/>
          <w:noProof/>
          <w:sz w:val="20"/>
          <w:szCs w:val="20"/>
          <w:lang w:val="ru-RU"/>
        </w:rPr>
        <w:t>1.1.0</w:t>
      </w:r>
      <w:r w:rsidRPr="00360D96">
        <w:rPr>
          <w:noProof/>
          <w:sz w:val="20"/>
          <w:szCs w:val="20"/>
          <w:lang w:val="ru-RU" w:eastAsia="ru-RU"/>
        </w:rPr>
        <w:tab/>
      </w:r>
      <w:r w:rsidRPr="00AD593A">
        <w:rPr>
          <w:rStyle w:val="Hyperlink"/>
          <w:noProof/>
          <w:sz w:val="20"/>
          <w:szCs w:val="20"/>
          <w:lang w:val="ru-RU"/>
        </w:rPr>
        <w:t>Определение дискриминации в отношении женщин</w:t>
      </w:r>
      <w:r w:rsidRPr="00AD593A">
        <w:rPr>
          <w:noProof/>
          <w:webHidden/>
          <w:sz w:val="20"/>
          <w:szCs w:val="20"/>
          <w:lang w:val="ru-RU"/>
        </w:rPr>
        <w:tab/>
      </w:r>
      <w:r>
        <w:rPr>
          <w:noProof/>
          <w:webHidden/>
          <w:sz w:val="20"/>
          <w:szCs w:val="20"/>
          <w:lang w:val="ru-RU"/>
        </w:rPr>
        <w:tab/>
      </w:r>
      <w:r w:rsidRPr="00AD593A">
        <w:rPr>
          <w:noProof/>
          <w:webHidden/>
          <w:sz w:val="20"/>
          <w:szCs w:val="20"/>
          <w:lang w:val="ru-RU"/>
        </w:rPr>
        <w:t>8</w:t>
      </w:r>
    </w:p>
    <w:p w:rsidR="001F6FBC" w:rsidRPr="00AD593A" w:rsidRDefault="001F6FBC" w:rsidP="001F6FBC">
      <w:pPr>
        <w:pStyle w:val="TOC2"/>
        <w:spacing w:after="100"/>
        <w:rPr>
          <w:noProof/>
          <w:sz w:val="20"/>
          <w:szCs w:val="20"/>
          <w:lang w:val="en-US" w:eastAsia="ru-RU"/>
        </w:rPr>
      </w:pPr>
      <w:r w:rsidRPr="00360D96">
        <w:rPr>
          <w:rStyle w:val="Hyperlink"/>
          <w:noProof/>
          <w:sz w:val="20"/>
          <w:szCs w:val="20"/>
          <w:lang w:val="ru-RU"/>
        </w:rPr>
        <w:tab/>
      </w:r>
      <w:r w:rsidRPr="00360D96">
        <w:rPr>
          <w:rStyle w:val="Hyperlink"/>
          <w:noProof/>
          <w:sz w:val="20"/>
          <w:szCs w:val="20"/>
          <w:lang w:val="ru-RU"/>
        </w:rPr>
        <w:tab/>
      </w:r>
      <w:r w:rsidRPr="00AD593A">
        <w:rPr>
          <w:rStyle w:val="Hyperlink"/>
          <w:noProof/>
          <w:sz w:val="20"/>
          <w:szCs w:val="20"/>
        </w:rPr>
        <w:t>1.1.1</w:t>
      </w:r>
      <w:r w:rsidRPr="00360D96">
        <w:rPr>
          <w:noProof/>
          <w:sz w:val="20"/>
          <w:szCs w:val="20"/>
          <w:lang w:val="ru-RU" w:eastAsia="ru-RU"/>
        </w:rPr>
        <w:tab/>
      </w:r>
      <w:r w:rsidRPr="00AD593A">
        <w:rPr>
          <w:rStyle w:val="Hyperlink"/>
          <w:noProof/>
          <w:sz w:val="20"/>
          <w:szCs w:val="20"/>
        </w:rPr>
        <w:t>Дискриминационные законы</w:t>
      </w:r>
      <w:r w:rsidRPr="00360D96">
        <w:rPr>
          <w:noProof/>
          <w:webHidden/>
          <w:sz w:val="20"/>
          <w:szCs w:val="20"/>
        </w:rPr>
        <w:tab/>
      </w:r>
      <w:r>
        <w:rPr>
          <w:noProof/>
          <w:webHidden/>
          <w:sz w:val="20"/>
          <w:szCs w:val="20"/>
          <w:lang w:val="ru-RU"/>
        </w:rPr>
        <w:tab/>
      </w:r>
      <w:r w:rsidR="00AD593A">
        <w:rPr>
          <w:noProof/>
          <w:webHidden/>
          <w:sz w:val="20"/>
          <w:szCs w:val="20"/>
          <w:lang w:val="en-US"/>
        </w:rPr>
        <w:t>10</w:t>
      </w:r>
    </w:p>
    <w:p w:rsidR="001F6FBC" w:rsidRPr="00360D96" w:rsidRDefault="001F6FBC" w:rsidP="001F6FBC">
      <w:pPr>
        <w:pStyle w:val="TOC2"/>
        <w:spacing w:after="100"/>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hyperlink w:anchor="_Toc417398634" w:history="1">
        <w:r w:rsidRPr="00360D96">
          <w:rPr>
            <w:rStyle w:val="Hyperlink"/>
            <w:noProof/>
            <w:sz w:val="20"/>
            <w:szCs w:val="20"/>
          </w:rPr>
          <w:t>1.1.2</w:t>
        </w:r>
        <w:r w:rsidRPr="00360D96">
          <w:rPr>
            <w:noProof/>
            <w:sz w:val="20"/>
            <w:szCs w:val="20"/>
            <w:lang w:val="ru-RU" w:eastAsia="ru-RU"/>
          </w:rPr>
          <w:tab/>
        </w:r>
        <w:r w:rsidRPr="00360D96">
          <w:rPr>
            <w:rStyle w:val="Hyperlink"/>
            <w:noProof/>
            <w:sz w:val="20"/>
            <w:szCs w:val="20"/>
          </w:rPr>
          <w:t>Распространение информации о Конвенции и Факультативном протоколе</w:t>
        </w:r>
        <w:r w:rsidRPr="00360D96">
          <w:rPr>
            <w:noProof/>
            <w:webHidden/>
            <w:sz w:val="20"/>
            <w:szCs w:val="20"/>
          </w:rPr>
          <w:tab/>
        </w:r>
        <w:r>
          <w:rPr>
            <w:noProof/>
            <w:webHidden/>
            <w:sz w:val="20"/>
            <w:szCs w:val="20"/>
            <w:lang w:val="ru-RU"/>
          </w:rPr>
          <w:tab/>
        </w:r>
        <w:r w:rsidRPr="00360D96">
          <w:rPr>
            <w:noProof/>
            <w:webHidden/>
            <w:sz w:val="20"/>
            <w:szCs w:val="20"/>
          </w:rPr>
          <w:fldChar w:fldCharType="begin"/>
        </w:r>
        <w:r w:rsidRPr="00360D96">
          <w:rPr>
            <w:noProof/>
            <w:webHidden/>
            <w:sz w:val="20"/>
            <w:szCs w:val="20"/>
          </w:rPr>
          <w:instrText xml:space="preserve"> PAGEREF _Toc417398634 \h </w:instrText>
        </w:r>
        <w:r w:rsidRPr="00360D96">
          <w:rPr>
            <w:noProof/>
            <w:sz w:val="20"/>
            <w:szCs w:val="20"/>
          </w:rPr>
        </w:r>
        <w:r w:rsidRPr="00360D96">
          <w:rPr>
            <w:noProof/>
            <w:webHidden/>
            <w:sz w:val="20"/>
            <w:szCs w:val="20"/>
          </w:rPr>
          <w:fldChar w:fldCharType="separate"/>
        </w:r>
        <w:r w:rsidR="00D60C66">
          <w:rPr>
            <w:noProof/>
            <w:webHidden/>
            <w:sz w:val="20"/>
            <w:szCs w:val="20"/>
          </w:rPr>
          <w:t>11</w:t>
        </w:r>
        <w:r w:rsidRPr="00360D96">
          <w:rPr>
            <w:noProof/>
            <w:webHidden/>
            <w:sz w:val="20"/>
            <w:szCs w:val="20"/>
          </w:rPr>
          <w:fldChar w:fldCharType="end"/>
        </w:r>
      </w:hyperlink>
    </w:p>
    <w:p w:rsidR="001F6FBC" w:rsidRPr="00EA499A" w:rsidRDefault="001F6FBC" w:rsidP="001F6FBC">
      <w:pPr>
        <w:pStyle w:val="TOC2"/>
        <w:spacing w:after="100"/>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hyperlink w:anchor="_Toc417398635" w:history="1">
        <w:r w:rsidRPr="00EA499A">
          <w:rPr>
            <w:rStyle w:val="Hyperlink"/>
            <w:noProof/>
            <w:sz w:val="20"/>
            <w:szCs w:val="20"/>
            <w:lang w:val="ru-RU"/>
          </w:rPr>
          <w:t>1.1.3</w:t>
        </w:r>
        <w:r w:rsidRPr="00360D96">
          <w:rPr>
            <w:noProof/>
            <w:sz w:val="20"/>
            <w:szCs w:val="20"/>
            <w:lang w:val="ru-RU" w:eastAsia="ru-RU"/>
          </w:rPr>
          <w:tab/>
        </w:r>
        <w:r w:rsidRPr="00EA499A">
          <w:rPr>
            <w:rStyle w:val="Hyperlink"/>
            <w:noProof/>
            <w:sz w:val="20"/>
            <w:szCs w:val="20"/>
            <w:lang w:val="ru-RU"/>
          </w:rPr>
          <w:t>Национальный механизм</w:t>
        </w:r>
        <w:r w:rsidRPr="00EA499A">
          <w:rPr>
            <w:noProof/>
            <w:webHidden/>
            <w:sz w:val="20"/>
            <w:szCs w:val="20"/>
            <w:lang w:val="ru-RU"/>
          </w:rPr>
          <w:tab/>
        </w:r>
        <w:r>
          <w:rPr>
            <w:noProof/>
            <w:webHidden/>
            <w:sz w:val="20"/>
            <w:szCs w:val="20"/>
            <w:lang w:val="ru-RU"/>
          </w:rPr>
          <w:tab/>
        </w:r>
        <w:r w:rsidRPr="00360D96">
          <w:rPr>
            <w:noProof/>
            <w:webHidden/>
            <w:sz w:val="20"/>
            <w:szCs w:val="20"/>
          </w:rPr>
          <w:fldChar w:fldCharType="begin"/>
        </w:r>
        <w:r w:rsidRPr="00EA499A">
          <w:rPr>
            <w:noProof/>
            <w:webHidden/>
            <w:sz w:val="20"/>
            <w:szCs w:val="20"/>
            <w:lang w:val="ru-RU"/>
          </w:rPr>
          <w:instrText xml:space="preserve"> </w:instrText>
        </w:r>
        <w:r w:rsidRPr="00360D96">
          <w:rPr>
            <w:noProof/>
            <w:webHidden/>
            <w:sz w:val="20"/>
            <w:szCs w:val="20"/>
          </w:rPr>
          <w:instrText>PAGEREF</w:instrText>
        </w:r>
        <w:r w:rsidRPr="00EA499A">
          <w:rPr>
            <w:noProof/>
            <w:webHidden/>
            <w:sz w:val="20"/>
            <w:szCs w:val="20"/>
            <w:lang w:val="ru-RU"/>
          </w:rPr>
          <w:instrText xml:space="preserve"> _</w:instrText>
        </w:r>
        <w:r w:rsidRPr="00360D96">
          <w:rPr>
            <w:noProof/>
            <w:webHidden/>
            <w:sz w:val="20"/>
            <w:szCs w:val="20"/>
          </w:rPr>
          <w:instrText>Toc</w:instrText>
        </w:r>
        <w:r w:rsidRPr="00EA499A">
          <w:rPr>
            <w:noProof/>
            <w:webHidden/>
            <w:sz w:val="20"/>
            <w:szCs w:val="20"/>
            <w:lang w:val="ru-RU"/>
          </w:rPr>
          <w:instrText>417398635 \</w:instrText>
        </w:r>
        <w:r w:rsidRPr="00360D96">
          <w:rPr>
            <w:noProof/>
            <w:webHidden/>
            <w:sz w:val="20"/>
            <w:szCs w:val="20"/>
          </w:rPr>
          <w:instrText>h</w:instrText>
        </w:r>
        <w:r w:rsidRPr="00EA499A">
          <w:rPr>
            <w:noProof/>
            <w:webHidden/>
            <w:sz w:val="20"/>
            <w:szCs w:val="20"/>
            <w:lang w:val="ru-RU"/>
          </w:rPr>
          <w:instrText xml:space="preserve"> </w:instrText>
        </w:r>
        <w:r w:rsidRPr="00360D96">
          <w:rPr>
            <w:noProof/>
            <w:sz w:val="20"/>
            <w:szCs w:val="20"/>
          </w:rPr>
        </w:r>
        <w:r w:rsidRPr="00360D96">
          <w:rPr>
            <w:noProof/>
            <w:webHidden/>
            <w:sz w:val="20"/>
            <w:szCs w:val="20"/>
          </w:rPr>
          <w:fldChar w:fldCharType="separate"/>
        </w:r>
        <w:r w:rsidR="00D60C66">
          <w:rPr>
            <w:noProof/>
            <w:webHidden/>
            <w:sz w:val="20"/>
            <w:szCs w:val="20"/>
          </w:rPr>
          <w:t>14</w:t>
        </w:r>
        <w:r w:rsidRPr="00360D96">
          <w:rPr>
            <w:noProof/>
            <w:webHidden/>
            <w:sz w:val="20"/>
            <w:szCs w:val="20"/>
          </w:rPr>
          <w:fldChar w:fldCharType="end"/>
        </w:r>
      </w:hyperlink>
    </w:p>
    <w:p w:rsidR="001F6FBC" w:rsidRPr="00360D96" w:rsidRDefault="001F6FBC" w:rsidP="001F6FBC">
      <w:pPr>
        <w:pStyle w:val="TOC2"/>
        <w:spacing w:after="100"/>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hyperlink w:anchor="_Toc417398636" w:history="1">
        <w:r w:rsidRPr="00EA499A">
          <w:rPr>
            <w:rStyle w:val="Hyperlink"/>
            <w:noProof/>
            <w:sz w:val="20"/>
            <w:szCs w:val="20"/>
            <w:lang w:val="ru-RU"/>
          </w:rPr>
          <w:t>1.1.4</w:t>
        </w:r>
        <w:r w:rsidRPr="00360D96">
          <w:rPr>
            <w:noProof/>
            <w:sz w:val="20"/>
            <w:szCs w:val="20"/>
            <w:lang w:val="ru-RU" w:eastAsia="ru-RU"/>
          </w:rPr>
          <w:tab/>
        </w:r>
        <w:r w:rsidRPr="00EA499A">
          <w:rPr>
            <w:rStyle w:val="Hyperlink"/>
            <w:noProof/>
            <w:sz w:val="20"/>
            <w:szCs w:val="20"/>
            <w:lang w:val="ru-RU"/>
          </w:rPr>
          <w:t>Негативные культурные традиции и калечащие операции на женских половых органах</w:t>
        </w:r>
        <w:r w:rsidRPr="00EA499A">
          <w:rPr>
            <w:noProof/>
            <w:webHidden/>
            <w:sz w:val="20"/>
            <w:szCs w:val="20"/>
            <w:lang w:val="ru-RU"/>
          </w:rPr>
          <w:tab/>
        </w:r>
        <w:r>
          <w:rPr>
            <w:noProof/>
            <w:webHidden/>
            <w:sz w:val="20"/>
            <w:szCs w:val="20"/>
            <w:lang w:val="ru-RU"/>
          </w:rPr>
          <w:tab/>
        </w:r>
        <w:r w:rsidRPr="00360D96">
          <w:rPr>
            <w:noProof/>
            <w:webHidden/>
            <w:sz w:val="20"/>
            <w:szCs w:val="20"/>
          </w:rPr>
          <w:fldChar w:fldCharType="begin"/>
        </w:r>
        <w:r w:rsidRPr="00EA499A">
          <w:rPr>
            <w:noProof/>
            <w:webHidden/>
            <w:sz w:val="20"/>
            <w:szCs w:val="20"/>
            <w:lang w:val="ru-RU"/>
          </w:rPr>
          <w:instrText xml:space="preserve"> </w:instrText>
        </w:r>
        <w:r w:rsidRPr="00360D96">
          <w:rPr>
            <w:noProof/>
            <w:webHidden/>
            <w:sz w:val="20"/>
            <w:szCs w:val="20"/>
          </w:rPr>
          <w:instrText>PAGEREF</w:instrText>
        </w:r>
        <w:r w:rsidRPr="00EA499A">
          <w:rPr>
            <w:noProof/>
            <w:webHidden/>
            <w:sz w:val="20"/>
            <w:szCs w:val="20"/>
            <w:lang w:val="ru-RU"/>
          </w:rPr>
          <w:instrText xml:space="preserve"> _</w:instrText>
        </w:r>
        <w:r w:rsidRPr="00360D96">
          <w:rPr>
            <w:noProof/>
            <w:webHidden/>
            <w:sz w:val="20"/>
            <w:szCs w:val="20"/>
          </w:rPr>
          <w:instrText>Toc</w:instrText>
        </w:r>
        <w:r w:rsidRPr="00EA499A">
          <w:rPr>
            <w:noProof/>
            <w:webHidden/>
            <w:sz w:val="20"/>
            <w:szCs w:val="20"/>
            <w:lang w:val="ru-RU"/>
          </w:rPr>
          <w:instrText>417398636 \</w:instrText>
        </w:r>
        <w:r w:rsidRPr="00360D96">
          <w:rPr>
            <w:noProof/>
            <w:webHidden/>
            <w:sz w:val="20"/>
            <w:szCs w:val="20"/>
          </w:rPr>
          <w:instrText>h</w:instrText>
        </w:r>
        <w:r w:rsidRPr="00EA499A">
          <w:rPr>
            <w:noProof/>
            <w:webHidden/>
            <w:sz w:val="20"/>
            <w:szCs w:val="20"/>
            <w:lang w:val="ru-RU"/>
          </w:rPr>
          <w:instrText xml:space="preserve"> </w:instrText>
        </w:r>
        <w:r w:rsidRPr="00360D96">
          <w:rPr>
            <w:noProof/>
            <w:sz w:val="20"/>
            <w:szCs w:val="20"/>
          </w:rPr>
        </w:r>
        <w:r w:rsidRPr="00360D96">
          <w:rPr>
            <w:noProof/>
            <w:webHidden/>
            <w:sz w:val="20"/>
            <w:szCs w:val="20"/>
          </w:rPr>
          <w:fldChar w:fldCharType="separate"/>
        </w:r>
        <w:r w:rsidR="00D60C66">
          <w:rPr>
            <w:noProof/>
            <w:webHidden/>
            <w:sz w:val="20"/>
            <w:szCs w:val="20"/>
          </w:rPr>
          <w:t>16</w:t>
        </w:r>
        <w:r w:rsidRPr="00360D96">
          <w:rPr>
            <w:noProof/>
            <w:webHidden/>
            <w:sz w:val="20"/>
            <w:szCs w:val="20"/>
          </w:rPr>
          <w:fldChar w:fldCharType="end"/>
        </w:r>
      </w:hyperlink>
    </w:p>
    <w:p w:rsidR="001F6FBC" w:rsidRPr="00360D96" w:rsidRDefault="001F6FBC" w:rsidP="001F6FBC">
      <w:pPr>
        <w:pStyle w:val="TOC2"/>
        <w:spacing w:after="100"/>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hyperlink w:anchor="_Toc417398637" w:history="1">
        <w:r w:rsidRPr="00EA499A">
          <w:rPr>
            <w:rStyle w:val="Hyperlink"/>
            <w:noProof/>
            <w:sz w:val="20"/>
            <w:szCs w:val="20"/>
            <w:lang w:val="ru-RU"/>
          </w:rPr>
          <w:t>1.1.5</w:t>
        </w:r>
        <w:r w:rsidRPr="00360D96">
          <w:rPr>
            <w:noProof/>
            <w:sz w:val="20"/>
            <w:szCs w:val="20"/>
            <w:lang w:val="ru-RU" w:eastAsia="ru-RU"/>
          </w:rPr>
          <w:tab/>
        </w:r>
        <w:r w:rsidRPr="00EA499A">
          <w:rPr>
            <w:rStyle w:val="Hyperlink"/>
            <w:noProof/>
            <w:sz w:val="20"/>
            <w:szCs w:val="20"/>
            <w:lang w:val="ru-RU"/>
          </w:rPr>
          <w:t>Насилие в отношении женщин</w:t>
        </w:r>
        <w:r w:rsidRPr="00EA499A">
          <w:rPr>
            <w:noProof/>
            <w:webHidden/>
            <w:sz w:val="20"/>
            <w:szCs w:val="20"/>
            <w:lang w:val="ru-RU"/>
          </w:rPr>
          <w:tab/>
        </w:r>
        <w:r>
          <w:rPr>
            <w:noProof/>
            <w:webHidden/>
            <w:sz w:val="20"/>
            <w:szCs w:val="20"/>
            <w:lang w:val="ru-RU"/>
          </w:rPr>
          <w:tab/>
        </w:r>
      </w:hyperlink>
      <w:r w:rsidR="00EA499A" w:rsidRPr="00EA499A">
        <w:rPr>
          <w:rStyle w:val="Hyperlink"/>
          <w:noProof/>
          <w:sz w:val="20"/>
          <w:szCs w:val="20"/>
          <w:lang w:val="ru-RU"/>
        </w:rPr>
        <w:t>20</w:t>
      </w:r>
    </w:p>
    <w:p w:rsidR="001F6FBC" w:rsidRPr="00360D96" w:rsidRDefault="001F6FBC" w:rsidP="001F6FBC">
      <w:pPr>
        <w:pStyle w:val="TOC2"/>
        <w:spacing w:after="100"/>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hyperlink w:anchor="_Toc417398638" w:history="1">
        <w:r w:rsidRPr="00EA499A">
          <w:rPr>
            <w:rStyle w:val="Hyperlink"/>
            <w:noProof/>
            <w:sz w:val="20"/>
            <w:szCs w:val="20"/>
            <w:lang w:val="ru-RU"/>
          </w:rPr>
          <w:t>1.1.6</w:t>
        </w:r>
        <w:r w:rsidRPr="00360D96">
          <w:rPr>
            <w:noProof/>
            <w:sz w:val="20"/>
            <w:szCs w:val="20"/>
            <w:lang w:val="ru-RU" w:eastAsia="ru-RU"/>
          </w:rPr>
          <w:tab/>
        </w:r>
        <w:r w:rsidRPr="00EA499A">
          <w:rPr>
            <w:rStyle w:val="Hyperlink"/>
            <w:noProof/>
            <w:sz w:val="20"/>
            <w:szCs w:val="20"/>
            <w:lang w:val="ru-RU"/>
          </w:rPr>
          <w:t>Торговля людьми и эксплуатация проституции</w:t>
        </w:r>
        <w:r w:rsidRPr="00EA499A">
          <w:rPr>
            <w:noProof/>
            <w:webHidden/>
            <w:sz w:val="20"/>
            <w:szCs w:val="20"/>
            <w:lang w:val="ru-RU"/>
          </w:rPr>
          <w:tab/>
        </w:r>
        <w:r>
          <w:rPr>
            <w:noProof/>
            <w:webHidden/>
            <w:sz w:val="20"/>
            <w:szCs w:val="20"/>
            <w:lang w:val="ru-RU"/>
          </w:rPr>
          <w:tab/>
        </w:r>
        <w:r w:rsidRPr="00360D96">
          <w:rPr>
            <w:noProof/>
            <w:webHidden/>
            <w:sz w:val="20"/>
            <w:szCs w:val="20"/>
          </w:rPr>
          <w:fldChar w:fldCharType="begin"/>
        </w:r>
        <w:r w:rsidRPr="00EA499A">
          <w:rPr>
            <w:noProof/>
            <w:webHidden/>
            <w:sz w:val="20"/>
            <w:szCs w:val="20"/>
            <w:lang w:val="ru-RU"/>
          </w:rPr>
          <w:instrText xml:space="preserve"> </w:instrText>
        </w:r>
        <w:r w:rsidRPr="00360D96">
          <w:rPr>
            <w:noProof/>
            <w:webHidden/>
            <w:sz w:val="20"/>
            <w:szCs w:val="20"/>
          </w:rPr>
          <w:instrText>PAGEREF</w:instrText>
        </w:r>
        <w:r w:rsidRPr="00EA499A">
          <w:rPr>
            <w:noProof/>
            <w:webHidden/>
            <w:sz w:val="20"/>
            <w:szCs w:val="20"/>
            <w:lang w:val="ru-RU"/>
          </w:rPr>
          <w:instrText xml:space="preserve"> _</w:instrText>
        </w:r>
        <w:r w:rsidRPr="00360D96">
          <w:rPr>
            <w:noProof/>
            <w:webHidden/>
            <w:sz w:val="20"/>
            <w:szCs w:val="20"/>
          </w:rPr>
          <w:instrText>Toc</w:instrText>
        </w:r>
        <w:r w:rsidRPr="00EA499A">
          <w:rPr>
            <w:noProof/>
            <w:webHidden/>
            <w:sz w:val="20"/>
            <w:szCs w:val="20"/>
            <w:lang w:val="ru-RU"/>
          </w:rPr>
          <w:instrText>417398638 \</w:instrText>
        </w:r>
        <w:r w:rsidRPr="00360D96">
          <w:rPr>
            <w:noProof/>
            <w:webHidden/>
            <w:sz w:val="20"/>
            <w:szCs w:val="20"/>
          </w:rPr>
          <w:instrText>h</w:instrText>
        </w:r>
        <w:r w:rsidRPr="00EA499A">
          <w:rPr>
            <w:noProof/>
            <w:webHidden/>
            <w:sz w:val="20"/>
            <w:szCs w:val="20"/>
            <w:lang w:val="ru-RU"/>
          </w:rPr>
          <w:instrText xml:space="preserve"> </w:instrText>
        </w:r>
        <w:r w:rsidRPr="00360D96">
          <w:rPr>
            <w:noProof/>
            <w:sz w:val="20"/>
            <w:szCs w:val="20"/>
          </w:rPr>
        </w:r>
        <w:r w:rsidRPr="00360D96">
          <w:rPr>
            <w:noProof/>
            <w:webHidden/>
            <w:sz w:val="20"/>
            <w:szCs w:val="20"/>
          </w:rPr>
          <w:fldChar w:fldCharType="separate"/>
        </w:r>
        <w:r w:rsidR="00D60C66">
          <w:rPr>
            <w:noProof/>
            <w:webHidden/>
            <w:sz w:val="20"/>
            <w:szCs w:val="20"/>
          </w:rPr>
          <w:t>24</w:t>
        </w:r>
        <w:r w:rsidRPr="00360D96">
          <w:rPr>
            <w:noProof/>
            <w:webHidden/>
            <w:sz w:val="20"/>
            <w:szCs w:val="20"/>
          </w:rPr>
          <w:fldChar w:fldCharType="end"/>
        </w:r>
      </w:hyperlink>
    </w:p>
    <w:p w:rsidR="001F6FBC" w:rsidRPr="00360D96" w:rsidRDefault="001F6FBC" w:rsidP="001F6FBC">
      <w:pPr>
        <w:pStyle w:val="TOC2"/>
        <w:spacing w:after="100"/>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hyperlink w:anchor="_Toc417398639" w:history="1">
        <w:r w:rsidRPr="00360D96">
          <w:rPr>
            <w:rStyle w:val="Hyperlink"/>
            <w:noProof/>
            <w:sz w:val="20"/>
            <w:szCs w:val="20"/>
          </w:rPr>
          <w:t>1.1.7</w:t>
        </w:r>
        <w:r w:rsidRPr="00360D96">
          <w:rPr>
            <w:noProof/>
            <w:sz w:val="20"/>
            <w:szCs w:val="20"/>
            <w:lang w:val="ru-RU" w:eastAsia="ru-RU"/>
          </w:rPr>
          <w:tab/>
        </w:r>
        <w:r w:rsidRPr="00360D96">
          <w:rPr>
            <w:rStyle w:val="Hyperlink"/>
            <w:noProof/>
            <w:sz w:val="20"/>
            <w:szCs w:val="20"/>
          </w:rPr>
          <w:t>Участие в политической и общественной жизни</w:t>
        </w:r>
        <w:r w:rsidRPr="00360D96">
          <w:rPr>
            <w:noProof/>
            <w:webHidden/>
            <w:sz w:val="20"/>
            <w:szCs w:val="20"/>
          </w:rPr>
          <w:tab/>
        </w:r>
        <w:r>
          <w:rPr>
            <w:noProof/>
            <w:webHidden/>
            <w:sz w:val="20"/>
            <w:szCs w:val="20"/>
            <w:lang w:val="ru-RU"/>
          </w:rPr>
          <w:tab/>
        </w:r>
        <w:r w:rsidRPr="00360D96">
          <w:rPr>
            <w:noProof/>
            <w:webHidden/>
            <w:sz w:val="20"/>
            <w:szCs w:val="20"/>
          </w:rPr>
          <w:fldChar w:fldCharType="begin"/>
        </w:r>
        <w:r w:rsidRPr="00360D96">
          <w:rPr>
            <w:noProof/>
            <w:webHidden/>
            <w:sz w:val="20"/>
            <w:szCs w:val="20"/>
          </w:rPr>
          <w:instrText xml:space="preserve"> PAGEREF _Toc417398639 \h </w:instrText>
        </w:r>
        <w:r w:rsidRPr="00360D96">
          <w:rPr>
            <w:noProof/>
            <w:sz w:val="20"/>
            <w:szCs w:val="20"/>
          </w:rPr>
        </w:r>
        <w:r w:rsidRPr="00360D96">
          <w:rPr>
            <w:noProof/>
            <w:webHidden/>
            <w:sz w:val="20"/>
            <w:szCs w:val="20"/>
          </w:rPr>
          <w:fldChar w:fldCharType="separate"/>
        </w:r>
        <w:r w:rsidR="00D60C66">
          <w:rPr>
            <w:noProof/>
            <w:webHidden/>
            <w:sz w:val="20"/>
            <w:szCs w:val="20"/>
          </w:rPr>
          <w:t>25</w:t>
        </w:r>
        <w:r w:rsidRPr="00360D96">
          <w:rPr>
            <w:noProof/>
            <w:webHidden/>
            <w:sz w:val="20"/>
            <w:szCs w:val="20"/>
          </w:rPr>
          <w:fldChar w:fldCharType="end"/>
        </w:r>
      </w:hyperlink>
    </w:p>
    <w:p w:rsidR="001F6FBC" w:rsidRPr="00360D96" w:rsidRDefault="001F6FBC" w:rsidP="001F6FBC">
      <w:pPr>
        <w:pStyle w:val="TOC2"/>
        <w:spacing w:after="100"/>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hyperlink w:anchor="_Toc417398640" w:history="1">
        <w:r w:rsidRPr="00EA499A">
          <w:rPr>
            <w:rStyle w:val="Hyperlink"/>
            <w:noProof/>
            <w:sz w:val="20"/>
            <w:szCs w:val="20"/>
            <w:lang w:val="ru-RU"/>
          </w:rPr>
          <w:t>1.1.8</w:t>
        </w:r>
        <w:r w:rsidRPr="00360D96">
          <w:rPr>
            <w:noProof/>
            <w:sz w:val="20"/>
            <w:szCs w:val="20"/>
            <w:lang w:val="ru-RU" w:eastAsia="ru-RU"/>
          </w:rPr>
          <w:tab/>
        </w:r>
        <w:r w:rsidRPr="00EA499A">
          <w:rPr>
            <w:rStyle w:val="Hyperlink"/>
            <w:noProof/>
            <w:sz w:val="20"/>
            <w:szCs w:val="20"/>
            <w:lang w:val="ru-RU"/>
          </w:rPr>
          <w:t>Гражданство</w:t>
        </w:r>
        <w:r w:rsidRPr="00EA499A">
          <w:rPr>
            <w:noProof/>
            <w:webHidden/>
            <w:sz w:val="20"/>
            <w:szCs w:val="20"/>
            <w:lang w:val="ru-RU"/>
          </w:rPr>
          <w:tab/>
        </w:r>
        <w:r>
          <w:rPr>
            <w:noProof/>
            <w:webHidden/>
            <w:sz w:val="20"/>
            <w:szCs w:val="20"/>
            <w:lang w:val="ru-RU"/>
          </w:rPr>
          <w:tab/>
        </w:r>
      </w:hyperlink>
      <w:r w:rsidR="00EA499A" w:rsidRPr="00EA499A">
        <w:rPr>
          <w:rStyle w:val="Hyperlink"/>
          <w:noProof/>
          <w:sz w:val="20"/>
          <w:szCs w:val="20"/>
          <w:lang w:val="ru-RU"/>
        </w:rPr>
        <w:t>30</w:t>
      </w:r>
    </w:p>
    <w:p w:rsidR="001F6FBC" w:rsidRPr="00360D96" w:rsidRDefault="001F6FBC" w:rsidP="001F6FBC">
      <w:pPr>
        <w:pStyle w:val="TOC2"/>
        <w:spacing w:after="100"/>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hyperlink w:anchor="_Toc417398641" w:history="1">
        <w:r w:rsidRPr="00EA499A">
          <w:rPr>
            <w:rStyle w:val="Hyperlink"/>
            <w:noProof/>
            <w:sz w:val="20"/>
            <w:szCs w:val="20"/>
            <w:lang w:val="ru-RU"/>
          </w:rPr>
          <w:t>1.1.9</w:t>
        </w:r>
        <w:r w:rsidRPr="00360D96">
          <w:rPr>
            <w:noProof/>
            <w:sz w:val="20"/>
            <w:szCs w:val="20"/>
            <w:lang w:val="ru-RU" w:eastAsia="ru-RU"/>
          </w:rPr>
          <w:tab/>
        </w:r>
        <w:r w:rsidRPr="00EA499A">
          <w:rPr>
            <w:rStyle w:val="Hyperlink"/>
            <w:noProof/>
            <w:sz w:val="20"/>
            <w:szCs w:val="20"/>
            <w:lang w:val="ru-RU"/>
          </w:rPr>
          <w:t>Образование</w:t>
        </w:r>
        <w:r w:rsidRPr="00EA499A">
          <w:rPr>
            <w:noProof/>
            <w:webHidden/>
            <w:sz w:val="20"/>
            <w:szCs w:val="20"/>
            <w:lang w:val="ru-RU"/>
          </w:rPr>
          <w:tab/>
        </w:r>
        <w:r>
          <w:rPr>
            <w:noProof/>
            <w:webHidden/>
            <w:sz w:val="20"/>
            <w:szCs w:val="20"/>
            <w:lang w:val="ru-RU"/>
          </w:rPr>
          <w:tab/>
        </w:r>
      </w:hyperlink>
      <w:r w:rsidR="00EA499A" w:rsidRPr="00EA499A">
        <w:rPr>
          <w:rStyle w:val="Hyperlink"/>
          <w:noProof/>
          <w:sz w:val="20"/>
          <w:szCs w:val="20"/>
          <w:lang w:val="ru-RU"/>
        </w:rPr>
        <w:t>30</w:t>
      </w:r>
    </w:p>
    <w:p w:rsidR="001F6FBC" w:rsidRPr="00360D96" w:rsidRDefault="001F6FBC" w:rsidP="001F6FBC">
      <w:pPr>
        <w:pStyle w:val="TOC2"/>
        <w:spacing w:after="100"/>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hyperlink w:anchor="_Toc417398642" w:history="1">
        <w:r w:rsidRPr="00EA499A">
          <w:rPr>
            <w:rStyle w:val="Hyperlink"/>
            <w:noProof/>
            <w:sz w:val="20"/>
            <w:szCs w:val="20"/>
            <w:lang w:val="ru-RU"/>
          </w:rPr>
          <w:t>1.2.0</w:t>
        </w:r>
        <w:r w:rsidRPr="00360D96">
          <w:rPr>
            <w:noProof/>
            <w:sz w:val="20"/>
            <w:szCs w:val="20"/>
            <w:lang w:val="ru-RU" w:eastAsia="ru-RU"/>
          </w:rPr>
          <w:tab/>
        </w:r>
        <w:r w:rsidRPr="00EA499A">
          <w:rPr>
            <w:rStyle w:val="Hyperlink"/>
            <w:noProof/>
            <w:sz w:val="20"/>
            <w:szCs w:val="20"/>
            <w:lang w:val="ru-RU"/>
          </w:rPr>
          <w:t>Занятость</w:t>
        </w:r>
        <w:r w:rsidRPr="00EA499A">
          <w:rPr>
            <w:noProof/>
            <w:webHidden/>
            <w:sz w:val="20"/>
            <w:szCs w:val="20"/>
            <w:lang w:val="ru-RU"/>
          </w:rPr>
          <w:tab/>
        </w:r>
        <w:r>
          <w:rPr>
            <w:noProof/>
            <w:webHidden/>
            <w:sz w:val="20"/>
            <w:szCs w:val="20"/>
            <w:lang w:val="ru-RU"/>
          </w:rPr>
          <w:tab/>
        </w:r>
        <w:r w:rsidRPr="00360D96">
          <w:rPr>
            <w:noProof/>
            <w:webHidden/>
            <w:sz w:val="20"/>
            <w:szCs w:val="20"/>
          </w:rPr>
          <w:fldChar w:fldCharType="begin"/>
        </w:r>
        <w:r w:rsidRPr="00EA499A">
          <w:rPr>
            <w:noProof/>
            <w:webHidden/>
            <w:sz w:val="20"/>
            <w:szCs w:val="20"/>
            <w:lang w:val="ru-RU"/>
          </w:rPr>
          <w:instrText xml:space="preserve"> </w:instrText>
        </w:r>
        <w:r w:rsidRPr="00360D96">
          <w:rPr>
            <w:noProof/>
            <w:webHidden/>
            <w:sz w:val="20"/>
            <w:szCs w:val="20"/>
          </w:rPr>
          <w:instrText>PAGEREF</w:instrText>
        </w:r>
        <w:r w:rsidRPr="00EA499A">
          <w:rPr>
            <w:noProof/>
            <w:webHidden/>
            <w:sz w:val="20"/>
            <w:szCs w:val="20"/>
            <w:lang w:val="ru-RU"/>
          </w:rPr>
          <w:instrText xml:space="preserve"> _</w:instrText>
        </w:r>
        <w:r w:rsidRPr="00360D96">
          <w:rPr>
            <w:noProof/>
            <w:webHidden/>
            <w:sz w:val="20"/>
            <w:szCs w:val="20"/>
          </w:rPr>
          <w:instrText>Toc</w:instrText>
        </w:r>
        <w:r w:rsidRPr="00EA499A">
          <w:rPr>
            <w:noProof/>
            <w:webHidden/>
            <w:sz w:val="20"/>
            <w:szCs w:val="20"/>
            <w:lang w:val="ru-RU"/>
          </w:rPr>
          <w:instrText>417398642 \</w:instrText>
        </w:r>
        <w:r w:rsidRPr="00360D96">
          <w:rPr>
            <w:noProof/>
            <w:webHidden/>
            <w:sz w:val="20"/>
            <w:szCs w:val="20"/>
          </w:rPr>
          <w:instrText>h</w:instrText>
        </w:r>
        <w:r w:rsidRPr="00EA499A">
          <w:rPr>
            <w:noProof/>
            <w:webHidden/>
            <w:sz w:val="20"/>
            <w:szCs w:val="20"/>
            <w:lang w:val="ru-RU"/>
          </w:rPr>
          <w:instrText xml:space="preserve"> </w:instrText>
        </w:r>
        <w:r w:rsidRPr="00360D96">
          <w:rPr>
            <w:noProof/>
            <w:sz w:val="20"/>
            <w:szCs w:val="20"/>
          </w:rPr>
        </w:r>
        <w:r w:rsidRPr="00360D96">
          <w:rPr>
            <w:noProof/>
            <w:webHidden/>
            <w:sz w:val="20"/>
            <w:szCs w:val="20"/>
          </w:rPr>
          <w:fldChar w:fldCharType="separate"/>
        </w:r>
        <w:r w:rsidR="00D60C66">
          <w:rPr>
            <w:noProof/>
            <w:webHidden/>
            <w:sz w:val="20"/>
            <w:szCs w:val="20"/>
          </w:rPr>
          <w:t>35</w:t>
        </w:r>
        <w:r w:rsidRPr="00360D96">
          <w:rPr>
            <w:noProof/>
            <w:webHidden/>
            <w:sz w:val="20"/>
            <w:szCs w:val="20"/>
          </w:rPr>
          <w:fldChar w:fldCharType="end"/>
        </w:r>
      </w:hyperlink>
    </w:p>
    <w:p w:rsidR="001F6FBC" w:rsidRPr="00360D96" w:rsidRDefault="001F6FBC" w:rsidP="001F6FBC">
      <w:pPr>
        <w:pStyle w:val="TOC2"/>
        <w:spacing w:after="100"/>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hyperlink w:anchor="_Toc417398643" w:history="1">
        <w:r w:rsidRPr="00EA499A">
          <w:rPr>
            <w:rStyle w:val="Hyperlink"/>
            <w:noProof/>
            <w:sz w:val="20"/>
            <w:szCs w:val="20"/>
            <w:lang w:val="ru-RU"/>
          </w:rPr>
          <w:t>1.2.1</w:t>
        </w:r>
        <w:r w:rsidRPr="00360D96">
          <w:rPr>
            <w:noProof/>
            <w:sz w:val="20"/>
            <w:szCs w:val="20"/>
            <w:lang w:val="ru-RU" w:eastAsia="ru-RU"/>
          </w:rPr>
          <w:tab/>
        </w:r>
        <w:r w:rsidRPr="00EA499A">
          <w:rPr>
            <w:rStyle w:val="Hyperlink"/>
            <w:noProof/>
            <w:sz w:val="20"/>
            <w:szCs w:val="20"/>
            <w:lang w:val="ru-RU"/>
          </w:rPr>
          <w:t>Экономические и социальные льготы</w:t>
        </w:r>
        <w:r w:rsidRPr="00EA499A">
          <w:rPr>
            <w:noProof/>
            <w:webHidden/>
            <w:sz w:val="20"/>
            <w:szCs w:val="20"/>
            <w:lang w:val="ru-RU"/>
          </w:rPr>
          <w:tab/>
        </w:r>
        <w:r>
          <w:rPr>
            <w:noProof/>
            <w:webHidden/>
            <w:sz w:val="20"/>
            <w:szCs w:val="20"/>
            <w:lang w:val="ru-RU"/>
          </w:rPr>
          <w:tab/>
        </w:r>
        <w:r w:rsidRPr="00360D96">
          <w:rPr>
            <w:noProof/>
            <w:webHidden/>
            <w:sz w:val="20"/>
            <w:szCs w:val="20"/>
          </w:rPr>
          <w:fldChar w:fldCharType="begin"/>
        </w:r>
        <w:r w:rsidRPr="00EA499A">
          <w:rPr>
            <w:noProof/>
            <w:webHidden/>
            <w:sz w:val="20"/>
            <w:szCs w:val="20"/>
            <w:lang w:val="ru-RU"/>
          </w:rPr>
          <w:instrText xml:space="preserve"> </w:instrText>
        </w:r>
        <w:r w:rsidRPr="00360D96">
          <w:rPr>
            <w:noProof/>
            <w:webHidden/>
            <w:sz w:val="20"/>
            <w:szCs w:val="20"/>
          </w:rPr>
          <w:instrText>PAGEREF</w:instrText>
        </w:r>
        <w:r w:rsidRPr="00EA499A">
          <w:rPr>
            <w:noProof/>
            <w:webHidden/>
            <w:sz w:val="20"/>
            <w:szCs w:val="20"/>
            <w:lang w:val="ru-RU"/>
          </w:rPr>
          <w:instrText xml:space="preserve"> _</w:instrText>
        </w:r>
        <w:r w:rsidRPr="00360D96">
          <w:rPr>
            <w:noProof/>
            <w:webHidden/>
            <w:sz w:val="20"/>
            <w:szCs w:val="20"/>
          </w:rPr>
          <w:instrText>Toc</w:instrText>
        </w:r>
        <w:r w:rsidRPr="00EA499A">
          <w:rPr>
            <w:noProof/>
            <w:webHidden/>
            <w:sz w:val="20"/>
            <w:szCs w:val="20"/>
            <w:lang w:val="ru-RU"/>
          </w:rPr>
          <w:instrText>417398643 \</w:instrText>
        </w:r>
        <w:r w:rsidRPr="00360D96">
          <w:rPr>
            <w:noProof/>
            <w:webHidden/>
            <w:sz w:val="20"/>
            <w:szCs w:val="20"/>
          </w:rPr>
          <w:instrText>h</w:instrText>
        </w:r>
        <w:r w:rsidRPr="00EA499A">
          <w:rPr>
            <w:noProof/>
            <w:webHidden/>
            <w:sz w:val="20"/>
            <w:szCs w:val="20"/>
            <w:lang w:val="ru-RU"/>
          </w:rPr>
          <w:instrText xml:space="preserve"> </w:instrText>
        </w:r>
        <w:r w:rsidRPr="00360D96">
          <w:rPr>
            <w:noProof/>
            <w:sz w:val="20"/>
            <w:szCs w:val="20"/>
          </w:rPr>
        </w:r>
        <w:r w:rsidRPr="00360D96">
          <w:rPr>
            <w:noProof/>
            <w:webHidden/>
            <w:sz w:val="20"/>
            <w:szCs w:val="20"/>
          </w:rPr>
          <w:fldChar w:fldCharType="separate"/>
        </w:r>
        <w:r w:rsidR="00D60C66">
          <w:rPr>
            <w:noProof/>
            <w:webHidden/>
            <w:sz w:val="20"/>
            <w:szCs w:val="20"/>
          </w:rPr>
          <w:t>41</w:t>
        </w:r>
        <w:r w:rsidRPr="00360D96">
          <w:rPr>
            <w:noProof/>
            <w:webHidden/>
            <w:sz w:val="20"/>
            <w:szCs w:val="20"/>
          </w:rPr>
          <w:fldChar w:fldCharType="end"/>
        </w:r>
      </w:hyperlink>
    </w:p>
    <w:p w:rsidR="001F6FBC" w:rsidRPr="00360D96" w:rsidRDefault="001F6FBC" w:rsidP="001F6FBC">
      <w:pPr>
        <w:pStyle w:val="TOC2"/>
        <w:spacing w:after="100"/>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hyperlink w:anchor="_Toc417398644" w:history="1">
        <w:r w:rsidRPr="00EA499A">
          <w:rPr>
            <w:rStyle w:val="Hyperlink"/>
            <w:noProof/>
            <w:sz w:val="20"/>
            <w:szCs w:val="20"/>
            <w:lang w:val="ru-RU"/>
          </w:rPr>
          <w:t>1.2.2</w:t>
        </w:r>
        <w:r w:rsidRPr="00360D96">
          <w:rPr>
            <w:noProof/>
            <w:sz w:val="20"/>
            <w:szCs w:val="20"/>
            <w:lang w:val="ru-RU" w:eastAsia="ru-RU"/>
          </w:rPr>
          <w:tab/>
        </w:r>
        <w:r w:rsidRPr="00EA499A">
          <w:rPr>
            <w:rStyle w:val="Hyperlink"/>
            <w:noProof/>
            <w:sz w:val="20"/>
            <w:szCs w:val="20"/>
            <w:lang w:val="ru-RU"/>
          </w:rPr>
          <w:t>Здоровье</w:t>
        </w:r>
        <w:r w:rsidRPr="00EA499A">
          <w:rPr>
            <w:noProof/>
            <w:webHidden/>
            <w:sz w:val="20"/>
            <w:szCs w:val="20"/>
            <w:lang w:val="ru-RU"/>
          </w:rPr>
          <w:tab/>
        </w:r>
        <w:r>
          <w:rPr>
            <w:noProof/>
            <w:webHidden/>
            <w:sz w:val="20"/>
            <w:szCs w:val="20"/>
            <w:lang w:val="ru-RU"/>
          </w:rPr>
          <w:tab/>
        </w:r>
        <w:r w:rsidRPr="00360D96">
          <w:rPr>
            <w:noProof/>
            <w:webHidden/>
            <w:sz w:val="20"/>
            <w:szCs w:val="20"/>
          </w:rPr>
          <w:fldChar w:fldCharType="begin"/>
        </w:r>
        <w:r w:rsidRPr="00EA499A">
          <w:rPr>
            <w:noProof/>
            <w:webHidden/>
            <w:sz w:val="20"/>
            <w:szCs w:val="20"/>
            <w:lang w:val="ru-RU"/>
          </w:rPr>
          <w:instrText xml:space="preserve"> </w:instrText>
        </w:r>
        <w:r w:rsidRPr="00360D96">
          <w:rPr>
            <w:noProof/>
            <w:webHidden/>
            <w:sz w:val="20"/>
            <w:szCs w:val="20"/>
          </w:rPr>
          <w:instrText>PAGEREF</w:instrText>
        </w:r>
        <w:r w:rsidRPr="00EA499A">
          <w:rPr>
            <w:noProof/>
            <w:webHidden/>
            <w:sz w:val="20"/>
            <w:szCs w:val="20"/>
            <w:lang w:val="ru-RU"/>
          </w:rPr>
          <w:instrText xml:space="preserve"> _</w:instrText>
        </w:r>
        <w:r w:rsidRPr="00360D96">
          <w:rPr>
            <w:noProof/>
            <w:webHidden/>
            <w:sz w:val="20"/>
            <w:szCs w:val="20"/>
          </w:rPr>
          <w:instrText>Toc</w:instrText>
        </w:r>
        <w:r w:rsidRPr="00EA499A">
          <w:rPr>
            <w:noProof/>
            <w:webHidden/>
            <w:sz w:val="20"/>
            <w:szCs w:val="20"/>
            <w:lang w:val="ru-RU"/>
          </w:rPr>
          <w:instrText>417398644 \</w:instrText>
        </w:r>
        <w:r w:rsidRPr="00360D96">
          <w:rPr>
            <w:noProof/>
            <w:webHidden/>
            <w:sz w:val="20"/>
            <w:szCs w:val="20"/>
          </w:rPr>
          <w:instrText>h</w:instrText>
        </w:r>
        <w:r w:rsidRPr="00EA499A">
          <w:rPr>
            <w:noProof/>
            <w:webHidden/>
            <w:sz w:val="20"/>
            <w:szCs w:val="20"/>
            <w:lang w:val="ru-RU"/>
          </w:rPr>
          <w:instrText xml:space="preserve"> </w:instrText>
        </w:r>
        <w:r w:rsidRPr="00360D96">
          <w:rPr>
            <w:noProof/>
            <w:sz w:val="20"/>
            <w:szCs w:val="20"/>
          </w:rPr>
        </w:r>
        <w:r w:rsidRPr="00360D96">
          <w:rPr>
            <w:noProof/>
            <w:webHidden/>
            <w:sz w:val="20"/>
            <w:szCs w:val="20"/>
          </w:rPr>
          <w:fldChar w:fldCharType="separate"/>
        </w:r>
        <w:r w:rsidR="00D60C66">
          <w:rPr>
            <w:noProof/>
            <w:webHidden/>
            <w:sz w:val="20"/>
            <w:szCs w:val="20"/>
          </w:rPr>
          <w:t>44</w:t>
        </w:r>
        <w:r w:rsidRPr="00360D96">
          <w:rPr>
            <w:noProof/>
            <w:webHidden/>
            <w:sz w:val="20"/>
            <w:szCs w:val="20"/>
          </w:rPr>
          <w:fldChar w:fldCharType="end"/>
        </w:r>
      </w:hyperlink>
    </w:p>
    <w:p w:rsidR="001F6FBC" w:rsidRPr="00360D96" w:rsidRDefault="001F6FBC" w:rsidP="001F6FBC">
      <w:pPr>
        <w:pStyle w:val="TOC2"/>
        <w:spacing w:after="100"/>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hyperlink w:anchor="_Toc417398645" w:history="1">
        <w:r w:rsidRPr="00EA499A">
          <w:rPr>
            <w:rStyle w:val="Hyperlink"/>
            <w:noProof/>
            <w:sz w:val="20"/>
            <w:szCs w:val="20"/>
            <w:lang w:val="ru-RU"/>
          </w:rPr>
          <w:t>1.2.3</w:t>
        </w:r>
        <w:r w:rsidRPr="00360D96">
          <w:rPr>
            <w:noProof/>
            <w:sz w:val="20"/>
            <w:szCs w:val="20"/>
            <w:lang w:val="ru-RU" w:eastAsia="ru-RU"/>
          </w:rPr>
          <w:tab/>
        </w:r>
        <w:r w:rsidRPr="00EA499A">
          <w:rPr>
            <w:rStyle w:val="Hyperlink"/>
            <w:noProof/>
            <w:sz w:val="20"/>
            <w:szCs w:val="20"/>
            <w:lang w:val="ru-RU"/>
          </w:rPr>
          <w:t>ВИЧ/СПИД</w:t>
        </w:r>
        <w:r w:rsidRPr="00EA499A">
          <w:rPr>
            <w:noProof/>
            <w:webHidden/>
            <w:sz w:val="20"/>
            <w:szCs w:val="20"/>
            <w:lang w:val="ru-RU"/>
          </w:rPr>
          <w:tab/>
        </w:r>
        <w:r>
          <w:rPr>
            <w:noProof/>
            <w:webHidden/>
            <w:sz w:val="20"/>
            <w:szCs w:val="20"/>
            <w:lang w:val="ru-RU"/>
          </w:rPr>
          <w:tab/>
        </w:r>
        <w:r w:rsidRPr="00360D96">
          <w:rPr>
            <w:noProof/>
            <w:webHidden/>
            <w:sz w:val="20"/>
            <w:szCs w:val="20"/>
          </w:rPr>
          <w:fldChar w:fldCharType="begin"/>
        </w:r>
        <w:r w:rsidRPr="00EA499A">
          <w:rPr>
            <w:noProof/>
            <w:webHidden/>
            <w:sz w:val="20"/>
            <w:szCs w:val="20"/>
            <w:lang w:val="ru-RU"/>
          </w:rPr>
          <w:instrText xml:space="preserve"> </w:instrText>
        </w:r>
        <w:r w:rsidRPr="00360D96">
          <w:rPr>
            <w:noProof/>
            <w:webHidden/>
            <w:sz w:val="20"/>
            <w:szCs w:val="20"/>
          </w:rPr>
          <w:instrText>PAGEREF</w:instrText>
        </w:r>
        <w:r w:rsidRPr="00EA499A">
          <w:rPr>
            <w:noProof/>
            <w:webHidden/>
            <w:sz w:val="20"/>
            <w:szCs w:val="20"/>
            <w:lang w:val="ru-RU"/>
          </w:rPr>
          <w:instrText xml:space="preserve"> _</w:instrText>
        </w:r>
        <w:r w:rsidRPr="00360D96">
          <w:rPr>
            <w:noProof/>
            <w:webHidden/>
            <w:sz w:val="20"/>
            <w:szCs w:val="20"/>
          </w:rPr>
          <w:instrText>Toc</w:instrText>
        </w:r>
        <w:r w:rsidRPr="00EA499A">
          <w:rPr>
            <w:noProof/>
            <w:webHidden/>
            <w:sz w:val="20"/>
            <w:szCs w:val="20"/>
            <w:lang w:val="ru-RU"/>
          </w:rPr>
          <w:instrText>417398645 \</w:instrText>
        </w:r>
        <w:r w:rsidRPr="00360D96">
          <w:rPr>
            <w:noProof/>
            <w:webHidden/>
            <w:sz w:val="20"/>
            <w:szCs w:val="20"/>
          </w:rPr>
          <w:instrText>h</w:instrText>
        </w:r>
        <w:r w:rsidRPr="00EA499A">
          <w:rPr>
            <w:noProof/>
            <w:webHidden/>
            <w:sz w:val="20"/>
            <w:szCs w:val="20"/>
            <w:lang w:val="ru-RU"/>
          </w:rPr>
          <w:instrText xml:space="preserve"> </w:instrText>
        </w:r>
        <w:r w:rsidRPr="00360D96">
          <w:rPr>
            <w:noProof/>
            <w:sz w:val="20"/>
            <w:szCs w:val="20"/>
          </w:rPr>
        </w:r>
        <w:r w:rsidRPr="00360D96">
          <w:rPr>
            <w:noProof/>
            <w:webHidden/>
            <w:sz w:val="20"/>
            <w:szCs w:val="20"/>
          </w:rPr>
          <w:fldChar w:fldCharType="separate"/>
        </w:r>
        <w:r w:rsidR="00D60C66">
          <w:rPr>
            <w:noProof/>
            <w:webHidden/>
            <w:sz w:val="20"/>
            <w:szCs w:val="20"/>
          </w:rPr>
          <w:t>48</w:t>
        </w:r>
        <w:r w:rsidRPr="00360D96">
          <w:rPr>
            <w:noProof/>
            <w:webHidden/>
            <w:sz w:val="20"/>
            <w:szCs w:val="20"/>
          </w:rPr>
          <w:fldChar w:fldCharType="end"/>
        </w:r>
      </w:hyperlink>
    </w:p>
    <w:p w:rsidR="001F6FBC" w:rsidRPr="00360D96" w:rsidRDefault="001F6FBC" w:rsidP="001F6FBC">
      <w:pPr>
        <w:pStyle w:val="TOC2"/>
        <w:spacing w:after="100"/>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hyperlink w:anchor="_Toc417398646" w:history="1">
        <w:r w:rsidRPr="00EA499A">
          <w:rPr>
            <w:rStyle w:val="Hyperlink"/>
            <w:noProof/>
            <w:sz w:val="20"/>
            <w:szCs w:val="20"/>
            <w:lang w:val="ru-RU"/>
          </w:rPr>
          <w:t>1.2.4</w:t>
        </w:r>
        <w:r w:rsidRPr="00360D96">
          <w:rPr>
            <w:noProof/>
            <w:sz w:val="20"/>
            <w:szCs w:val="20"/>
            <w:lang w:val="ru-RU" w:eastAsia="ru-RU"/>
          </w:rPr>
          <w:tab/>
        </w:r>
        <w:r w:rsidRPr="00EA499A">
          <w:rPr>
            <w:rStyle w:val="Hyperlink"/>
            <w:noProof/>
            <w:sz w:val="20"/>
            <w:szCs w:val="20"/>
            <w:lang w:val="ru-RU"/>
          </w:rPr>
          <w:t>Сельские женщины</w:t>
        </w:r>
        <w:r w:rsidRPr="00EA499A">
          <w:rPr>
            <w:noProof/>
            <w:webHidden/>
            <w:sz w:val="20"/>
            <w:szCs w:val="20"/>
            <w:lang w:val="ru-RU"/>
          </w:rPr>
          <w:tab/>
        </w:r>
        <w:r>
          <w:rPr>
            <w:noProof/>
            <w:webHidden/>
            <w:sz w:val="20"/>
            <w:szCs w:val="20"/>
            <w:lang w:val="ru-RU"/>
          </w:rPr>
          <w:tab/>
        </w:r>
        <w:r w:rsidRPr="00360D96">
          <w:rPr>
            <w:noProof/>
            <w:webHidden/>
            <w:sz w:val="20"/>
            <w:szCs w:val="20"/>
          </w:rPr>
          <w:fldChar w:fldCharType="begin"/>
        </w:r>
        <w:r w:rsidRPr="00EA499A">
          <w:rPr>
            <w:noProof/>
            <w:webHidden/>
            <w:sz w:val="20"/>
            <w:szCs w:val="20"/>
            <w:lang w:val="ru-RU"/>
          </w:rPr>
          <w:instrText xml:space="preserve"> </w:instrText>
        </w:r>
        <w:r w:rsidRPr="00360D96">
          <w:rPr>
            <w:noProof/>
            <w:webHidden/>
            <w:sz w:val="20"/>
            <w:szCs w:val="20"/>
          </w:rPr>
          <w:instrText>PAGEREF</w:instrText>
        </w:r>
        <w:r w:rsidRPr="00EA499A">
          <w:rPr>
            <w:noProof/>
            <w:webHidden/>
            <w:sz w:val="20"/>
            <w:szCs w:val="20"/>
            <w:lang w:val="ru-RU"/>
          </w:rPr>
          <w:instrText xml:space="preserve"> _</w:instrText>
        </w:r>
        <w:r w:rsidRPr="00360D96">
          <w:rPr>
            <w:noProof/>
            <w:webHidden/>
            <w:sz w:val="20"/>
            <w:szCs w:val="20"/>
          </w:rPr>
          <w:instrText>Toc</w:instrText>
        </w:r>
        <w:r w:rsidRPr="00EA499A">
          <w:rPr>
            <w:noProof/>
            <w:webHidden/>
            <w:sz w:val="20"/>
            <w:szCs w:val="20"/>
            <w:lang w:val="ru-RU"/>
          </w:rPr>
          <w:instrText>417398646 \</w:instrText>
        </w:r>
        <w:r w:rsidRPr="00360D96">
          <w:rPr>
            <w:noProof/>
            <w:webHidden/>
            <w:sz w:val="20"/>
            <w:szCs w:val="20"/>
          </w:rPr>
          <w:instrText>h</w:instrText>
        </w:r>
        <w:r w:rsidRPr="00EA499A">
          <w:rPr>
            <w:noProof/>
            <w:webHidden/>
            <w:sz w:val="20"/>
            <w:szCs w:val="20"/>
            <w:lang w:val="ru-RU"/>
          </w:rPr>
          <w:instrText xml:space="preserve"> </w:instrText>
        </w:r>
        <w:r w:rsidRPr="00360D96">
          <w:rPr>
            <w:noProof/>
            <w:sz w:val="20"/>
            <w:szCs w:val="20"/>
          </w:rPr>
        </w:r>
        <w:r w:rsidRPr="00360D96">
          <w:rPr>
            <w:noProof/>
            <w:webHidden/>
            <w:sz w:val="20"/>
            <w:szCs w:val="20"/>
          </w:rPr>
          <w:fldChar w:fldCharType="separate"/>
        </w:r>
        <w:r w:rsidR="00D60C66">
          <w:rPr>
            <w:noProof/>
            <w:webHidden/>
            <w:sz w:val="20"/>
            <w:szCs w:val="20"/>
          </w:rPr>
          <w:t>53</w:t>
        </w:r>
        <w:r w:rsidRPr="00360D96">
          <w:rPr>
            <w:noProof/>
            <w:webHidden/>
            <w:sz w:val="20"/>
            <w:szCs w:val="20"/>
          </w:rPr>
          <w:fldChar w:fldCharType="end"/>
        </w:r>
      </w:hyperlink>
    </w:p>
    <w:p w:rsidR="001F6FBC" w:rsidRPr="00360D96" w:rsidRDefault="001F6FBC" w:rsidP="001F6FBC">
      <w:pPr>
        <w:pStyle w:val="TOC2"/>
        <w:spacing w:after="100"/>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hyperlink w:anchor="_Toc417398647" w:history="1">
        <w:r w:rsidRPr="00EA499A">
          <w:rPr>
            <w:rStyle w:val="Hyperlink"/>
            <w:noProof/>
            <w:sz w:val="20"/>
            <w:szCs w:val="20"/>
            <w:lang w:val="ru-RU"/>
          </w:rPr>
          <w:t>1.2.5</w:t>
        </w:r>
        <w:r w:rsidRPr="00360D96">
          <w:rPr>
            <w:noProof/>
            <w:sz w:val="20"/>
            <w:szCs w:val="20"/>
            <w:lang w:val="ru-RU" w:eastAsia="ru-RU"/>
          </w:rPr>
          <w:tab/>
        </w:r>
        <w:r w:rsidRPr="00EA499A">
          <w:rPr>
            <w:rStyle w:val="Hyperlink"/>
            <w:noProof/>
            <w:sz w:val="20"/>
            <w:szCs w:val="20"/>
            <w:lang w:val="ru-RU"/>
          </w:rPr>
          <w:t>Уязвимые группы женщин</w:t>
        </w:r>
        <w:r w:rsidRPr="00EA499A">
          <w:rPr>
            <w:noProof/>
            <w:webHidden/>
            <w:sz w:val="20"/>
            <w:szCs w:val="20"/>
            <w:lang w:val="ru-RU"/>
          </w:rPr>
          <w:tab/>
        </w:r>
        <w:r>
          <w:rPr>
            <w:noProof/>
            <w:webHidden/>
            <w:sz w:val="20"/>
            <w:szCs w:val="20"/>
            <w:lang w:val="ru-RU"/>
          </w:rPr>
          <w:tab/>
        </w:r>
        <w:r w:rsidRPr="00360D96">
          <w:rPr>
            <w:noProof/>
            <w:webHidden/>
            <w:sz w:val="20"/>
            <w:szCs w:val="20"/>
          </w:rPr>
          <w:fldChar w:fldCharType="begin"/>
        </w:r>
        <w:r w:rsidRPr="00EA499A">
          <w:rPr>
            <w:noProof/>
            <w:webHidden/>
            <w:sz w:val="20"/>
            <w:szCs w:val="20"/>
            <w:lang w:val="ru-RU"/>
          </w:rPr>
          <w:instrText xml:space="preserve"> </w:instrText>
        </w:r>
        <w:r w:rsidRPr="00360D96">
          <w:rPr>
            <w:noProof/>
            <w:webHidden/>
            <w:sz w:val="20"/>
            <w:szCs w:val="20"/>
          </w:rPr>
          <w:instrText>PAGEREF</w:instrText>
        </w:r>
        <w:r w:rsidRPr="00EA499A">
          <w:rPr>
            <w:noProof/>
            <w:webHidden/>
            <w:sz w:val="20"/>
            <w:szCs w:val="20"/>
            <w:lang w:val="ru-RU"/>
          </w:rPr>
          <w:instrText xml:space="preserve"> _</w:instrText>
        </w:r>
        <w:r w:rsidRPr="00360D96">
          <w:rPr>
            <w:noProof/>
            <w:webHidden/>
            <w:sz w:val="20"/>
            <w:szCs w:val="20"/>
          </w:rPr>
          <w:instrText>Toc</w:instrText>
        </w:r>
        <w:r w:rsidRPr="00EA499A">
          <w:rPr>
            <w:noProof/>
            <w:webHidden/>
            <w:sz w:val="20"/>
            <w:szCs w:val="20"/>
            <w:lang w:val="ru-RU"/>
          </w:rPr>
          <w:instrText>417398647 \</w:instrText>
        </w:r>
        <w:r w:rsidRPr="00360D96">
          <w:rPr>
            <w:noProof/>
            <w:webHidden/>
            <w:sz w:val="20"/>
            <w:szCs w:val="20"/>
          </w:rPr>
          <w:instrText>h</w:instrText>
        </w:r>
        <w:r w:rsidRPr="00EA499A">
          <w:rPr>
            <w:noProof/>
            <w:webHidden/>
            <w:sz w:val="20"/>
            <w:szCs w:val="20"/>
            <w:lang w:val="ru-RU"/>
          </w:rPr>
          <w:instrText xml:space="preserve"> </w:instrText>
        </w:r>
        <w:r w:rsidRPr="00360D96">
          <w:rPr>
            <w:noProof/>
            <w:sz w:val="20"/>
            <w:szCs w:val="20"/>
          </w:rPr>
        </w:r>
        <w:r w:rsidRPr="00360D96">
          <w:rPr>
            <w:noProof/>
            <w:webHidden/>
            <w:sz w:val="20"/>
            <w:szCs w:val="20"/>
          </w:rPr>
          <w:fldChar w:fldCharType="separate"/>
        </w:r>
        <w:r w:rsidR="00D60C66">
          <w:rPr>
            <w:noProof/>
            <w:webHidden/>
            <w:sz w:val="20"/>
            <w:szCs w:val="20"/>
          </w:rPr>
          <w:t>55</w:t>
        </w:r>
        <w:r w:rsidRPr="00360D96">
          <w:rPr>
            <w:noProof/>
            <w:webHidden/>
            <w:sz w:val="20"/>
            <w:szCs w:val="20"/>
          </w:rPr>
          <w:fldChar w:fldCharType="end"/>
        </w:r>
      </w:hyperlink>
    </w:p>
    <w:p w:rsidR="001F6FBC" w:rsidRPr="00360D96" w:rsidRDefault="001F6FBC" w:rsidP="001F6FBC">
      <w:pPr>
        <w:pStyle w:val="TOC2"/>
        <w:spacing w:after="100"/>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hyperlink w:anchor="_Toc417398648" w:history="1">
        <w:r w:rsidRPr="00EA499A">
          <w:rPr>
            <w:rStyle w:val="Hyperlink"/>
            <w:noProof/>
            <w:sz w:val="20"/>
            <w:szCs w:val="20"/>
            <w:lang w:val="ru-RU"/>
          </w:rPr>
          <w:t>1.2.6</w:t>
        </w:r>
        <w:r w:rsidRPr="00360D96">
          <w:rPr>
            <w:noProof/>
            <w:sz w:val="20"/>
            <w:szCs w:val="20"/>
            <w:lang w:val="ru-RU" w:eastAsia="ru-RU"/>
          </w:rPr>
          <w:tab/>
        </w:r>
        <w:r w:rsidRPr="00EA499A">
          <w:rPr>
            <w:rStyle w:val="Hyperlink"/>
            <w:noProof/>
            <w:sz w:val="20"/>
            <w:szCs w:val="20"/>
            <w:lang w:val="ru-RU"/>
          </w:rPr>
          <w:t>Женщины из числа беженцев</w:t>
        </w:r>
        <w:r w:rsidRPr="00EA499A">
          <w:rPr>
            <w:noProof/>
            <w:webHidden/>
            <w:sz w:val="20"/>
            <w:szCs w:val="20"/>
            <w:lang w:val="ru-RU"/>
          </w:rPr>
          <w:tab/>
        </w:r>
        <w:r>
          <w:rPr>
            <w:noProof/>
            <w:webHidden/>
            <w:sz w:val="20"/>
            <w:szCs w:val="20"/>
            <w:lang w:val="ru-RU"/>
          </w:rPr>
          <w:tab/>
        </w:r>
        <w:r w:rsidRPr="00360D96">
          <w:rPr>
            <w:noProof/>
            <w:webHidden/>
            <w:sz w:val="20"/>
            <w:szCs w:val="20"/>
          </w:rPr>
          <w:fldChar w:fldCharType="begin"/>
        </w:r>
        <w:r w:rsidRPr="00EA499A">
          <w:rPr>
            <w:noProof/>
            <w:webHidden/>
            <w:sz w:val="20"/>
            <w:szCs w:val="20"/>
            <w:lang w:val="ru-RU"/>
          </w:rPr>
          <w:instrText xml:space="preserve"> </w:instrText>
        </w:r>
        <w:r w:rsidRPr="00360D96">
          <w:rPr>
            <w:noProof/>
            <w:webHidden/>
            <w:sz w:val="20"/>
            <w:szCs w:val="20"/>
          </w:rPr>
          <w:instrText>PAGEREF</w:instrText>
        </w:r>
        <w:r w:rsidRPr="00EA499A">
          <w:rPr>
            <w:noProof/>
            <w:webHidden/>
            <w:sz w:val="20"/>
            <w:szCs w:val="20"/>
            <w:lang w:val="ru-RU"/>
          </w:rPr>
          <w:instrText xml:space="preserve"> _</w:instrText>
        </w:r>
        <w:r w:rsidRPr="00360D96">
          <w:rPr>
            <w:noProof/>
            <w:webHidden/>
            <w:sz w:val="20"/>
            <w:szCs w:val="20"/>
          </w:rPr>
          <w:instrText>Toc</w:instrText>
        </w:r>
        <w:r w:rsidRPr="00EA499A">
          <w:rPr>
            <w:noProof/>
            <w:webHidden/>
            <w:sz w:val="20"/>
            <w:szCs w:val="20"/>
            <w:lang w:val="ru-RU"/>
          </w:rPr>
          <w:instrText>417398648 \</w:instrText>
        </w:r>
        <w:r w:rsidRPr="00360D96">
          <w:rPr>
            <w:noProof/>
            <w:webHidden/>
            <w:sz w:val="20"/>
            <w:szCs w:val="20"/>
          </w:rPr>
          <w:instrText>h</w:instrText>
        </w:r>
        <w:r w:rsidRPr="00EA499A">
          <w:rPr>
            <w:noProof/>
            <w:webHidden/>
            <w:sz w:val="20"/>
            <w:szCs w:val="20"/>
            <w:lang w:val="ru-RU"/>
          </w:rPr>
          <w:instrText xml:space="preserve"> </w:instrText>
        </w:r>
        <w:r w:rsidRPr="00360D96">
          <w:rPr>
            <w:noProof/>
            <w:sz w:val="20"/>
            <w:szCs w:val="20"/>
          </w:rPr>
        </w:r>
        <w:r w:rsidRPr="00360D96">
          <w:rPr>
            <w:noProof/>
            <w:webHidden/>
            <w:sz w:val="20"/>
            <w:szCs w:val="20"/>
          </w:rPr>
          <w:fldChar w:fldCharType="separate"/>
        </w:r>
        <w:r w:rsidR="00D60C66">
          <w:rPr>
            <w:noProof/>
            <w:webHidden/>
            <w:sz w:val="20"/>
            <w:szCs w:val="20"/>
          </w:rPr>
          <w:t>59</w:t>
        </w:r>
        <w:r w:rsidRPr="00360D96">
          <w:rPr>
            <w:noProof/>
            <w:webHidden/>
            <w:sz w:val="20"/>
            <w:szCs w:val="20"/>
          </w:rPr>
          <w:fldChar w:fldCharType="end"/>
        </w:r>
      </w:hyperlink>
    </w:p>
    <w:p w:rsidR="001F6FBC" w:rsidRPr="00360D96" w:rsidRDefault="001F6FBC" w:rsidP="001F6FBC">
      <w:pPr>
        <w:pStyle w:val="TOC2"/>
        <w:spacing w:after="100"/>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hyperlink w:anchor="_Toc417398649" w:history="1">
        <w:r w:rsidRPr="00EA499A">
          <w:rPr>
            <w:rStyle w:val="Hyperlink"/>
            <w:noProof/>
            <w:sz w:val="20"/>
            <w:szCs w:val="20"/>
            <w:lang w:val="ru-RU"/>
          </w:rPr>
          <w:t>1.2.7</w:t>
        </w:r>
        <w:r w:rsidRPr="00360D96">
          <w:rPr>
            <w:noProof/>
            <w:sz w:val="20"/>
            <w:szCs w:val="20"/>
            <w:lang w:val="ru-RU" w:eastAsia="ru-RU"/>
          </w:rPr>
          <w:tab/>
        </w:r>
        <w:r w:rsidRPr="00EA499A">
          <w:rPr>
            <w:rStyle w:val="Hyperlink"/>
            <w:noProof/>
            <w:sz w:val="20"/>
            <w:szCs w:val="20"/>
            <w:lang w:val="ru-RU"/>
          </w:rPr>
          <w:t>Семейные отношения</w:t>
        </w:r>
        <w:r w:rsidRPr="00EA499A">
          <w:rPr>
            <w:noProof/>
            <w:webHidden/>
            <w:sz w:val="20"/>
            <w:szCs w:val="20"/>
            <w:lang w:val="ru-RU"/>
          </w:rPr>
          <w:tab/>
        </w:r>
        <w:r>
          <w:rPr>
            <w:noProof/>
            <w:webHidden/>
            <w:sz w:val="20"/>
            <w:szCs w:val="20"/>
            <w:lang w:val="ru-RU"/>
          </w:rPr>
          <w:tab/>
        </w:r>
      </w:hyperlink>
      <w:r w:rsidR="00EA499A" w:rsidRPr="00EA499A">
        <w:rPr>
          <w:rStyle w:val="Hyperlink"/>
          <w:noProof/>
          <w:sz w:val="20"/>
          <w:szCs w:val="20"/>
          <w:lang w:val="ru-RU"/>
        </w:rPr>
        <w:t>60</w:t>
      </w:r>
    </w:p>
    <w:p w:rsidR="001F6FBC" w:rsidRPr="00360D96" w:rsidRDefault="001F6FBC" w:rsidP="001F6FBC">
      <w:pPr>
        <w:pStyle w:val="TOC1"/>
        <w:tabs>
          <w:tab w:val="right" w:pos="993"/>
          <w:tab w:val="left" w:pos="1276"/>
          <w:tab w:val="left" w:pos="1843"/>
          <w:tab w:val="right" w:pos="9781"/>
        </w:tabs>
        <w:spacing w:after="100" w:line="240" w:lineRule="auto"/>
        <w:ind w:left="0" w:firstLine="0"/>
        <w:rPr>
          <w:noProof/>
          <w:sz w:val="20"/>
          <w:szCs w:val="20"/>
          <w:lang w:val="ru-RU" w:eastAsia="ru-RU"/>
        </w:rPr>
      </w:pPr>
      <w:r w:rsidRPr="00360D96">
        <w:rPr>
          <w:rStyle w:val="Hyperlink"/>
          <w:noProof/>
          <w:sz w:val="20"/>
          <w:szCs w:val="20"/>
          <w:lang w:val="ru-RU"/>
        </w:rPr>
        <w:tab/>
      </w:r>
      <w:hyperlink w:anchor="_Toc417398650" w:history="1">
        <w:r w:rsidRPr="00360D96">
          <w:rPr>
            <w:rStyle w:val="Hyperlink"/>
            <w:noProof/>
            <w:sz w:val="20"/>
            <w:szCs w:val="20"/>
          </w:rPr>
          <w:t>II</w:t>
        </w:r>
        <w:r w:rsidRPr="00EA499A">
          <w:rPr>
            <w:rStyle w:val="Hyperlink"/>
            <w:noProof/>
            <w:sz w:val="20"/>
            <w:szCs w:val="20"/>
            <w:lang w:val="ru-RU"/>
          </w:rPr>
          <w:t>.</w:t>
        </w:r>
        <w:r w:rsidRPr="00360D96">
          <w:rPr>
            <w:noProof/>
            <w:sz w:val="20"/>
            <w:szCs w:val="20"/>
            <w:lang w:val="ru-RU" w:eastAsia="ru-RU"/>
          </w:rPr>
          <w:tab/>
        </w:r>
        <w:r w:rsidRPr="00EA499A">
          <w:rPr>
            <w:rStyle w:val="Hyperlink"/>
            <w:noProof/>
            <w:sz w:val="20"/>
            <w:szCs w:val="20"/>
            <w:lang w:val="ru-RU"/>
          </w:rPr>
          <w:t>Осуществление других деклараций и планов действий</w:t>
        </w:r>
        <w:r w:rsidRPr="00EA499A">
          <w:rPr>
            <w:noProof/>
            <w:webHidden/>
            <w:sz w:val="20"/>
            <w:szCs w:val="20"/>
            <w:lang w:val="ru-RU"/>
          </w:rPr>
          <w:tab/>
        </w:r>
        <w:r>
          <w:rPr>
            <w:noProof/>
            <w:webHidden/>
            <w:sz w:val="20"/>
            <w:szCs w:val="20"/>
            <w:lang w:val="ru-RU"/>
          </w:rPr>
          <w:tab/>
        </w:r>
      </w:hyperlink>
      <w:r w:rsidR="00EA499A" w:rsidRPr="00EA499A">
        <w:rPr>
          <w:rStyle w:val="Hyperlink"/>
          <w:noProof/>
          <w:sz w:val="20"/>
          <w:szCs w:val="20"/>
          <w:lang w:val="ru-RU"/>
        </w:rPr>
        <w:t>61</w:t>
      </w:r>
    </w:p>
    <w:p w:rsidR="001F6FBC" w:rsidRPr="00360D96" w:rsidRDefault="001F6FBC" w:rsidP="001F6FBC">
      <w:pPr>
        <w:pStyle w:val="TOC2"/>
        <w:spacing w:after="100"/>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hyperlink w:anchor="_Toc417398651" w:history="1">
        <w:r w:rsidRPr="00EA499A">
          <w:rPr>
            <w:rStyle w:val="Hyperlink"/>
            <w:noProof/>
            <w:sz w:val="20"/>
            <w:szCs w:val="20"/>
            <w:lang w:val="ru-RU"/>
          </w:rPr>
          <w:t>2.1</w:t>
        </w:r>
        <w:r w:rsidRPr="00360D96">
          <w:rPr>
            <w:noProof/>
            <w:sz w:val="20"/>
            <w:szCs w:val="20"/>
            <w:lang w:val="ru-RU" w:eastAsia="ru-RU"/>
          </w:rPr>
          <w:tab/>
        </w:r>
        <w:r w:rsidRPr="00EA499A">
          <w:rPr>
            <w:rStyle w:val="Hyperlink"/>
            <w:noProof/>
            <w:sz w:val="20"/>
            <w:szCs w:val="20"/>
            <w:lang w:val="ru-RU"/>
          </w:rPr>
          <w:t>Пекинская декларация и Платформа действий</w:t>
        </w:r>
        <w:r w:rsidRPr="00EA499A">
          <w:rPr>
            <w:noProof/>
            <w:webHidden/>
            <w:sz w:val="20"/>
            <w:szCs w:val="20"/>
            <w:lang w:val="ru-RU"/>
          </w:rPr>
          <w:tab/>
        </w:r>
        <w:r>
          <w:rPr>
            <w:noProof/>
            <w:webHidden/>
            <w:sz w:val="20"/>
            <w:szCs w:val="20"/>
            <w:lang w:val="ru-RU"/>
          </w:rPr>
          <w:tab/>
        </w:r>
      </w:hyperlink>
      <w:r w:rsidR="00EA499A" w:rsidRPr="00EA499A">
        <w:rPr>
          <w:rStyle w:val="Hyperlink"/>
          <w:noProof/>
          <w:sz w:val="20"/>
          <w:szCs w:val="20"/>
          <w:lang w:val="ru-RU"/>
        </w:rPr>
        <w:t>61</w:t>
      </w:r>
    </w:p>
    <w:p w:rsidR="001F6FBC" w:rsidRPr="00360D96" w:rsidRDefault="001F6FBC" w:rsidP="001F6FBC">
      <w:pPr>
        <w:pStyle w:val="TOC2"/>
        <w:spacing w:after="100"/>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hyperlink w:anchor="_Toc417398652" w:history="1">
        <w:r w:rsidRPr="00EA499A">
          <w:rPr>
            <w:rStyle w:val="Hyperlink"/>
            <w:noProof/>
            <w:sz w:val="20"/>
            <w:szCs w:val="20"/>
            <w:lang w:val="ru-RU"/>
          </w:rPr>
          <w:t>2.1.1</w:t>
        </w:r>
        <w:r w:rsidRPr="00360D96">
          <w:rPr>
            <w:noProof/>
            <w:sz w:val="20"/>
            <w:szCs w:val="20"/>
            <w:lang w:val="ru-RU" w:eastAsia="ru-RU"/>
          </w:rPr>
          <w:tab/>
        </w:r>
        <w:r w:rsidRPr="00EA499A">
          <w:rPr>
            <w:rStyle w:val="Hyperlink"/>
            <w:noProof/>
            <w:sz w:val="20"/>
            <w:szCs w:val="20"/>
            <w:lang w:val="ru-RU"/>
          </w:rPr>
          <w:t>Укрепление правоспособности женщин</w:t>
        </w:r>
        <w:r w:rsidRPr="00EA499A">
          <w:rPr>
            <w:noProof/>
            <w:webHidden/>
            <w:sz w:val="20"/>
            <w:szCs w:val="20"/>
            <w:lang w:val="ru-RU"/>
          </w:rPr>
          <w:tab/>
        </w:r>
        <w:r>
          <w:rPr>
            <w:noProof/>
            <w:webHidden/>
            <w:sz w:val="20"/>
            <w:szCs w:val="20"/>
            <w:lang w:val="ru-RU"/>
          </w:rPr>
          <w:tab/>
        </w:r>
      </w:hyperlink>
      <w:r w:rsidR="00EA499A" w:rsidRPr="00EA499A">
        <w:rPr>
          <w:rStyle w:val="Hyperlink"/>
          <w:noProof/>
          <w:sz w:val="20"/>
          <w:szCs w:val="20"/>
          <w:lang w:val="ru-RU"/>
        </w:rPr>
        <w:t>62</w:t>
      </w:r>
    </w:p>
    <w:p w:rsidR="001F6FBC" w:rsidRPr="00360D96" w:rsidRDefault="001F6FBC" w:rsidP="001F6FBC">
      <w:pPr>
        <w:pStyle w:val="TOC2"/>
        <w:spacing w:after="100"/>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hyperlink w:anchor="_Toc417398653" w:history="1">
        <w:r w:rsidRPr="00EA499A">
          <w:rPr>
            <w:rStyle w:val="Hyperlink"/>
            <w:noProof/>
            <w:sz w:val="20"/>
            <w:szCs w:val="20"/>
            <w:lang w:val="ru-RU"/>
          </w:rPr>
          <w:t>2.1.2</w:t>
        </w:r>
        <w:r w:rsidRPr="00360D96">
          <w:rPr>
            <w:noProof/>
            <w:sz w:val="20"/>
            <w:szCs w:val="20"/>
            <w:lang w:val="ru-RU" w:eastAsia="ru-RU"/>
          </w:rPr>
          <w:tab/>
        </w:r>
        <w:r w:rsidRPr="00EA499A">
          <w:rPr>
            <w:rStyle w:val="Hyperlink"/>
            <w:noProof/>
            <w:sz w:val="20"/>
            <w:szCs w:val="20"/>
            <w:lang w:val="ru-RU"/>
          </w:rPr>
          <w:t>Расширение экономических прав и возможностей женщин и искоренение нищеты</w:t>
        </w:r>
        <w:r w:rsidRPr="00EA499A">
          <w:rPr>
            <w:noProof/>
            <w:webHidden/>
            <w:sz w:val="20"/>
            <w:szCs w:val="20"/>
            <w:lang w:val="ru-RU"/>
          </w:rPr>
          <w:tab/>
        </w:r>
        <w:r>
          <w:rPr>
            <w:noProof/>
            <w:webHidden/>
            <w:sz w:val="20"/>
            <w:szCs w:val="20"/>
            <w:lang w:val="ru-RU"/>
          </w:rPr>
          <w:tab/>
        </w:r>
      </w:hyperlink>
      <w:r w:rsidR="00EA499A" w:rsidRPr="00EA499A">
        <w:rPr>
          <w:rStyle w:val="Hyperlink"/>
          <w:noProof/>
          <w:sz w:val="20"/>
          <w:szCs w:val="20"/>
          <w:lang w:val="ru-RU"/>
        </w:rPr>
        <w:t>62</w:t>
      </w:r>
    </w:p>
    <w:p w:rsidR="001F6FBC" w:rsidRPr="00360D96" w:rsidRDefault="001F6FBC" w:rsidP="001F6FBC">
      <w:pPr>
        <w:pStyle w:val="TOC2"/>
        <w:spacing w:after="100"/>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hyperlink w:anchor="_Toc417398654" w:history="1">
        <w:r w:rsidRPr="00EA499A">
          <w:rPr>
            <w:rStyle w:val="Hyperlink"/>
            <w:noProof/>
            <w:sz w:val="20"/>
            <w:szCs w:val="20"/>
            <w:lang w:val="ru-RU"/>
          </w:rPr>
          <w:t>2.1.3</w:t>
        </w:r>
        <w:r w:rsidRPr="00360D96">
          <w:rPr>
            <w:noProof/>
            <w:sz w:val="20"/>
            <w:szCs w:val="20"/>
            <w:lang w:val="ru-RU" w:eastAsia="ru-RU"/>
          </w:rPr>
          <w:tab/>
        </w:r>
        <w:r w:rsidRPr="00EA499A">
          <w:rPr>
            <w:rStyle w:val="Hyperlink"/>
            <w:noProof/>
            <w:sz w:val="20"/>
            <w:szCs w:val="20"/>
            <w:lang w:val="ru-RU"/>
          </w:rPr>
          <w:t>Образование, профессиональная подготовка и занятость</w:t>
        </w:r>
        <w:r w:rsidRPr="00EA499A">
          <w:rPr>
            <w:noProof/>
            <w:webHidden/>
            <w:sz w:val="20"/>
            <w:szCs w:val="20"/>
            <w:lang w:val="ru-RU"/>
          </w:rPr>
          <w:tab/>
        </w:r>
        <w:r>
          <w:rPr>
            <w:noProof/>
            <w:webHidden/>
            <w:sz w:val="20"/>
            <w:szCs w:val="20"/>
            <w:lang w:val="ru-RU"/>
          </w:rPr>
          <w:tab/>
        </w:r>
        <w:r w:rsidRPr="00360D96">
          <w:rPr>
            <w:noProof/>
            <w:webHidden/>
            <w:sz w:val="20"/>
            <w:szCs w:val="20"/>
          </w:rPr>
          <w:fldChar w:fldCharType="begin"/>
        </w:r>
        <w:r w:rsidRPr="00EA499A">
          <w:rPr>
            <w:noProof/>
            <w:webHidden/>
            <w:sz w:val="20"/>
            <w:szCs w:val="20"/>
            <w:lang w:val="ru-RU"/>
          </w:rPr>
          <w:instrText xml:space="preserve"> </w:instrText>
        </w:r>
        <w:r w:rsidRPr="00360D96">
          <w:rPr>
            <w:noProof/>
            <w:webHidden/>
            <w:sz w:val="20"/>
            <w:szCs w:val="20"/>
          </w:rPr>
          <w:instrText>PAGEREF</w:instrText>
        </w:r>
        <w:r w:rsidRPr="00EA499A">
          <w:rPr>
            <w:noProof/>
            <w:webHidden/>
            <w:sz w:val="20"/>
            <w:szCs w:val="20"/>
            <w:lang w:val="ru-RU"/>
          </w:rPr>
          <w:instrText xml:space="preserve"> _</w:instrText>
        </w:r>
        <w:r w:rsidRPr="00360D96">
          <w:rPr>
            <w:noProof/>
            <w:webHidden/>
            <w:sz w:val="20"/>
            <w:szCs w:val="20"/>
          </w:rPr>
          <w:instrText>Toc</w:instrText>
        </w:r>
        <w:r w:rsidRPr="00EA499A">
          <w:rPr>
            <w:noProof/>
            <w:webHidden/>
            <w:sz w:val="20"/>
            <w:szCs w:val="20"/>
            <w:lang w:val="ru-RU"/>
          </w:rPr>
          <w:instrText>417398654 \</w:instrText>
        </w:r>
        <w:r w:rsidRPr="00360D96">
          <w:rPr>
            <w:noProof/>
            <w:webHidden/>
            <w:sz w:val="20"/>
            <w:szCs w:val="20"/>
          </w:rPr>
          <w:instrText>h</w:instrText>
        </w:r>
        <w:r w:rsidRPr="00EA499A">
          <w:rPr>
            <w:noProof/>
            <w:webHidden/>
            <w:sz w:val="20"/>
            <w:szCs w:val="20"/>
            <w:lang w:val="ru-RU"/>
          </w:rPr>
          <w:instrText xml:space="preserve"> </w:instrText>
        </w:r>
        <w:r w:rsidRPr="00360D96">
          <w:rPr>
            <w:noProof/>
            <w:sz w:val="20"/>
            <w:szCs w:val="20"/>
          </w:rPr>
        </w:r>
        <w:r w:rsidRPr="00360D96">
          <w:rPr>
            <w:noProof/>
            <w:webHidden/>
            <w:sz w:val="20"/>
            <w:szCs w:val="20"/>
          </w:rPr>
          <w:fldChar w:fldCharType="separate"/>
        </w:r>
        <w:r w:rsidR="00D60C66">
          <w:rPr>
            <w:noProof/>
            <w:webHidden/>
            <w:sz w:val="20"/>
            <w:szCs w:val="20"/>
          </w:rPr>
          <w:t>62</w:t>
        </w:r>
        <w:r w:rsidRPr="00360D96">
          <w:rPr>
            <w:noProof/>
            <w:webHidden/>
            <w:sz w:val="20"/>
            <w:szCs w:val="20"/>
          </w:rPr>
          <w:fldChar w:fldCharType="end"/>
        </w:r>
      </w:hyperlink>
    </w:p>
    <w:p w:rsidR="001F6FBC" w:rsidRPr="00360D96" w:rsidRDefault="001F6FBC" w:rsidP="001F6FBC">
      <w:pPr>
        <w:pStyle w:val="TOC2"/>
        <w:spacing w:after="100"/>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hyperlink w:anchor="_Toc417398655" w:history="1">
        <w:r w:rsidRPr="00EA499A">
          <w:rPr>
            <w:rStyle w:val="Hyperlink"/>
            <w:noProof/>
            <w:sz w:val="20"/>
            <w:szCs w:val="20"/>
            <w:lang w:val="ru-RU"/>
          </w:rPr>
          <w:t>2.2</w:t>
        </w:r>
        <w:r w:rsidRPr="00360D96">
          <w:rPr>
            <w:noProof/>
            <w:sz w:val="20"/>
            <w:szCs w:val="20"/>
            <w:lang w:val="ru-RU" w:eastAsia="ru-RU"/>
          </w:rPr>
          <w:tab/>
        </w:r>
        <w:r w:rsidRPr="00EA499A">
          <w:rPr>
            <w:rStyle w:val="Hyperlink"/>
            <w:noProof/>
            <w:sz w:val="20"/>
            <w:szCs w:val="20"/>
            <w:lang w:val="ru-RU"/>
          </w:rPr>
          <w:t>Цели развития тысячелетия</w:t>
        </w:r>
        <w:r w:rsidRPr="00EA499A">
          <w:rPr>
            <w:noProof/>
            <w:webHidden/>
            <w:sz w:val="20"/>
            <w:szCs w:val="20"/>
            <w:lang w:val="ru-RU"/>
          </w:rPr>
          <w:tab/>
        </w:r>
        <w:r>
          <w:rPr>
            <w:noProof/>
            <w:webHidden/>
            <w:sz w:val="20"/>
            <w:szCs w:val="20"/>
            <w:lang w:val="ru-RU"/>
          </w:rPr>
          <w:tab/>
        </w:r>
        <w:r w:rsidRPr="00360D96">
          <w:rPr>
            <w:noProof/>
            <w:webHidden/>
            <w:sz w:val="20"/>
            <w:szCs w:val="20"/>
          </w:rPr>
          <w:fldChar w:fldCharType="begin"/>
        </w:r>
        <w:r w:rsidRPr="00EA499A">
          <w:rPr>
            <w:noProof/>
            <w:webHidden/>
            <w:sz w:val="20"/>
            <w:szCs w:val="20"/>
            <w:lang w:val="ru-RU"/>
          </w:rPr>
          <w:instrText xml:space="preserve"> </w:instrText>
        </w:r>
        <w:r w:rsidRPr="00360D96">
          <w:rPr>
            <w:noProof/>
            <w:webHidden/>
            <w:sz w:val="20"/>
            <w:szCs w:val="20"/>
          </w:rPr>
          <w:instrText>PAGEREF</w:instrText>
        </w:r>
        <w:r w:rsidRPr="00EA499A">
          <w:rPr>
            <w:noProof/>
            <w:webHidden/>
            <w:sz w:val="20"/>
            <w:szCs w:val="20"/>
            <w:lang w:val="ru-RU"/>
          </w:rPr>
          <w:instrText xml:space="preserve"> _</w:instrText>
        </w:r>
        <w:r w:rsidRPr="00360D96">
          <w:rPr>
            <w:noProof/>
            <w:webHidden/>
            <w:sz w:val="20"/>
            <w:szCs w:val="20"/>
          </w:rPr>
          <w:instrText>Toc</w:instrText>
        </w:r>
        <w:r w:rsidRPr="00EA499A">
          <w:rPr>
            <w:noProof/>
            <w:webHidden/>
            <w:sz w:val="20"/>
            <w:szCs w:val="20"/>
            <w:lang w:val="ru-RU"/>
          </w:rPr>
          <w:instrText>417398655 \</w:instrText>
        </w:r>
        <w:r w:rsidRPr="00360D96">
          <w:rPr>
            <w:noProof/>
            <w:webHidden/>
            <w:sz w:val="20"/>
            <w:szCs w:val="20"/>
          </w:rPr>
          <w:instrText>h</w:instrText>
        </w:r>
        <w:r w:rsidRPr="00EA499A">
          <w:rPr>
            <w:noProof/>
            <w:webHidden/>
            <w:sz w:val="20"/>
            <w:szCs w:val="20"/>
            <w:lang w:val="ru-RU"/>
          </w:rPr>
          <w:instrText xml:space="preserve"> </w:instrText>
        </w:r>
        <w:r w:rsidRPr="00360D96">
          <w:rPr>
            <w:noProof/>
            <w:sz w:val="20"/>
            <w:szCs w:val="20"/>
          </w:rPr>
        </w:r>
        <w:r w:rsidRPr="00360D96">
          <w:rPr>
            <w:noProof/>
            <w:webHidden/>
            <w:sz w:val="20"/>
            <w:szCs w:val="20"/>
          </w:rPr>
          <w:fldChar w:fldCharType="separate"/>
        </w:r>
        <w:r w:rsidR="00D60C66">
          <w:rPr>
            <w:noProof/>
            <w:webHidden/>
            <w:sz w:val="20"/>
            <w:szCs w:val="20"/>
          </w:rPr>
          <w:t>63</w:t>
        </w:r>
        <w:r w:rsidRPr="00360D96">
          <w:rPr>
            <w:noProof/>
            <w:webHidden/>
            <w:sz w:val="20"/>
            <w:szCs w:val="20"/>
          </w:rPr>
          <w:fldChar w:fldCharType="end"/>
        </w:r>
      </w:hyperlink>
    </w:p>
    <w:p w:rsidR="001F6FBC" w:rsidRPr="00360D96" w:rsidRDefault="001F6FBC" w:rsidP="001F6FBC">
      <w:pPr>
        <w:pStyle w:val="TOC2"/>
        <w:spacing w:after="100"/>
        <w:ind w:left="1843" w:hanging="1843"/>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hyperlink w:anchor="_Toc417398656" w:history="1">
        <w:r w:rsidRPr="00EA499A">
          <w:rPr>
            <w:rStyle w:val="Hyperlink"/>
            <w:noProof/>
            <w:sz w:val="20"/>
            <w:szCs w:val="20"/>
            <w:lang w:val="ru-RU"/>
          </w:rPr>
          <w:t>2.3</w:t>
        </w:r>
        <w:r w:rsidRPr="00360D96">
          <w:rPr>
            <w:noProof/>
            <w:sz w:val="20"/>
            <w:szCs w:val="20"/>
            <w:lang w:val="ru-RU" w:eastAsia="ru-RU"/>
          </w:rPr>
          <w:tab/>
        </w:r>
        <w:r w:rsidRPr="00EA499A">
          <w:rPr>
            <w:rStyle w:val="Hyperlink"/>
            <w:noProof/>
            <w:sz w:val="20"/>
            <w:szCs w:val="20"/>
            <w:lang w:val="ru-RU"/>
          </w:rPr>
          <w:t>Протокол к Африканской хартии прав человека и народов, касающийся прав женщин в</w:t>
        </w:r>
        <w:r>
          <w:rPr>
            <w:rStyle w:val="Hyperlink"/>
            <w:noProof/>
            <w:sz w:val="20"/>
            <w:szCs w:val="20"/>
            <w:lang w:val="ru-RU"/>
          </w:rPr>
          <w:t> </w:t>
        </w:r>
        <w:r w:rsidRPr="00EA499A">
          <w:rPr>
            <w:rStyle w:val="Hyperlink"/>
            <w:noProof/>
            <w:sz w:val="20"/>
            <w:szCs w:val="20"/>
            <w:lang w:val="ru-RU"/>
          </w:rPr>
          <w:t>Африке</w:t>
        </w:r>
        <w:r w:rsidRPr="00EA499A">
          <w:rPr>
            <w:noProof/>
            <w:webHidden/>
            <w:sz w:val="20"/>
            <w:szCs w:val="20"/>
            <w:lang w:val="ru-RU"/>
          </w:rPr>
          <w:tab/>
        </w:r>
        <w:r>
          <w:rPr>
            <w:noProof/>
            <w:webHidden/>
            <w:sz w:val="20"/>
            <w:szCs w:val="20"/>
            <w:lang w:val="ru-RU"/>
          </w:rPr>
          <w:tab/>
        </w:r>
        <w:r w:rsidRPr="00360D96">
          <w:rPr>
            <w:noProof/>
            <w:webHidden/>
            <w:sz w:val="20"/>
            <w:szCs w:val="20"/>
          </w:rPr>
          <w:fldChar w:fldCharType="begin"/>
        </w:r>
        <w:r w:rsidRPr="00EA499A">
          <w:rPr>
            <w:noProof/>
            <w:webHidden/>
            <w:sz w:val="20"/>
            <w:szCs w:val="20"/>
            <w:lang w:val="ru-RU"/>
          </w:rPr>
          <w:instrText xml:space="preserve"> </w:instrText>
        </w:r>
        <w:r w:rsidRPr="00360D96">
          <w:rPr>
            <w:noProof/>
            <w:webHidden/>
            <w:sz w:val="20"/>
            <w:szCs w:val="20"/>
          </w:rPr>
          <w:instrText>PAGEREF</w:instrText>
        </w:r>
        <w:r w:rsidRPr="00EA499A">
          <w:rPr>
            <w:noProof/>
            <w:webHidden/>
            <w:sz w:val="20"/>
            <w:szCs w:val="20"/>
            <w:lang w:val="ru-RU"/>
          </w:rPr>
          <w:instrText xml:space="preserve"> _</w:instrText>
        </w:r>
        <w:r w:rsidRPr="00360D96">
          <w:rPr>
            <w:noProof/>
            <w:webHidden/>
            <w:sz w:val="20"/>
            <w:szCs w:val="20"/>
          </w:rPr>
          <w:instrText>Toc</w:instrText>
        </w:r>
        <w:r w:rsidRPr="00EA499A">
          <w:rPr>
            <w:noProof/>
            <w:webHidden/>
            <w:sz w:val="20"/>
            <w:szCs w:val="20"/>
            <w:lang w:val="ru-RU"/>
          </w:rPr>
          <w:instrText>417398656 \</w:instrText>
        </w:r>
        <w:r w:rsidRPr="00360D96">
          <w:rPr>
            <w:noProof/>
            <w:webHidden/>
            <w:sz w:val="20"/>
            <w:szCs w:val="20"/>
          </w:rPr>
          <w:instrText>h</w:instrText>
        </w:r>
        <w:r w:rsidRPr="00EA499A">
          <w:rPr>
            <w:noProof/>
            <w:webHidden/>
            <w:sz w:val="20"/>
            <w:szCs w:val="20"/>
            <w:lang w:val="ru-RU"/>
          </w:rPr>
          <w:instrText xml:space="preserve"> </w:instrText>
        </w:r>
        <w:r w:rsidRPr="00360D96">
          <w:rPr>
            <w:noProof/>
            <w:sz w:val="20"/>
            <w:szCs w:val="20"/>
          </w:rPr>
        </w:r>
        <w:r w:rsidRPr="00360D96">
          <w:rPr>
            <w:noProof/>
            <w:webHidden/>
            <w:sz w:val="20"/>
            <w:szCs w:val="20"/>
          </w:rPr>
          <w:fldChar w:fldCharType="separate"/>
        </w:r>
        <w:r w:rsidR="00D60C66">
          <w:rPr>
            <w:noProof/>
            <w:webHidden/>
            <w:sz w:val="20"/>
            <w:szCs w:val="20"/>
          </w:rPr>
          <w:t>63</w:t>
        </w:r>
        <w:r w:rsidRPr="00360D96">
          <w:rPr>
            <w:noProof/>
            <w:webHidden/>
            <w:sz w:val="20"/>
            <w:szCs w:val="20"/>
          </w:rPr>
          <w:fldChar w:fldCharType="end"/>
        </w:r>
      </w:hyperlink>
    </w:p>
    <w:p w:rsidR="001F6FBC" w:rsidRPr="00360D96" w:rsidRDefault="001F6FBC" w:rsidP="001F6FBC">
      <w:pPr>
        <w:pStyle w:val="TOC1"/>
        <w:tabs>
          <w:tab w:val="right" w:pos="993"/>
          <w:tab w:val="left" w:pos="1276"/>
          <w:tab w:val="left" w:pos="1843"/>
          <w:tab w:val="right" w:pos="9781"/>
        </w:tabs>
        <w:spacing w:after="100" w:line="240" w:lineRule="auto"/>
        <w:ind w:left="0" w:firstLine="0"/>
        <w:rPr>
          <w:noProof/>
          <w:sz w:val="20"/>
          <w:szCs w:val="20"/>
          <w:lang w:val="ru-RU" w:eastAsia="ru-RU"/>
        </w:rPr>
      </w:pPr>
      <w:r w:rsidRPr="00360D96">
        <w:rPr>
          <w:rStyle w:val="Hyperlink"/>
          <w:noProof/>
          <w:sz w:val="20"/>
          <w:szCs w:val="20"/>
          <w:lang w:val="ru-RU"/>
        </w:rPr>
        <w:tab/>
      </w:r>
      <w:r w:rsidRPr="00360D96">
        <w:rPr>
          <w:rStyle w:val="Hyperlink"/>
          <w:noProof/>
          <w:sz w:val="20"/>
          <w:szCs w:val="20"/>
          <w:lang w:val="ru-RU"/>
        </w:rPr>
        <w:tab/>
      </w:r>
      <w:hyperlink w:anchor="_Toc417398657" w:history="1">
        <w:r w:rsidRPr="00360D96">
          <w:rPr>
            <w:rStyle w:val="Hyperlink"/>
            <w:noProof/>
            <w:sz w:val="20"/>
            <w:szCs w:val="20"/>
          </w:rPr>
          <w:t>Ссылки</w:t>
        </w:r>
        <w:r w:rsidRPr="00360D96">
          <w:rPr>
            <w:noProof/>
            <w:webHidden/>
            <w:sz w:val="20"/>
            <w:szCs w:val="20"/>
          </w:rPr>
          <w:tab/>
        </w:r>
        <w:r>
          <w:rPr>
            <w:noProof/>
            <w:webHidden/>
            <w:sz w:val="20"/>
            <w:szCs w:val="20"/>
            <w:lang w:val="ru-RU"/>
          </w:rPr>
          <w:tab/>
        </w:r>
        <w:r w:rsidRPr="00360D96">
          <w:rPr>
            <w:noProof/>
            <w:webHidden/>
            <w:sz w:val="20"/>
            <w:szCs w:val="20"/>
          </w:rPr>
          <w:fldChar w:fldCharType="begin"/>
        </w:r>
        <w:r w:rsidRPr="00360D96">
          <w:rPr>
            <w:noProof/>
            <w:webHidden/>
            <w:sz w:val="20"/>
            <w:szCs w:val="20"/>
          </w:rPr>
          <w:instrText xml:space="preserve"> PAGEREF _Toc417398657 \h </w:instrText>
        </w:r>
        <w:r w:rsidRPr="00360D96">
          <w:rPr>
            <w:noProof/>
            <w:sz w:val="20"/>
            <w:szCs w:val="20"/>
          </w:rPr>
        </w:r>
        <w:r w:rsidRPr="00360D96">
          <w:rPr>
            <w:noProof/>
            <w:webHidden/>
            <w:sz w:val="20"/>
            <w:szCs w:val="20"/>
          </w:rPr>
          <w:fldChar w:fldCharType="separate"/>
        </w:r>
        <w:r w:rsidR="00D60C66">
          <w:rPr>
            <w:noProof/>
            <w:webHidden/>
            <w:sz w:val="20"/>
            <w:szCs w:val="20"/>
          </w:rPr>
          <w:t>64</w:t>
        </w:r>
        <w:r w:rsidRPr="00360D96">
          <w:rPr>
            <w:noProof/>
            <w:webHidden/>
            <w:sz w:val="20"/>
            <w:szCs w:val="20"/>
          </w:rPr>
          <w:fldChar w:fldCharType="end"/>
        </w:r>
      </w:hyperlink>
    </w:p>
    <w:p w:rsidR="001F6FBC" w:rsidRPr="00570DEC" w:rsidRDefault="001F6FBC" w:rsidP="001F6FBC">
      <w:pPr>
        <w:tabs>
          <w:tab w:val="right" w:pos="993"/>
          <w:tab w:val="left" w:pos="1276"/>
          <w:tab w:val="left" w:pos="1843"/>
          <w:tab w:val="left" w:pos="1985"/>
          <w:tab w:val="left" w:pos="9369"/>
          <w:tab w:val="right" w:pos="9781"/>
        </w:tabs>
        <w:spacing w:after="100" w:line="240" w:lineRule="auto"/>
        <w:rPr>
          <w:color w:val="000000"/>
          <w:spacing w:val="0"/>
          <w:w w:val="100"/>
        </w:rPr>
      </w:pPr>
    </w:p>
    <w:p w:rsidR="00AD593A" w:rsidRPr="00570DEC" w:rsidRDefault="001F6FBC" w:rsidP="00AD593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br w:type="page"/>
      </w:r>
      <w:r w:rsidR="00AD593A" w:rsidRPr="00570DEC">
        <w:tab/>
      </w:r>
      <w:r w:rsidR="00AD593A" w:rsidRPr="00570DEC">
        <w:tab/>
      </w:r>
      <w:bookmarkStart w:id="4" w:name="_Toc417395201"/>
      <w:bookmarkStart w:id="5" w:name="_Toc417398628"/>
      <w:r w:rsidR="00AD593A" w:rsidRPr="00C81884">
        <w:t>Сокращения</w:t>
      </w:r>
      <w:bookmarkEnd w:id="4"/>
      <w:bookmarkEnd w:id="5"/>
    </w:p>
    <w:p w:rsidR="00AD593A" w:rsidRPr="00570DEC" w:rsidRDefault="00AD593A" w:rsidP="00AD593A">
      <w:pPr>
        <w:pStyle w:val="SingleTxt"/>
        <w:tabs>
          <w:tab w:val="clear" w:pos="1742"/>
          <w:tab w:val="clear" w:pos="2218"/>
          <w:tab w:val="clear" w:pos="2693"/>
          <w:tab w:val="clear" w:pos="3658"/>
          <w:tab w:val="clear" w:pos="4133"/>
          <w:tab w:val="clear" w:pos="4622"/>
          <w:tab w:val="clear" w:pos="5098"/>
          <w:tab w:val="clear" w:pos="5573"/>
          <w:tab w:val="clear" w:pos="6048"/>
          <w:tab w:val="left" w:pos="7740"/>
        </w:tabs>
        <w:spacing w:after="0" w:line="120" w:lineRule="exact"/>
        <w:rPr>
          <w:color w:val="000000"/>
          <w:sz w:val="10"/>
        </w:rPr>
      </w:pPr>
    </w:p>
    <w:p w:rsidR="00AD593A" w:rsidRPr="00570DEC" w:rsidRDefault="00AD593A" w:rsidP="00AD593A">
      <w:pPr>
        <w:pStyle w:val="SingleTxt"/>
        <w:tabs>
          <w:tab w:val="clear" w:pos="1742"/>
          <w:tab w:val="clear" w:pos="2218"/>
          <w:tab w:val="clear" w:pos="2693"/>
          <w:tab w:val="clear" w:pos="3658"/>
          <w:tab w:val="clear" w:pos="4133"/>
          <w:tab w:val="clear" w:pos="4622"/>
          <w:tab w:val="clear" w:pos="5098"/>
          <w:tab w:val="clear" w:pos="5573"/>
          <w:tab w:val="clear" w:pos="6048"/>
          <w:tab w:val="left" w:pos="7740"/>
        </w:tabs>
        <w:spacing w:after="0" w:line="120" w:lineRule="exact"/>
        <w:rPr>
          <w:color w:val="000000"/>
          <w:sz w:val="10"/>
        </w:rPr>
      </w:pPr>
    </w:p>
    <w:tbl>
      <w:tblPr>
        <w:tblW w:w="3714" w:type="pct"/>
        <w:tblInd w:w="1267" w:type="dxa"/>
        <w:tblCellMar>
          <w:left w:w="0" w:type="dxa"/>
          <w:right w:w="0" w:type="dxa"/>
        </w:tblCellMar>
        <w:tblLook w:val="04A0"/>
      </w:tblPr>
      <w:tblGrid>
        <w:gridCol w:w="1595"/>
        <w:gridCol w:w="5714"/>
      </w:tblGrid>
      <w:tr w:rsidR="00AD593A" w:rsidRPr="00AA6BE2"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AAT</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танзанийская о</w:t>
            </w:r>
            <w:r w:rsidRPr="00570DEC">
              <w:rPr>
                <w:rFonts w:eastAsia="Times New Roman"/>
                <w:color w:val="000000"/>
              </w:rPr>
              <w:t>рганизация "Доступное убежище"</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АИЗ</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Ассоциация инвалидов Занзибара</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АН</w:t>
            </w:r>
            <w:r>
              <w:rPr>
                <w:rFonts w:eastAsia="Times New Roman"/>
                <w:color w:val="000000"/>
              </w:rPr>
              <w:t>П</w:t>
            </w:r>
            <w:r w:rsidRPr="00570DEC">
              <w:rPr>
                <w:rFonts w:eastAsia="Times New Roman"/>
                <w:color w:val="000000"/>
              </w:rPr>
              <w:t>ОЗ</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Ассоциация неправительственных организаций Занзибара</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АРСИО</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Ассоциация регионального сотрудничества стран бассейна Индийского океана</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color w:val="000000"/>
              </w:rPr>
              <w:t>АХПЧН</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Африканская хартия прав человека и народов</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Pr>
                <w:rFonts w:eastAsia="Times New Roman"/>
                <w:color w:val="000000"/>
              </w:rPr>
              <w:t>В</w:t>
            </w:r>
            <w:r w:rsidRPr="00570DEC">
              <w:rPr>
                <w:rFonts w:eastAsia="Times New Roman"/>
                <w:color w:val="000000"/>
              </w:rPr>
              <w:t>AC</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Восточноафриканское сообщество</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ВВП</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в</w:t>
            </w:r>
            <w:r w:rsidRPr="00570DEC">
              <w:rPr>
                <w:rFonts w:eastAsia="Times New Roman"/>
                <w:color w:val="000000"/>
              </w:rPr>
              <w:t>аловой внутренний продукт</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ВИЛДАФ</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Ассоциация женщин, занимающихся вопросами права и развития в Африке</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ВИЧ</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в</w:t>
            </w:r>
            <w:r w:rsidRPr="00570DEC">
              <w:rPr>
                <w:rFonts w:eastAsia="Times New Roman"/>
                <w:color w:val="000000"/>
              </w:rPr>
              <w:t>ирус иммунодефицита человека</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ВКБ ООН</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Верховный комиссар Организации Объединенных Наций по делам беженцев</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ВТО</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Всемирная торговая организация</w:t>
            </w:r>
          </w:p>
        </w:tc>
      </w:tr>
      <w:tr w:rsidR="00AD593A" w:rsidRPr="00AA6BE2"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Pr>
                <w:rFonts w:eastAsia="Times New Roman"/>
                <w:color w:val="000000"/>
              </w:rPr>
              <w:t>Г</w:t>
            </w:r>
            <w:r w:rsidRPr="00570DEC">
              <w:rPr>
                <w:rFonts w:eastAsia="Times New Roman"/>
                <w:color w:val="000000"/>
              </w:rPr>
              <w:t>Н</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гендерное н</w:t>
            </w:r>
            <w:r w:rsidRPr="00570DEC">
              <w:rPr>
                <w:rFonts w:eastAsia="Times New Roman"/>
                <w:color w:val="000000"/>
              </w:rPr>
              <w:t xml:space="preserve">асилие </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ГП</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Генеральный прокурор</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ДБО</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д</w:t>
            </w:r>
            <w:r w:rsidRPr="00570DEC">
              <w:rPr>
                <w:rFonts w:eastAsia="Times New Roman"/>
                <w:color w:val="000000"/>
              </w:rPr>
              <w:t xml:space="preserve">ополнительное базовое образование </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ДРК</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Демократическая Республика Конго</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ДРП</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дородовая помощь</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ДРЭПВ</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 xml:space="preserve">Департамент расширения </w:t>
            </w:r>
            <w:r>
              <w:rPr>
                <w:rFonts w:eastAsia="Times New Roman"/>
                <w:color w:val="000000"/>
              </w:rPr>
              <w:t xml:space="preserve">экономических </w:t>
            </w:r>
            <w:r w:rsidRPr="00570DEC">
              <w:rPr>
                <w:rFonts w:eastAsia="Times New Roman"/>
                <w:color w:val="000000"/>
              </w:rPr>
              <w:t>прав и возможн</w:t>
            </w:r>
            <w:r w:rsidRPr="00570DEC">
              <w:rPr>
                <w:rFonts w:eastAsia="Times New Roman"/>
                <w:color w:val="000000"/>
              </w:rPr>
              <w:t>о</w:t>
            </w:r>
            <w:r w:rsidRPr="00570DEC">
              <w:rPr>
                <w:rFonts w:eastAsia="Times New Roman"/>
                <w:color w:val="000000"/>
              </w:rPr>
              <w:t xml:space="preserve">стей </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ЖБТ</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Женский банк Танзании</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color w:val="000000"/>
              </w:rPr>
              <w:t>ЗАЖЮ</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Занзибарская ассоциация женщин-юристов</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ЗЗЗ</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Закон о занятости Занзибара</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ЗЗТО</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Закон о занятости и трудовых отношениях</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ЗИ</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Закон об инвалидах</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Pr>
                <w:rFonts w:eastAsia="Times New Roman"/>
                <w:color w:val="000000"/>
              </w:rPr>
              <w:t>ЗОМ</w:t>
            </w:r>
            <w:r w:rsidRPr="00570DEC">
              <w:rPr>
                <w:rFonts w:eastAsia="Times New Roman"/>
                <w:color w:val="000000"/>
              </w:rPr>
              <w:t>СП</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Закон об о</w:t>
            </w:r>
            <w:r w:rsidRPr="00570DEC">
              <w:rPr>
                <w:rFonts w:eastAsia="Times New Roman"/>
                <w:color w:val="000000"/>
              </w:rPr>
              <w:t>собы</w:t>
            </w:r>
            <w:r>
              <w:rPr>
                <w:rFonts w:eastAsia="Times New Roman"/>
                <w:color w:val="000000"/>
              </w:rPr>
              <w:t>х</w:t>
            </w:r>
            <w:r w:rsidRPr="00570DEC">
              <w:rPr>
                <w:rFonts w:eastAsia="Times New Roman"/>
                <w:color w:val="000000"/>
              </w:rPr>
              <w:t xml:space="preserve"> </w:t>
            </w:r>
            <w:r>
              <w:rPr>
                <w:rFonts w:eastAsia="Times New Roman"/>
                <w:color w:val="000000"/>
              </w:rPr>
              <w:t>мерах против сексуальных</w:t>
            </w:r>
            <w:r w:rsidRPr="00570DEC">
              <w:rPr>
                <w:rFonts w:eastAsia="Times New Roman"/>
                <w:color w:val="000000"/>
              </w:rPr>
              <w:t xml:space="preserve"> преступлений </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ЗППП</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з</w:t>
            </w:r>
            <w:r w:rsidRPr="00570DEC">
              <w:rPr>
                <w:rFonts w:eastAsia="Times New Roman"/>
                <w:color w:val="000000"/>
              </w:rPr>
              <w:t>аболевания, передаваемые половым путем</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З</w:t>
            </w:r>
            <w:r>
              <w:rPr>
                <w:rFonts w:eastAsia="Times New Roman"/>
                <w:color w:val="000000"/>
              </w:rPr>
              <w:t>ПР</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 xml:space="preserve">Закон о </w:t>
            </w:r>
            <w:r>
              <w:rPr>
                <w:rFonts w:eastAsia="Times New Roman"/>
                <w:color w:val="000000"/>
              </w:rPr>
              <w:t>правах ребенка</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ЗТУ</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Закон о трудовых учреждениях</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ЗФС</w:t>
            </w:r>
            <w:r>
              <w:rPr>
                <w:rFonts w:eastAsia="Times New Roman"/>
                <w:color w:val="000000"/>
              </w:rPr>
              <w:t>О</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Занзибар</w:t>
            </w:r>
            <w:r>
              <w:rPr>
                <w:rFonts w:eastAsia="Times New Roman"/>
                <w:color w:val="000000"/>
              </w:rPr>
              <w:t>ский</w:t>
            </w:r>
            <w:r w:rsidRPr="00570DEC">
              <w:rPr>
                <w:rFonts w:eastAsia="Times New Roman"/>
                <w:color w:val="000000"/>
              </w:rPr>
              <w:t xml:space="preserve"> </w:t>
            </w:r>
            <w:r>
              <w:rPr>
                <w:rFonts w:eastAsia="Times New Roman"/>
                <w:color w:val="000000"/>
              </w:rPr>
              <w:t>ф</w:t>
            </w:r>
            <w:r w:rsidRPr="00570DEC">
              <w:rPr>
                <w:rFonts w:eastAsia="Times New Roman"/>
                <w:color w:val="000000"/>
              </w:rPr>
              <w:t xml:space="preserve">онд социального </w:t>
            </w:r>
            <w:r>
              <w:rPr>
                <w:rFonts w:eastAsia="Times New Roman"/>
                <w:color w:val="000000"/>
              </w:rPr>
              <w:t>обеспече</w:t>
            </w:r>
            <w:r w:rsidRPr="00570DEC">
              <w:rPr>
                <w:rFonts w:eastAsia="Times New Roman"/>
                <w:color w:val="000000"/>
              </w:rPr>
              <w:t xml:space="preserve">ния </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ИКТ</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и</w:t>
            </w:r>
            <w:r w:rsidRPr="00570DEC">
              <w:rPr>
                <w:rFonts w:eastAsia="Times New Roman"/>
                <w:color w:val="000000"/>
              </w:rPr>
              <w:t>нформационно-коммуникационные технологии</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КГВ</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к</w:t>
            </w:r>
            <w:r w:rsidRPr="00570DEC">
              <w:rPr>
                <w:rFonts w:eastAsia="Times New Roman"/>
                <w:color w:val="000000"/>
              </w:rPr>
              <w:t>оординатор по гендерным вопросам</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КЛДЖ</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Конвенция о ликвидации всех форм дискриминации в отношении женщин</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КОЖПО/ЖО</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к</w:t>
            </w:r>
            <w:r w:rsidRPr="00570DEC">
              <w:rPr>
                <w:rFonts w:eastAsia="Times New Roman"/>
                <w:color w:val="000000"/>
              </w:rPr>
              <w:t>алечащие операции на женских половых органах/женское обрезание</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КОРС</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Комплексное обследование рабочей силы</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Pr>
                <w:rFonts w:eastAsia="Times New Roman"/>
                <w:color w:val="000000"/>
              </w:rPr>
              <w:t>КП</w:t>
            </w:r>
            <w:r w:rsidRPr="00570DEC">
              <w:rPr>
                <w:rFonts w:eastAsia="Times New Roman"/>
                <w:color w:val="000000"/>
              </w:rPr>
              <w:t>A</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Комиссия по вопросам посредничества и арбитража</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КПК</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Комиссия по пересмотру Конституции</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КПРТ</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Комиссия по правовой реформе Танзании</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Pr>
                <w:rFonts w:eastAsia="Times New Roman"/>
                <w:color w:val="000000"/>
              </w:rPr>
              <w:t>К</w:t>
            </w:r>
            <w:r w:rsidRPr="00570DEC">
              <w:rPr>
                <w:rFonts w:eastAsia="Times New Roman"/>
                <w:color w:val="000000"/>
              </w:rPr>
              <w:t>П</w:t>
            </w:r>
            <w:r>
              <w:rPr>
                <w:rFonts w:eastAsia="Times New Roman"/>
                <w:color w:val="000000"/>
              </w:rPr>
              <w:t>-УГС</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Канцелярия</w:t>
            </w:r>
            <w:r w:rsidRPr="00570DEC">
              <w:rPr>
                <w:rFonts w:eastAsia="Times New Roman"/>
                <w:color w:val="000000"/>
              </w:rPr>
              <w:t xml:space="preserve"> президента по вопросам </w:t>
            </w:r>
            <w:r>
              <w:rPr>
                <w:rFonts w:eastAsia="Times New Roman"/>
                <w:color w:val="000000"/>
              </w:rPr>
              <w:t xml:space="preserve">управления </w:t>
            </w:r>
            <w:r w:rsidRPr="00570DEC">
              <w:rPr>
                <w:rFonts w:eastAsia="Times New Roman"/>
                <w:color w:val="000000"/>
              </w:rPr>
              <w:t>госуда</w:t>
            </w:r>
            <w:r w:rsidRPr="00570DEC">
              <w:rPr>
                <w:rFonts w:eastAsia="Times New Roman"/>
                <w:color w:val="000000"/>
              </w:rPr>
              <w:t>р</w:t>
            </w:r>
            <w:r w:rsidRPr="00570DEC">
              <w:rPr>
                <w:rFonts w:eastAsia="Times New Roman"/>
                <w:color w:val="000000"/>
              </w:rPr>
              <w:t>ственн</w:t>
            </w:r>
            <w:r>
              <w:rPr>
                <w:rFonts w:eastAsia="Times New Roman"/>
                <w:color w:val="000000"/>
              </w:rPr>
              <w:t>ых</w:t>
            </w:r>
            <w:r w:rsidRPr="00570DEC">
              <w:rPr>
                <w:rFonts w:eastAsia="Times New Roman"/>
                <w:color w:val="000000"/>
              </w:rPr>
              <w:t xml:space="preserve"> служб</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КПЧБУ</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Комиссия по правам человека и благому управлению</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КР</w:t>
            </w:r>
            <w:r>
              <w:rPr>
                <w:rFonts w:eastAsia="Times New Roman"/>
                <w:color w:val="000000"/>
              </w:rPr>
              <w:t>А</w:t>
            </w:r>
            <w:r w:rsidRPr="00570DEC">
              <w:rPr>
                <w:rFonts w:eastAsia="Times New Roman"/>
                <w:color w:val="000000"/>
              </w:rPr>
              <w:t>Р</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к</w:t>
            </w:r>
            <w:r w:rsidRPr="00570DEC">
              <w:rPr>
                <w:rFonts w:eastAsia="Times New Roman"/>
                <w:color w:val="000000"/>
              </w:rPr>
              <w:t>омитеты развития</w:t>
            </w:r>
            <w:r>
              <w:rPr>
                <w:rFonts w:eastAsia="Times New Roman"/>
                <w:color w:val="000000"/>
              </w:rPr>
              <w:t xml:space="preserve"> административных районов</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МВД</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Министерство внутренних дел</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МВУ</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м</w:t>
            </w:r>
            <w:r w:rsidRPr="00570DEC">
              <w:rPr>
                <w:rFonts w:eastAsia="Times New Roman"/>
                <w:color w:val="000000"/>
              </w:rPr>
              <w:t>инистерства, ведомства и учреждения</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Pr>
                <w:rFonts w:eastAsia="Times New Roman"/>
                <w:color w:val="000000"/>
              </w:rPr>
              <w:t>МДО</w:t>
            </w:r>
            <w:r w:rsidRPr="00570DEC">
              <w:rPr>
                <w:rFonts w:eastAsia="Times New Roman"/>
                <w:color w:val="000000"/>
              </w:rPr>
              <w:t>Т</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Медико-демографическое о</w:t>
            </w:r>
            <w:r w:rsidRPr="00570DEC">
              <w:rPr>
                <w:rFonts w:eastAsia="Times New Roman"/>
                <w:color w:val="000000"/>
              </w:rPr>
              <w:t>бследование Танзании</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МКНР</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Международная конференция по народонаселению и развитию</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МКРВО</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Международная конференция по району Великих озер</w:t>
            </w:r>
          </w:p>
        </w:tc>
      </w:tr>
      <w:tr w:rsidR="00AD593A" w:rsidRPr="00AA6BE2"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МКУЗА</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Национальная с</w:t>
            </w:r>
            <w:r w:rsidRPr="00570DEC">
              <w:rPr>
                <w:rFonts w:eastAsia="Times New Roman"/>
                <w:color w:val="000000"/>
              </w:rPr>
              <w:t xml:space="preserve">тратегия </w:t>
            </w:r>
            <w:r>
              <w:rPr>
                <w:rFonts w:eastAsia="Times New Roman"/>
                <w:color w:val="000000"/>
              </w:rPr>
              <w:t xml:space="preserve">обеспечения </w:t>
            </w:r>
            <w:r w:rsidRPr="00570DEC">
              <w:rPr>
                <w:rFonts w:eastAsia="Times New Roman"/>
                <w:color w:val="000000"/>
              </w:rPr>
              <w:t xml:space="preserve">экономического роста </w:t>
            </w:r>
            <w:r>
              <w:rPr>
                <w:rFonts w:eastAsia="Times New Roman"/>
                <w:color w:val="000000"/>
              </w:rPr>
              <w:t xml:space="preserve">и сокращения нищеты на </w:t>
            </w:r>
            <w:r w:rsidRPr="00570DEC">
              <w:rPr>
                <w:rFonts w:eastAsia="Times New Roman"/>
                <w:color w:val="000000"/>
              </w:rPr>
              <w:t>Занзибар</w:t>
            </w:r>
            <w:r>
              <w:rPr>
                <w:rFonts w:eastAsia="Times New Roman"/>
                <w:color w:val="000000"/>
              </w:rPr>
              <w:t>е</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МКУКУТА</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Национальная с</w:t>
            </w:r>
            <w:r w:rsidRPr="00570DEC">
              <w:rPr>
                <w:rFonts w:eastAsia="Times New Roman"/>
                <w:color w:val="000000"/>
              </w:rPr>
              <w:t xml:space="preserve">тратегия </w:t>
            </w:r>
            <w:r>
              <w:rPr>
                <w:rFonts w:eastAsia="Times New Roman"/>
                <w:color w:val="000000"/>
              </w:rPr>
              <w:t xml:space="preserve">обеспечения </w:t>
            </w:r>
            <w:r w:rsidRPr="00570DEC">
              <w:rPr>
                <w:rFonts w:eastAsia="Times New Roman"/>
                <w:color w:val="000000"/>
              </w:rPr>
              <w:t>экономического роста и</w:t>
            </w:r>
            <w:r>
              <w:rPr>
                <w:rFonts w:eastAsia="Times New Roman"/>
                <w:color w:val="000000"/>
              </w:rPr>
              <w:t> </w:t>
            </w:r>
            <w:r w:rsidRPr="00570DEC">
              <w:rPr>
                <w:rFonts w:eastAsia="Times New Roman"/>
                <w:color w:val="000000"/>
              </w:rPr>
              <w:t xml:space="preserve">сокращения </w:t>
            </w:r>
            <w:r>
              <w:rPr>
                <w:rFonts w:eastAsia="Times New Roman"/>
                <w:color w:val="000000"/>
              </w:rPr>
              <w:t>нищеты на материковой части Танзании</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МОВ</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м</w:t>
            </w:r>
            <w:r w:rsidRPr="00570DEC">
              <w:rPr>
                <w:rFonts w:eastAsia="Times New Roman"/>
                <w:color w:val="000000"/>
              </w:rPr>
              <w:t>естные органы власти</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МОМ</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Международная организация по миграции</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МОПО</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Министерство образования и профессионального обучения</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МОРГВДД</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 xml:space="preserve">Министерство общинного развития, </w:t>
            </w:r>
            <w:r>
              <w:rPr>
                <w:rFonts w:eastAsia="Times New Roman"/>
                <w:color w:val="000000"/>
              </w:rPr>
              <w:t xml:space="preserve">по </w:t>
            </w:r>
            <w:r w:rsidRPr="00570DEC">
              <w:rPr>
                <w:rFonts w:eastAsia="Times New Roman"/>
                <w:color w:val="000000"/>
              </w:rPr>
              <w:t>гендерным вопр</w:t>
            </w:r>
            <w:r w:rsidRPr="00570DEC">
              <w:rPr>
                <w:rFonts w:eastAsia="Times New Roman"/>
                <w:color w:val="000000"/>
              </w:rPr>
              <w:t>о</w:t>
            </w:r>
            <w:r w:rsidRPr="00570DEC">
              <w:rPr>
                <w:rFonts w:eastAsia="Times New Roman"/>
                <w:color w:val="000000"/>
              </w:rPr>
              <w:t>сам и</w:t>
            </w:r>
            <w:r>
              <w:rPr>
                <w:rFonts w:eastAsia="Times New Roman"/>
                <w:color w:val="000000"/>
              </w:rPr>
              <w:t> </w:t>
            </w:r>
            <w:r w:rsidRPr="00570DEC">
              <w:rPr>
                <w:rFonts w:eastAsia="Times New Roman"/>
                <w:color w:val="000000"/>
              </w:rPr>
              <w:t xml:space="preserve">делам детей </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МРПВСОМЖД</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Министерство расширения прав и возможностей, социал</w:t>
            </w:r>
            <w:r w:rsidRPr="00570DEC">
              <w:rPr>
                <w:rFonts w:eastAsia="Times New Roman"/>
                <w:color w:val="000000"/>
              </w:rPr>
              <w:t>ь</w:t>
            </w:r>
            <w:r w:rsidRPr="00570DEC">
              <w:rPr>
                <w:rFonts w:eastAsia="Times New Roman"/>
                <w:color w:val="000000"/>
              </w:rPr>
              <w:t>ного обеспечения, по делам молодежи, женщин и детей</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МСП</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м</w:t>
            </w:r>
            <w:r w:rsidRPr="00570DEC">
              <w:rPr>
                <w:rFonts w:eastAsia="Times New Roman"/>
                <w:color w:val="000000"/>
              </w:rPr>
              <w:t>алые и средние предприятия</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МТЗ</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Министерство труда и занятости</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М</w:t>
            </w:r>
            <w:r>
              <w:rPr>
                <w:rFonts w:eastAsia="Times New Roman"/>
                <w:color w:val="000000"/>
              </w:rPr>
              <w:t>Ю</w:t>
            </w:r>
            <w:r w:rsidRPr="00570DEC">
              <w:rPr>
                <w:rFonts w:eastAsia="Times New Roman"/>
                <w:color w:val="000000"/>
              </w:rPr>
              <w:t>К</w:t>
            </w:r>
            <w:r>
              <w:rPr>
                <w:rFonts w:eastAsia="Times New Roman"/>
                <w:color w:val="000000"/>
              </w:rPr>
              <w:t>Д</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 xml:space="preserve">Министерство </w:t>
            </w:r>
            <w:r>
              <w:rPr>
                <w:rFonts w:eastAsia="Times New Roman"/>
                <w:color w:val="000000"/>
              </w:rPr>
              <w:t>юстиции и</w:t>
            </w:r>
            <w:r w:rsidRPr="00570DEC">
              <w:rPr>
                <w:rFonts w:eastAsia="Times New Roman"/>
                <w:color w:val="000000"/>
              </w:rPr>
              <w:t xml:space="preserve"> конституци</w:t>
            </w:r>
            <w:r>
              <w:rPr>
                <w:rFonts w:eastAsia="Times New Roman"/>
                <w:color w:val="000000"/>
              </w:rPr>
              <w:t>онных дел</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НБМ</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Национальный банк микрофинансирования</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НИК</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Национальная избирательная комиссия</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НОД</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н</w:t>
            </w:r>
            <w:r w:rsidRPr="00570DEC">
              <w:rPr>
                <w:rFonts w:eastAsia="Times New Roman"/>
                <w:color w:val="000000"/>
              </w:rPr>
              <w:t>асилие в отношении детей</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НООПП</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Национальная организация по оказанию правовой помощи</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НПО</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н</w:t>
            </w:r>
            <w:r w:rsidRPr="00570DEC">
              <w:rPr>
                <w:rFonts w:eastAsia="Times New Roman"/>
                <w:color w:val="000000"/>
              </w:rPr>
              <w:t>еправительственная организация</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НСРСН</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Национальная стратегия роста и сокращения нищеты</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НТВ</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Независимое телевидение</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ОБДХ</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Обзор бюджетов домашних хозяйств</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ОГО</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о</w:t>
            </w:r>
            <w:r w:rsidRPr="00570DEC">
              <w:rPr>
                <w:rFonts w:eastAsia="Times New Roman"/>
                <w:color w:val="000000"/>
              </w:rPr>
              <w:t>рганизации гражданского общества</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ОГФ</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Объединенный гражданский фронт</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ОДП</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Объединенная демократическая партия</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ОО</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организации, действующие на уровне общин</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ОПЗВМТ</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Обследование показател</w:t>
            </w:r>
            <w:r>
              <w:rPr>
                <w:rFonts w:eastAsia="Times New Roman"/>
                <w:color w:val="000000"/>
              </w:rPr>
              <w:t>ей</w:t>
            </w:r>
            <w:r w:rsidRPr="00570DEC">
              <w:rPr>
                <w:rFonts w:eastAsia="Times New Roman"/>
                <w:color w:val="000000"/>
              </w:rPr>
              <w:t xml:space="preserve"> заболеваемости ВИЧ и малярией в</w:t>
            </w:r>
            <w:r>
              <w:rPr>
                <w:rFonts w:eastAsia="Times New Roman"/>
                <w:color w:val="000000"/>
              </w:rPr>
              <w:t> </w:t>
            </w:r>
            <w:r w:rsidRPr="00570DEC">
              <w:rPr>
                <w:rFonts w:eastAsia="Times New Roman"/>
                <w:color w:val="000000"/>
              </w:rPr>
              <w:t>Танзании</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ОРС</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Отделение по разрешению споров</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ОРТ</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Объединенная Республика Танзания</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Pr>
                <w:rFonts w:eastAsia="Times New Roman"/>
                <w:color w:val="000000"/>
              </w:rPr>
              <w:t>О</w:t>
            </w:r>
            <w:r w:rsidRPr="00570DEC">
              <w:rPr>
                <w:rFonts w:eastAsia="Times New Roman"/>
                <w:color w:val="000000"/>
              </w:rPr>
              <w:t>СЗЖД</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окруж</w:t>
            </w:r>
            <w:r w:rsidRPr="00570DEC">
              <w:rPr>
                <w:rFonts w:eastAsia="Times New Roman"/>
                <w:color w:val="000000"/>
              </w:rPr>
              <w:t>ные суды по земельным и жилищным делам</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ОЮЗ</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Общество юристов Занзибара</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ОЮТ</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Общество юристов Танганьики</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ПИМР</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п</w:t>
            </w:r>
            <w:r w:rsidRPr="00570DEC">
              <w:rPr>
                <w:rFonts w:eastAsia="Times New Roman"/>
                <w:color w:val="000000"/>
              </w:rPr>
              <w:t>ередача инфекции от матери ребенку</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ПКР</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Постоянная комиссия по расследованиям</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ПОГР</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Программа отслеживания государственных расходов</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ППРСХ</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Полугосударственная программа развития сельского хозя</w:t>
            </w:r>
            <w:r w:rsidRPr="00570DEC">
              <w:rPr>
                <w:rFonts w:eastAsia="Times New Roman"/>
                <w:color w:val="000000"/>
              </w:rPr>
              <w:t>й</w:t>
            </w:r>
            <w:r w:rsidRPr="00570DEC">
              <w:rPr>
                <w:rFonts w:eastAsia="Times New Roman"/>
                <w:color w:val="000000"/>
              </w:rPr>
              <w:t>ства</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ПРСЮ</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Программ</w:t>
            </w:r>
            <w:r>
              <w:rPr>
                <w:rFonts w:eastAsia="Times New Roman"/>
                <w:color w:val="000000"/>
              </w:rPr>
              <w:t>а</w:t>
            </w:r>
            <w:r w:rsidRPr="00570DEC">
              <w:rPr>
                <w:rFonts w:eastAsia="Times New Roman"/>
                <w:color w:val="000000"/>
              </w:rPr>
              <w:t xml:space="preserve"> реформы системы юстиции</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РИТА</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Агентство по регистрации, неплатежеспособности и опеке</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РКР</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растущий корпоративный рынок</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РО</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р</w:t>
            </w:r>
            <w:r w:rsidRPr="00570DEC">
              <w:rPr>
                <w:rFonts w:eastAsia="Times New Roman"/>
                <w:color w:val="000000"/>
              </w:rPr>
              <w:t>елигиозные организации</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САДК</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Сообщество по вопросам развития стран юга Африки</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С</w:t>
            </w:r>
            <w:r>
              <w:rPr>
                <w:rFonts w:eastAsia="Times New Roman"/>
                <w:color w:val="000000"/>
              </w:rPr>
              <w:t>Г</w:t>
            </w:r>
            <w:r w:rsidRPr="00570DEC">
              <w:rPr>
                <w:rFonts w:eastAsia="Times New Roman"/>
                <w:color w:val="000000"/>
              </w:rPr>
              <w:t>Н</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с</w:t>
            </w:r>
            <w:r w:rsidRPr="00570DEC">
              <w:rPr>
                <w:rFonts w:eastAsia="Times New Roman"/>
                <w:color w:val="000000"/>
              </w:rPr>
              <w:t xml:space="preserve">ексуальное и </w:t>
            </w:r>
            <w:r>
              <w:rPr>
                <w:rFonts w:eastAsia="Times New Roman"/>
                <w:color w:val="000000"/>
              </w:rPr>
              <w:t xml:space="preserve">гендерное </w:t>
            </w:r>
            <w:r w:rsidRPr="00570DEC">
              <w:rPr>
                <w:rFonts w:eastAsia="Times New Roman"/>
                <w:color w:val="000000"/>
              </w:rPr>
              <w:t xml:space="preserve">насилие </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СИДО</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Организаци</w:t>
            </w:r>
            <w:r>
              <w:rPr>
                <w:rFonts w:eastAsia="Times New Roman"/>
                <w:color w:val="000000"/>
              </w:rPr>
              <w:t>я</w:t>
            </w:r>
            <w:r w:rsidRPr="00570DEC">
              <w:rPr>
                <w:rFonts w:eastAsia="Times New Roman"/>
                <w:color w:val="000000"/>
              </w:rPr>
              <w:t xml:space="preserve"> по развитию мелких предприятий</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СКК</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сберегательно-кредитны</w:t>
            </w:r>
            <w:r>
              <w:rPr>
                <w:rFonts w:eastAsia="Times New Roman"/>
                <w:color w:val="000000"/>
              </w:rPr>
              <w:t>е</w:t>
            </w:r>
            <w:r w:rsidRPr="00570DEC">
              <w:rPr>
                <w:rFonts w:eastAsia="Times New Roman"/>
                <w:color w:val="000000"/>
              </w:rPr>
              <w:t xml:space="preserve"> кооператив</w:t>
            </w:r>
            <w:r>
              <w:rPr>
                <w:rFonts w:eastAsia="Times New Roman"/>
                <w:color w:val="000000"/>
              </w:rPr>
              <w:t>ы</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СМП</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с</w:t>
            </w:r>
            <w:r w:rsidRPr="00570DEC">
              <w:rPr>
                <w:rFonts w:eastAsia="Times New Roman"/>
                <w:color w:val="000000"/>
              </w:rPr>
              <w:t>редние и малые предприятия</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СОП</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с</w:t>
            </w:r>
            <w:r w:rsidRPr="00570DEC">
              <w:rPr>
                <w:rFonts w:eastAsia="Times New Roman"/>
                <w:color w:val="000000"/>
              </w:rPr>
              <w:t>тандартные оперативные процедуры</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СОПП</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с</w:t>
            </w:r>
            <w:r w:rsidRPr="00570DEC">
              <w:rPr>
                <w:rFonts w:eastAsia="Times New Roman"/>
                <w:color w:val="000000"/>
              </w:rPr>
              <w:t>лужбы по оказанию правовой помощи</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СПИД</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синдром приобретенного иммунодефицита</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СПП</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Служба правовой помощи</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СПР</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с</w:t>
            </w:r>
            <w:r w:rsidRPr="00570DEC">
              <w:rPr>
                <w:rFonts w:eastAsia="Times New Roman"/>
                <w:color w:val="000000"/>
              </w:rPr>
              <w:t>реднесрочные планы расходов</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СПРСЗ</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Стратегический план развития сектора здравоохранения</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Pr>
                <w:rFonts w:eastAsia="Times New Roman"/>
                <w:color w:val="000000"/>
              </w:rPr>
              <w:t>С</w:t>
            </w:r>
            <w:r w:rsidRPr="00570DEC">
              <w:rPr>
                <w:rFonts w:eastAsia="Times New Roman"/>
                <w:color w:val="000000"/>
              </w:rPr>
              <w:t>ЭПЗ</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специальные э</w:t>
            </w:r>
            <w:r w:rsidRPr="00570DEC">
              <w:rPr>
                <w:rFonts w:eastAsia="Times New Roman"/>
                <w:color w:val="000000"/>
              </w:rPr>
              <w:t xml:space="preserve">кономические и </w:t>
            </w:r>
            <w:r>
              <w:rPr>
                <w:rFonts w:eastAsia="Times New Roman"/>
                <w:color w:val="000000"/>
              </w:rPr>
              <w:t xml:space="preserve">производственные </w:t>
            </w:r>
            <w:r w:rsidRPr="00570DEC">
              <w:rPr>
                <w:rFonts w:eastAsia="Times New Roman"/>
                <w:color w:val="000000"/>
              </w:rPr>
              <w:t xml:space="preserve">зоны </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ТАЖСМИ</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Танзанийская ассоциация женщин</w:t>
            </w:r>
            <w:r>
              <w:rPr>
                <w:rFonts w:eastAsia="Times New Roman"/>
                <w:color w:val="000000"/>
              </w:rPr>
              <w:t xml:space="preserve"> – </w:t>
            </w:r>
            <w:r w:rsidRPr="00570DEC">
              <w:rPr>
                <w:rFonts w:eastAsia="Times New Roman"/>
                <w:color w:val="000000"/>
              </w:rPr>
              <w:t>работниц средств ма</w:t>
            </w:r>
            <w:r w:rsidRPr="00570DEC">
              <w:rPr>
                <w:rFonts w:eastAsia="Times New Roman"/>
                <w:color w:val="000000"/>
              </w:rPr>
              <w:t>с</w:t>
            </w:r>
            <w:r w:rsidRPr="00570DEC">
              <w:rPr>
                <w:rFonts w:eastAsia="Times New Roman"/>
                <w:color w:val="000000"/>
              </w:rPr>
              <w:t>совой информации</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ТАЖЮ</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Танзанийская ассоциация женщин-юристов</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ТПТПСХ</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Танзанийская палата торговли, промышленности и сельского хозяйства</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ТРВЗ</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Телерадиовещание Занзибара</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ТТП</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Танзанийская трудовая партия</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ТФСД</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Танзанийский фонд социальных действий</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УВЗ</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Управление водо</w:t>
            </w:r>
            <w:r>
              <w:rPr>
                <w:rFonts w:eastAsia="Times New Roman"/>
                <w:color w:val="000000"/>
              </w:rPr>
              <w:t>пользова</w:t>
            </w:r>
            <w:r w:rsidRPr="00570DEC">
              <w:rPr>
                <w:rFonts w:eastAsia="Times New Roman"/>
                <w:color w:val="000000"/>
              </w:rPr>
              <w:t>ния Занзибара</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УС</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Учредительное собрание</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ФАВЕ</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Форум африканских женщин</w:t>
            </w:r>
            <w:r>
              <w:rPr>
                <w:rFonts w:eastAsia="Times New Roman"/>
                <w:color w:val="000000"/>
              </w:rPr>
              <w:t>-</w:t>
            </w:r>
            <w:r w:rsidRPr="00570DEC">
              <w:rPr>
                <w:rFonts w:eastAsia="Times New Roman"/>
                <w:color w:val="000000"/>
              </w:rPr>
              <w:t>педагогов</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ФОП</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Фонд охраны природы</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ФЧСТ</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Фонд частного сектора Танзании</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ЦППЖ</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 xml:space="preserve">Центр оказания правовой помощи женщинам </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ЦПУЗ</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Центр правовых услуг Занзибара</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ЦРТ</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 xml:space="preserve">Цели развития тысячелетия </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ЦФРЖП</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 xml:space="preserve">Целевой фонд развития </w:t>
            </w:r>
            <w:r>
              <w:rPr>
                <w:rFonts w:eastAsia="Times New Roman"/>
                <w:color w:val="000000"/>
              </w:rPr>
              <w:t xml:space="preserve">женского </w:t>
            </w:r>
            <w:r w:rsidRPr="00570DEC">
              <w:rPr>
                <w:rFonts w:eastAsia="Times New Roman"/>
                <w:color w:val="000000"/>
              </w:rPr>
              <w:t>предпринимательс</w:t>
            </w:r>
            <w:r>
              <w:rPr>
                <w:rFonts w:eastAsia="Times New Roman"/>
                <w:color w:val="000000"/>
              </w:rPr>
              <w:t>тва</w:t>
            </w:r>
            <w:r w:rsidRPr="00570DEC">
              <w:rPr>
                <w:rFonts w:eastAsia="Times New Roman"/>
                <w:color w:val="000000"/>
              </w:rPr>
              <w:t xml:space="preserve"> </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ЦЮПЧ</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Центр по юридическим вопросам и правам человека</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ЧП</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ч</w:t>
            </w:r>
            <w:r w:rsidRPr="00570DEC">
              <w:rPr>
                <w:rFonts w:eastAsia="Times New Roman"/>
                <w:color w:val="000000"/>
              </w:rPr>
              <w:t>лены парламента</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ЧЧМ</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color w:val="000000"/>
              </w:rPr>
              <w:t>Чама Ча Мапиндузи</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ЮНФПА</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Фонд Организации Объединенных Наций в области нар</w:t>
            </w:r>
            <w:r w:rsidRPr="00570DEC">
              <w:rPr>
                <w:rFonts w:eastAsia="Times New Roman"/>
                <w:color w:val="000000"/>
              </w:rPr>
              <w:t>о</w:t>
            </w:r>
            <w:r w:rsidRPr="00570DEC">
              <w:rPr>
                <w:rFonts w:eastAsia="Times New Roman"/>
                <w:color w:val="000000"/>
              </w:rPr>
              <w:t>донаселения</w:t>
            </w:r>
          </w:p>
        </w:tc>
      </w:tr>
      <w:tr w:rsidR="00AD593A" w:rsidRPr="00570DEC"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sidRPr="00570DEC">
              <w:rPr>
                <w:rFonts w:eastAsia="Times New Roman"/>
                <w:color w:val="000000"/>
              </w:rPr>
              <w:t>ЮСАИД</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sidRPr="00570DEC">
              <w:rPr>
                <w:rFonts w:eastAsia="Times New Roman"/>
                <w:color w:val="000000"/>
              </w:rPr>
              <w:t>Агентство Соединенных Штатов по международному ра</w:t>
            </w:r>
            <w:r w:rsidRPr="00570DEC">
              <w:rPr>
                <w:rFonts w:eastAsia="Times New Roman"/>
                <w:color w:val="000000"/>
              </w:rPr>
              <w:t>з</w:t>
            </w:r>
            <w:r w:rsidRPr="00570DEC">
              <w:rPr>
                <w:rFonts w:eastAsia="Times New Roman"/>
                <w:color w:val="000000"/>
              </w:rPr>
              <w:t>витию</w:t>
            </w:r>
          </w:p>
        </w:tc>
      </w:tr>
      <w:tr w:rsidR="00AD593A" w:rsidRPr="009A5D45" w:rsidTr="007C2D5C">
        <w:tc>
          <w:tcPr>
            <w:tcW w:w="1091"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rPr>
                <w:rFonts w:eastAsia="Times New Roman"/>
                <w:color w:val="000000"/>
              </w:rPr>
            </w:pPr>
            <w:r>
              <w:rPr>
                <w:rFonts w:eastAsia="Times New Roman"/>
                <w:color w:val="000000"/>
                <w:lang w:val="en-US"/>
              </w:rPr>
              <w:t>CCBRT</w:t>
            </w:r>
          </w:p>
        </w:tc>
        <w:tc>
          <w:tcPr>
            <w:tcW w:w="3909" w:type="pct"/>
            <w:shd w:val="clear" w:color="auto" w:fill="auto"/>
          </w:tcPr>
          <w:p w:rsidR="00AD593A" w:rsidRPr="00570DEC" w:rsidRDefault="00AD593A" w:rsidP="007C2D5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rFonts w:eastAsia="Times New Roman"/>
                <w:color w:val="000000"/>
              </w:rPr>
            </w:pPr>
            <w:r>
              <w:rPr>
                <w:rFonts w:eastAsia="Times New Roman"/>
                <w:color w:val="000000"/>
              </w:rPr>
              <w:t xml:space="preserve">Система комплексной </w:t>
            </w:r>
            <w:r w:rsidRPr="00570DEC">
              <w:rPr>
                <w:rFonts w:eastAsia="Times New Roman"/>
                <w:color w:val="000000"/>
              </w:rPr>
              <w:t>pеабилитаци</w:t>
            </w:r>
            <w:r>
              <w:rPr>
                <w:rFonts w:eastAsia="Times New Roman"/>
                <w:color w:val="000000"/>
              </w:rPr>
              <w:t>и</w:t>
            </w:r>
            <w:r w:rsidRPr="00570DEC">
              <w:rPr>
                <w:rFonts w:eastAsia="Times New Roman"/>
                <w:color w:val="000000"/>
              </w:rPr>
              <w:t xml:space="preserve"> </w:t>
            </w:r>
            <w:r w:rsidRPr="00570DEC">
              <w:rPr>
                <w:color w:val="000000"/>
              </w:rPr>
              <w:t>на базе</w:t>
            </w:r>
            <w:r w:rsidRPr="00570DEC">
              <w:rPr>
                <w:rFonts w:eastAsia="Times New Roman"/>
                <w:color w:val="000000"/>
              </w:rPr>
              <w:t xml:space="preserve"> общин в Та</w:t>
            </w:r>
            <w:r w:rsidRPr="00570DEC">
              <w:rPr>
                <w:rFonts w:eastAsia="Times New Roman"/>
                <w:color w:val="000000"/>
              </w:rPr>
              <w:t>н</w:t>
            </w:r>
            <w:r w:rsidRPr="00570DEC">
              <w:rPr>
                <w:rFonts w:eastAsia="Times New Roman"/>
                <w:color w:val="000000"/>
              </w:rPr>
              <w:t>зании</w:t>
            </w:r>
          </w:p>
        </w:tc>
      </w:tr>
    </w:tbl>
    <w:p w:rsidR="00AD593A" w:rsidRPr="00570DEC" w:rsidRDefault="00AD593A" w:rsidP="00AD593A">
      <w:pPr>
        <w:pStyle w:val="SingleTxt"/>
        <w:rPr>
          <w:color w:val="000000"/>
        </w:rPr>
      </w:pPr>
    </w:p>
    <w:p w:rsidR="00AD593A" w:rsidRPr="00570DEC" w:rsidRDefault="00AD593A" w:rsidP="00AD593A">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570DEC">
        <w:br w:type="page"/>
      </w:r>
      <w:bookmarkStart w:id="6" w:name="_Toc401576659"/>
      <w:r w:rsidRPr="00570DEC">
        <w:tab/>
      </w:r>
      <w:bookmarkStart w:id="7" w:name="_Toc417395202"/>
      <w:bookmarkStart w:id="8" w:name="_Toc417395434"/>
      <w:bookmarkStart w:id="9" w:name="_Toc417398629"/>
      <w:r w:rsidRPr="00570DEC">
        <w:t>Часть первая</w:t>
      </w:r>
      <w:r w:rsidRPr="00570DEC">
        <w:br/>
        <w:t>Общие справочные материалы и методика</w:t>
      </w:r>
      <w:bookmarkEnd w:id="7"/>
      <w:bookmarkEnd w:id="8"/>
      <w:bookmarkEnd w:id="9"/>
    </w:p>
    <w:p w:rsidR="00AD593A" w:rsidRPr="00AD593A" w:rsidRDefault="00AD593A" w:rsidP="00AD593A">
      <w:pPr>
        <w:pStyle w:val="SingleTxt"/>
        <w:spacing w:after="0" w:line="120" w:lineRule="exact"/>
        <w:rPr>
          <w:color w:val="000000"/>
          <w:sz w:val="10"/>
        </w:rPr>
      </w:pPr>
    </w:p>
    <w:p w:rsidR="00AD593A" w:rsidRPr="00AD593A" w:rsidRDefault="00AD593A" w:rsidP="00AD593A">
      <w:pPr>
        <w:pStyle w:val="SingleTxt"/>
        <w:spacing w:after="0" w:line="120" w:lineRule="exact"/>
        <w:rPr>
          <w:color w:val="000000"/>
          <w:sz w:val="10"/>
        </w:rPr>
      </w:pPr>
    </w:p>
    <w:p w:rsidR="00AD593A" w:rsidRPr="00570DEC" w:rsidRDefault="00AD593A" w:rsidP="00AD593A">
      <w:pPr>
        <w:pStyle w:val="SingleTxt"/>
        <w:rPr>
          <w:color w:val="000000"/>
        </w:rPr>
      </w:pPr>
      <w:r w:rsidRPr="00570DEC">
        <w:rPr>
          <w:color w:val="000000"/>
        </w:rPr>
        <w:t>1.</w:t>
      </w:r>
      <w:r w:rsidRPr="00570DEC">
        <w:rPr>
          <w:color w:val="000000"/>
        </w:rPr>
        <w:tab/>
        <w:t>Государство-участник Объединенная Республика Танзания (ОРТ) подп</w:t>
      </w:r>
      <w:r w:rsidRPr="00570DEC">
        <w:rPr>
          <w:color w:val="000000"/>
        </w:rPr>
        <w:t>и</w:t>
      </w:r>
      <w:r w:rsidRPr="00570DEC">
        <w:rPr>
          <w:color w:val="000000"/>
        </w:rPr>
        <w:t>сала Конвенцию о ликвидации всех форм дискриминации в отношении же</w:t>
      </w:r>
      <w:r w:rsidRPr="00570DEC">
        <w:rPr>
          <w:color w:val="000000"/>
        </w:rPr>
        <w:t>н</w:t>
      </w:r>
      <w:r w:rsidRPr="00570DEC">
        <w:rPr>
          <w:color w:val="000000"/>
        </w:rPr>
        <w:t>щин (КЛДЖ) 17 июля 1980 года и ратифицировала ее 20 августа 1985 года; кроме того, был ратифицирован Факультативный протокол к ней. Государство-участник также является стороной ряда международных инструментов в обл</w:t>
      </w:r>
      <w:r w:rsidRPr="00570DEC">
        <w:rPr>
          <w:color w:val="000000"/>
        </w:rPr>
        <w:t>а</w:t>
      </w:r>
      <w:r w:rsidRPr="00570DEC">
        <w:rPr>
          <w:color w:val="000000"/>
        </w:rPr>
        <w:t xml:space="preserve">сти прав человека, в том числе Конвенции о дискриминации в области труда и занятий (1958 год), </w:t>
      </w:r>
      <w:r w:rsidRPr="00570DEC">
        <w:rPr>
          <w:bCs/>
          <w:color w:val="000000"/>
        </w:rPr>
        <w:t>Конвенции о равном вознаграждении мужчин и женщин за труд равной ценности</w:t>
      </w:r>
      <w:r w:rsidRPr="00570DEC">
        <w:rPr>
          <w:color w:val="000000"/>
        </w:rPr>
        <w:t xml:space="preserve"> (1951 год), Пекинской платформы действий (1995 год), Программы действий Международной конференции по народонаселению и развитию (1994 год), Конвенции о трудящихся с семейными обязанностями (1981 год), а также Конвенции об охране материнства (2000 год). Декларация тысячелетия (2000 год) не так давно привлекла внимание к правозащитной д</w:t>
      </w:r>
      <w:r w:rsidRPr="00570DEC">
        <w:rPr>
          <w:color w:val="000000"/>
        </w:rPr>
        <w:t>е</w:t>
      </w:r>
      <w:r w:rsidRPr="00570DEC">
        <w:rPr>
          <w:color w:val="000000"/>
        </w:rPr>
        <w:t>ятельности ООН, объявив в качестве цели 3 для государств</w:t>
      </w:r>
      <w:r>
        <w:rPr>
          <w:color w:val="000000"/>
        </w:rPr>
        <w:t xml:space="preserve"> — </w:t>
      </w:r>
      <w:r w:rsidRPr="00570DEC">
        <w:rPr>
          <w:color w:val="000000"/>
        </w:rPr>
        <w:t>членов ООН п</w:t>
      </w:r>
      <w:r w:rsidRPr="00570DEC">
        <w:rPr>
          <w:color w:val="000000"/>
        </w:rPr>
        <w:t>о</w:t>
      </w:r>
      <w:r w:rsidRPr="00570DEC">
        <w:rPr>
          <w:color w:val="000000"/>
        </w:rPr>
        <w:t>ощрение равенства мужчин и женщин и расширение прав и возможностей женщин. На региональном уровне государство-участник присоединилось к Торжественному заявлению о гендерном равенстве в Африке,</w:t>
      </w:r>
      <w:r w:rsidRPr="00570DEC">
        <w:rPr>
          <w:color w:val="000000"/>
          <w:shd w:val="clear" w:color="auto" w:fill="FFFFFF"/>
        </w:rPr>
        <w:t xml:space="preserve"> Африканской хартии прав человека и народов</w:t>
      </w:r>
      <w:r w:rsidRPr="00570DEC">
        <w:rPr>
          <w:color w:val="000000"/>
        </w:rPr>
        <w:t xml:space="preserve"> (1981 год), Декларации об эпидемии ВИЧ/СПИДа на XI Международной конференции по СПИДу и ЗППП в Африке (1999 год), Декларации женщин и Программе действий в области культуры м</w:t>
      </w:r>
      <w:r w:rsidRPr="00570DEC">
        <w:rPr>
          <w:color w:val="000000"/>
        </w:rPr>
        <w:t>и</w:t>
      </w:r>
      <w:r w:rsidRPr="00570DEC">
        <w:rPr>
          <w:color w:val="000000"/>
        </w:rPr>
        <w:t xml:space="preserve">ра в Африке, принятым при завершении работы Панафриканской конференции в Занзибаре в 1999 году, а также к </w:t>
      </w:r>
      <w:r w:rsidRPr="00570DEC">
        <w:rPr>
          <w:color w:val="000000"/>
          <w:shd w:val="clear" w:color="auto" w:fill="FFFFFF"/>
        </w:rPr>
        <w:t>Протоколу к Африканской хартии прав чел</w:t>
      </w:r>
      <w:r w:rsidRPr="00570DEC">
        <w:rPr>
          <w:color w:val="000000"/>
          <w:shd w:val="clear" w:color="auto" w:fill="FFFFFF"/>
        </w:rPr>
        <w:t>о</w:t>
      </w:r>
      <w:r w:rsidRPr="00570DEC">
        <w:rPr>
          <w:color w:val="000000"/>
          <w:shd w:val="clear" w:color="auto" w:fill="FFFFFF"/>
        </w:rPr>
        <w:t>века и народов</w:t>
      </w:r>
      <w:r w:rsidRPr="00570DEC">
        <w:rPr>
          <w:color w:val="000000"/>
        </w:rPr>
        <w:t xml:space="preserve"> (АХПЧН), касающемуся прав женщин в Африке (2003 год)</w:t>
      </w:r>
      <w:r w:rsidR="00E2176A">
        <w:rPr>
          <w:rStyle w:val="FootnoteReference"/>
          <w:color w:val="000000"/>
        </w:rPr>
        <w:footnoteReference w:id="2"/>
      </w:r>
      <w:r w:rsidRPr="00570DEC">
        <w:rPr>
          <w:color w:val="000000"/>
        </w:rPr>
        <w:t>. Еще одним важным документом является Заявление САДК по вопросам пол</w:t>
      </w:r>
      <w:r w:rsidRPr="00570DEC">
        <w:rPr>
          <w:color w:val="000000"/>
        </w:rPr>
        <w:t>о</w:t>
      </w:r>
      <w:r w:rsidRPr="00570DEC">
        <w:rPr>
          <w:color w:val="000000"/>
        </w:rPr>
        <w:t>жения женщин и развития (1997 год), обязывающее государства-члены пре</w:t>
      </w:r>
      <w:r w:rsidRPr="00570DEC">
        <w:rPr>
          <w:color w:val="000000"/>
        </w:rPr>
        <w:t>д</w:t>
      </w:r>
      <w:r w:rsidRPr="00570DEC">
        <w:rPr>
          <w:color w:val="000000"/>
        </w:rPr>
        <w:t>принять позитивные действия с целью содействия участию женщин в полит</w:t>
      </w:r>
      <w:r w:rsidRPr="00570DEC">
        <w:rPr>
          <w:color w:val="000000"/>
        </w:rPr>
        <w:t>и</w:t>
      </w:r>
      <w:r w:rsidRPr="00570DEC">
        <w:rPr>
          <w:color w:val="000000"/>
        </w:rPr>
        <w:t>ке.</w:t>
      </w:r>
    </w:p>
    <w:p w:rsidR="00AD593A" w:rsidRPr="00570DEC" w:rsidRDefault="00AD593A" w:rsidP="00AD593A">
      <w:pPr>
        <w:pStyle w:val="SingleTxt"/>
        <w:rPr>
          <w:color w:val="000000"/>
          <w:sz w:val="24"/>
          <w:szCs w:val="24"/>
        </w:rPr>
      </w:pPr>
      <w:r w:rsidRPr="00570DEC">
        <w:rPr>
          <w:color w:val="000000"/>
        </w:rPr>
        <w:t>2.</w:t>
      </w:r>
      <w:r w:rsidRPr="00570DEC">
        <w:rPr>
          <w:color w:val="000000"/>
        </w:rPr>
        <w:tab/>
        <w:t>В 2008 году государство-участник представило свои четвертый, пятый и шестой объединенные периодические доклады об осуществлении КЛДЖ. Д</w:t>
      </w:r>
      <w:r w:rsidRPr="00570DEC">
        <w:rPr>
          <w:color w:val="000000"/>
        </w:rPr>
        <w:t>о</w:t>
      </w:r>
      <w:r w:rsidRPr="00570DEC">
        <w:rPr>
          <w:color w:val="000000"/>
        </w:rPr>
        <w:t>клады были рассмотрены Комитетом Организации Объединенных Наций по ликвидации дискриминации в отношении женщин (КЛДЖ). Настоящий док</w:t>
      </w:r>
      <w:r w:rsidRPr="00570DEC">
        <w:rPr>
          <w:color w:val="000000"/>
        </w:rPr>
        <w:t>у</w:t>
      </w:r>
      <w:r w:rsidRPr="00570DEC">
        <w:rPr>
          <w:color w:val="000000"/>
        </w:rPr>
        <w:t>мент представляет собой объединенные седьмой и восьмой доклады со сроком представления в сентябре 2014 года в соответствии с указаниями Комитета в его предыдущих Заключительных замечаниях</w:t>
      </w:r>
      <w:r w:rsidR="00E2176A">
        <w:rPr>
          <w:rStyle w:val="FootnoteReference"/>
          <w:color w:val="000000"/>
        </w:rPr>
        <w:footnoteReference w:id="3"/>
      </w:r>
      <w:r w:rsidRPr="00570DEC">
        <w:rPr>
          <w:color w:val="000000"/>
        </w:rPr>
        <w:t>. Данный документ подготовлен в соответствии</w:t>
      </w:r>
      <w:r w:rsidRPr="00570DEC">
        <w:rPr>
          <w:color w:val="000000"/>
          <w:sz w:val="24"/>
          <w:szCs w:val="24"/>
        </w:rPr>
        <w:t xml:space="preserve"> </w:t>
      </w:r>
      <w:r w:rsidRPr="00570DEC">
        <w:rPr>
          <w:color w:val="000000"/>
        </w:rPr>
        <w:t>с Руководящими принципами подготовки докладов по конкре</w:t>
      </w:r>
      <w:r w:rsidRPr="00570DEC">
        <w:rPr>
          <w:color w:val="000000"/>
        </w:rPr>
        <w:t>т</w:t>
      </w:r>
      <w:r w:rsidRPr="00570DEC">
        <w:rPr>
          <w:color w:val="000000"/>
        </w:rPr>
        <w:t>ным договорам, касающимися формы и содержания периодических докладов, представляемых государствами-участниками в соответствии со статьей 18 Конвенции, которые были разработаны на основе согласованных Руководящих принципов представления докладов согласно международным договорам о правах человека (последняя редакция в 2009 году)</w:t>
      </w:r>
      <w:r w:rsidR="00E2176A">
        <w:rPr>
          <w:rStyle w:val="FootnoteReference"/>
          <w:color w:val="000000"/>
        </w:rPr>
        <w:footnoteReference w:id="4"/>
      </w:r>
      <w:r w:rsidRPr="00570DEC">
        <w:rPr>
          <w:color w:val="000000"/>
        </w:rPr>
        <w:t>. Кроме того, при подгото</w:t>
      </w:r>
      <w:r w:rsidRPr="00570DEC">
        <w:rPr>
          <w:color w:val="000000"/>
        </w:rPr>
        <w:t>в</w:t>
      </w:r>
      <w:r w:rsidRPr="00570DEC">
        <w:rPr>
          <w:color w:val="000000"/>
        </w:rPr>
        <w:t>ке этого доклада были учтены указания Комитета государству-участнику, с</w:t>
      </w:r>
      <w:r w:rsidRPr="00570DEC">
        <w:rPr>
          <w:color w:val="000000"/>
        </w:rPr>
        <w:t>о</w:t>
      </w:r>
      <w:r w:rsidRPr="00570DEC">
        <w:rPr>
          <w:color w:val="000000"/>
        </w:rPr>
        <w:t>держащиеся в его предыдущих Заключительных замечаниях, о необходимости о</w:t>
      </w:r>
      <w:r w:rsidRPr="00570DEC">
        <w:rPr>
          <w:color w:val="000000"/>
        </w:rPr>
        <w:t>т</w:t>
      </w:r>
      <w:r w:rsidRPr="00570DEC">
        <w:rPr>
          <w:color w:val="000000"/>
        </w:rPr>
        <w:t>разить реакцию на высказанные предложения.</w:t>
      </w:r>
      <w:r w:rsidRPr="00570DEC">
        <w:rPr>
          <w:color w:val="000000"/>
          <w:sz w:val="24"/>
          <w:szCs w:val="24"/>
        </w:rPr>
        <w:t xml:space="preserve"> </w:t>
      </w:r>
    </w:p>
    <w:p w:rsidR="00AD593A" w:rsidRDefault="00AD593A" w:rsidP="00AD593A">
      <w:pPr>
        <w:pStyle w:val="SingleTxt"/>
        <w:rPr>
          <w:color w:val="000000"/>
        </w:rPr>
      </w:pPr>
      <w:r w:rsidRPr="00570DEC">
        <w:rPr>
          <w:color w:val="000000"/>
        </w:rPr>
        <w:t>3.</w:t>
      </w:r>
      <w:r w:rsidRPr="00570DEC">
        <w:rPr>
          <w:color w:val="000000"/>
        </w:rPr>
        <w:tab/>
        <w:t>При подготовке объединенных докладов были проведены расширенные консультации, в которых приняли участие государственные министерства, в</w:t>
      </w:r>
      <w:r w:rsidRPr="00570DEC">
        <w:rPr>
          <w:color w:val="000000"/>
        </w:rPr>
        <w:t>е</w:t>
      </w:r>
      <w:r w:rsidRPr="00570DEC">
        <w:rPr>
          <w:color w:val="000000"/>
        </w:rPr>
        <w:t>домства и учреждения (МВУ), а также представители НПО, в том числе Танз</w:t>
      </w:r>
      <w:r w:rsidRPr="00570DEC">
        <w:rPr>
          <w:color w:val="000000"/>
        </w:rPr>
        <w:t>а</w:t>
      </w:r>
      <w:r w:rsidRPr="00570DEC">
        <w:rPr>
          <w:color w:val="000000"/>
        </w:rPr>
        <w:t>нийской ассоциации женщин-юристов (TAЖЮ), Ассоциации женщин, зан</w:t>
      </w:r>
      <w:r w:rsidRPr="00570DEC">
        <w:rPr>
          <w:color w:val="000000"/>
        </w:rPr>
        <w:t>и</w:t>
      </w:r>
      <w:r w:rsidRPr="00570DEC">
        <w:rPr>
          <w:color w:val="000000"/>
        </w:rPr>
        <w:t>мающихся вопросами права и развития в Африке (ВИЛДАФ), Центра оказания правовой помощи женщинам (ЦППЖ), Занзибарской ассоциации женщин-юристов (ЗАЖЮ), Ассоциации неправительственных организаций Занзибара (АНПОЗ) и других соответствующих международных организаций, таких как ЮНФПА и Структура "ООН-женщины". Перечень учреждений, принявших участие в подготовке настоящего доклада, прилагается.</w:t>
      </w:r>
    </w:p>
    <w:p w:rsidR="00AD593A" w:rsidRPr="00AD593A" w:rsidRDefault="00AD593A" w:rsidP="00AD593A">
      <w:pPr>
        <w:pStyle w:val="SingleTxt"/>
        <w:spacing w:after="0" w:line="120" w:lineRule="exact"/>
        <w:rPr>
          <w:color w:val="000000"/>
          <w:sz w:val="10"/>
        </w:rPr>
      </w:pPr>
    </w:p>
    <w:p w:rsidR="00AD593A" w:rsidRPr="00AD593A" w:rsidRDefault="00AD593A" w:rsidP="00AD593A">
      <w:pPr>
        <w:pStyle w:val="SingleTxt"/>
        <w:spacing w:after="0" w:line="120" w:lineRule="exact"/>
        <w:rPr>
          <w:color w:val="000000"/>
          <w:sz w:val="10"/>
        </w:rPr>
      </w:pPr>
    </w:p>
    <w:p w:rsidR="00AD593A" w:rsidRPr="00570DEC" w:rsidRDefault="00AD593A" w:rsidP="00AD593A">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bookmarkStart w:id="10" w:name="_Toc417395203"/>
      <w:bookmarkStart w:id="11" w:name="_Toc417395435"/>
      <w:bookmarkStart w:id="12" w:name="_Toc417398630"/>
      <w:bookmarkEnd w:id="6"/>
      <w:r w:rsidRPr="00570DEC">
        <w:t>Часть вторая</w:t>
      </w:r>
      <w:r w:rsidRPr="00570DEC">
        <w:br/>
        <w:t>Документ по Конвенции</w:t>
      </w:r>
      <w:bookmarkEnd w:id="10"/>
      <w:bookmarkEnd w:id="11"/>
      <w:bookmarkEnd w:id="12"/>
    </w:p>
    <w:p w:rsidR="00AD593A" w:rsidRPr="00AD593A" w:rsidRDefault="00AD593A" w:rsidP="00AD593A">
      <w:pPr>
        <w:pStyle w:val="SingleTxt"/>
        <w:spacing w:after="0" w:line="120" w:lineRule="exact"/>
        <w:rPr>
          <w:sz w:val="10"/>
        </w:rPr>
      </w:pPr>
      <w:bookmarkStart w:id="13" w:name="_Toc401576660"/>
    </w:p>
    <w:p w:rsidR="00AD593A" w:rsidRPr="00AD593A" w:rsidRDefault="00AD593A" w:rsidP="00AD593A">
      <w:pPr>
        <w:pStyle w:val="SingleTxt"/>
        <w:spacing w:after="0" w:line="120" w:lineRule="exact"/>
        <w:rPr>
          <w:sz w:val="10"/>
        </w:rPr>
      </w:pPr>
    </w:p>
    <w:p w:rsidR="00AD593A" w:rsidRPr="00570DEC" w:rsidRDefault="00AD593A" w:rsidP="00AD593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70DEC">
        <w:tab/>
      </w:r>
      <w:bookmarkStart w:id="14" w:name="_Toc417398631"/>
      <w:r w:rsidRPr="00570DEC">
        <w:t>I.</w:t>
      </w:r>
      <w:r w:rsidRPr="00570DEC">
        <w:tab/>
        <w:t>Общие меры по осуществлению Конвенции</w:t>
      </w:r>
      <w:bookmarkEnd w:id="14"/>
    </w:p>
    <w:p w:rsidR="00AD593A" w:rsidRPr="00AD593A" w:rsidRDefault="00AD593A" w:rsidP="00AD593A">
      <w:pPr>
        <w:pStyle w:val="SingleTxt"/>
        <w:spacing w:after="0" w:line="120" w:lineRule="exact"/>
        <w:rPr>
          <w:sz w:val="10"/>
        </w:rPr>
      </w:pPr>
    </w:p>
    <w:p w:rsidR="00AD593A" w:rsidRPr="00AD593A" w:rsidRDefault="00AD593A" w:rsidP="00AD593A">
      <w:pPr>
        <w:pStyle w:val="SingleTxt"/>
        <w:spacing w:after="0" w:line="120" w:lineRule="exact"/>
        <w:rPr>
          <w:sz w:val="10"/>
        </w:rPr>
      </w:pPr>
    </w:p>
    <w:p w:rsidR="00AD593A" w:rsidRPr="00570DEC" w:rsidRDefault="00AD593A" w:rsidP="00AD59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70DEC">
        <w:tab/>
      </w:r>
      <w:bookmarkStart w:id="15" w:name="_Toc417398632"/>
      <w:r w:rsidRPr="00570DEC">
        <w:t>1.1.0</w:t>
      </w:r>
      <w:r w:rsidRPr="00570DEC">
        <w:tab/>
        <w:t>Определение дискриминации в отношении женщин</w:t>
      </w:r>
      <w:bookmarkEnd w:id="13"/>
      <w:bookmarkEnd w:id="15"/>
    </w:p>
    <w:p w:rsidR="00AD593A" w:rsidRPr="00AD593A" w:rsidRDefault="00AD593A" w:rsidP="00AD593A">
      <w:pPr>
        <w:pStyle w:val="SingleTxt"/>
        <w:spacing w:after="0" w:line="120" w:lineRule="exact"/>
        <w:rPr>
          <w:color w:val="000000"/>
          <w:sz w:val="10"/>
        </w:rPr>
      </w:pPr>
    </w:p>
    <w:p w:rsidR="00AD593A" w:rsidRPr="00570DEC" w:rsidRDefault="00AD593A" w:rsidP="00AD593A">
      <w:pPr>
        <w:pStyle w:val="SingleTxt"/>
        <w:rPr>
          <w:color w:val="000000"/>
        </w:rPr>
      </w:pPr>
      <w:r w:rsidRPr="00570DEC">
        <w:rPr>
          <w:color w:val="000000"/>
        </w:rPr>
        <w:t>4.</w:t>
      </w:r>
      <w:r w:rsidRPr="00570DEC">
        <w:rPr>
          <w:color w:val="000000"/>
        </w:rPr>
        <w:tab/>
        <w:t>Государство-участник расширило сферу охвата определения дискримин</w:t>
      </w:r>
      <w:r w:rsidRPr="00570DEC">
        <w:rPr>
          <w:color w:val="000000"/>
        </w:rPr>
        <w:t>а</w:t>
      </w:r>
      <w:r w:rsidRPr="00570DEC">
        <w:rPr>
          <w:color w:val="000000"/>
        </w:rPr>
        <w:t>ции, предусмотренного действующей Конституцией, которое конкретным о</w:t>
      </w:r>
      <w:r w:rsidRPr="00570DEC">
        <w:rPr>
          <w:color w:val="000000"/>
        </w:rPr>
        <w:t>б</w:t>
      </w:r>
      <w:r w:rsidRPr="00570DEC">
        <w:rPr>
          <w:color w:val="000000"/>
        </w:rPr>
        <w:t>разом включает запрет дискриминации, в том числе по признаку пола</w:t>
      </w:r>
      <w:r>
        <w:rPr>
          <w:rStyle w:val="FootnoteReference"/>
          <w:color w:val="000000"/>
        </w:rPr>
        <w:footnoteReference w:id="5"/>
      </w:r>
      <w:r w:rsidRPr="00570DEC">
        <w:rPr>
          <w:color w:val="000000"/>
        </w:rPr>
        <w:t>, и т</w:t>
      </w:r>
      <w:r w:rsidRPr="00570DEC">
        <w:rPr>
          <w:color w:val="000000"/>
        </w:rPr>
        <w:t>е</w:t>
      </w:r>
      <w:r w:rsidRPr="00570DEC">
        <w:rPr>
          <w:color w:val="000000"/>
        </w:rPr>
        <w:t>перь статьи</w:t>
      </w:r>
      <w:r>
        <w:rPr>
          <w:color w:val="000000"/>
        </w:rPr>
        <w:t> </w:t>
      </w:r>
      <w:r w:rsidRPr="00570DEC">
        <w:rPr>
          <w:color w:val="000000"/>
        </w:rPr>
        <w:t>33 (2) и 54 b) окончательного проекта конституции (который был представлен правительству 8 октября 2014 года) включают более широкое определение</w:t>
      </w:r>
      <w:r>
        <w:rPr>
          <w:rStyle w:val="FootnoteReference"/>
          <w:color w:val="000000"/>
        </w:rPr>
        <w:footnoteReference w:id="6"/>
      </w:r>
      <w:r w:rsidRPr="00570DEC">
        <w:rPr>
          <w:color w:val="000000"/>
        </w:rPr>
        <w:t>. В этом положении дается четкое определение как прямой, так и косвенной дискриминации</w:t>
      </w:r>
      <w:r>
        <w:rPr>
          <w:rStyle w:val="FootnoteReference"/>
          <w:color w:val="000000"/>
        </w:rPr>
        <w:footnoteReference w:id="7"/>
      </w:r>
      <w:r w:rsidRPr="00570DEC">
        <w:rPr>
          <w:color w:val="000000"/>
        </w:rPr>
        <w:t xml:space="preserve"> в соответствии со статьей 1 Конвенции. Рассмо</w:t>
      </w:r>
      <w:r w:rsidRPr="00570DEC">
        <w:rPr>
          <w:color w:val="000000"/>
        </w:rPr>
        <w:t>т</w:t>
      </w:r>
      <w:r w:rsidRPr="00570DEC">
        <w:rPr>
          <w:color w:val="000000"/>
        </w:rPr>
        <w:t>рение существующего определения дискриминации будет продолжаться в ходе непрерывного процесса доработки конституции, который, как ожидается, будет завершен в конце 2014 года.</w:t>
      </w:r>
    </w:p>
    <w:p w:rsidR="00AD593A" w:rsidRPr="00570DEC" w:rsidRDefault="00AD593A" w:rsidP="00AD593A">
      <w:pPr>
        <w:pStyle w:val="SingleTxt"/>
        <w:rPr>
          <w:color w:val="000000"/>
        </w:rPr>
      </w:pPr>
      <w:r w:rsidRPr="00570DEC">
        <w:rPr>
          <w:color w:val="000000"/>
        </w:rPr>
        <w:t>5.</w:t>
      </w:r>
      <w:r w:rsidRPr="00570DEC">
        <w:rPr>
          <w:color w:val="000000"/>
        </w:rPr>
        <w:tab/>
        <w:t>Кроме того, государство-участник приняло ряд отраслевых законов с ц</w:t>
      </w:r>
      <w:r w:rsidRPr="00570DEC">
        <w:rPr>
          <w:color w:val="000000"/>
        </w:rPr>
        <w:t>е</w:t>
      </w:r>
      <w:r w:rsidRPr="00570DEC">
        <w:rPr>
          <w:color w:val="000000"/>
        </w:rPr>
        <w:t>лью обеспечить возможность пользования или осуществления женщинами, независимо от их семейного положения, на основе равноправия мужчин и женщин, прав человека и основных свобод в политической</w:t>
      </w:r>
      <w:r>
        <w:rPr>
          <w:rStyle w:val="FootnoteReference"/>
          <w:color w:val="000000"/>
        </w:rPr>
        <w:footnoteReference w:id="8"/>
      </w:r>
      <w:r w:rsidRPr="00570DEC">
        <w:rPr>
          <w:color w:val="000000"/>
        </w:rPr>
        <w:t>, социоэкономич</w:t>
      </w:r>
      <w:r w:rsidRPr="00570DEC">
        <w:rPr>
          <w:color w:val="000000"/>
        </w:rPr>
        <w:t>е</w:t>
      </w:r>
      <w:r w:rsidRPr="00570DEC">
        <w:rPr>
          <w:color w:val="000000"/>
        </w:rPr>
        <w:t>ской</w:t>
      </w:r>
      <w:r>
        <w:rPr>
          <w:rStyle w:val="FootnoteReference"/>
          <w:color w:val="000000"/>
        </w:rPr>
        <w:footnoteReference w:id="9"/>
      </w:r>
      <w:r w:rsidRPr="00570DEC">
        <w:rPr>
          <w:color w:val="000000"/>
        </w:rPr>
        <w:t>, культурной</w:t>
      </w:r>
      <w:r>
        <w:rPr>
          <w:rStyle w:val="FootnoteReference"/>
          <w:color w:val="000000"/>
        </w:rPr>
        <w:footnoteReference w:id="10"/>
      </w:r>
      <w:r w:rsidRPr="00570DEC">
        <w:rPr>
          <w:color w:val="000000"/>
        </w:rPr>
        <w:t>, гражданской или любой другой области. Это было конст</w:t>
      </w:r>
      <w:r w:rsidRPr="00570DEC">
        <w:rPr>
          <w:color w:val="000000"/>
        </w:rPr>
        <w:t>и</w:t>
      </w:r>
      <w:r w:rsidRPr="00570DEC">
        <w:rPr>
          <w:color w:val="000000"/>
        </w:rPr>
        <w:t>туционно закреплено во втором проекте конституции Объединенной Республ</w:t>
      </w:r>
      <w:r w:rsidRPr="00570DEC">
        <w:rPr>
          <w:color w:val="000000"/>
        </w:rPr>
        <w:t>и</w:t>
      </w:r>
      <w:r w:rsidRPr="00570DEC">
        <w:rPr>
          <w:color w:val="000000"/>
        </w:rPr>
        <w:t>ки Танзания</w:t>
      </w:r>
      <w:r>
        <w:rPr>
          <w:rStyle w:val="FootnoteReference"/>
          <w:color w:val="000000"/>
        </w:rPr>
        <w:footnoteReference w:id="11"/>
      </w:r>
      <w:r w:rsidRPr="00570DEC">
        <w:rPr>
          <w:color w:val="000000"/>
        </w:rPr>
        <w:t>.</w:t>
      </w:r>
    </w:p>
    <w:p w:rsidR="00AD593A" w:rsidRPr="00570DEC" w:rsidRDefault="00AD593A" w:rsidP="00AD593A">
      <w:pPr>
        <w:pStyle w:val="SingleTxt"/>
        <w:rPr>
          <w:color w:val="000000"/>
        </w:rPr>
      </w:pPr>
      <w:r w:rsidRPr="00570DEC">
        <w:rPr>
          <w:color w:val="000000"/>
        </w:rPr>
        <w:t>6.</w:t>
      </w:r>
      <w:r w:rsidRPr="00570DEC">
        <w:rPr>
          <w:color w:val="000000"/>
        </w:rPr>
        <w:tab/>
        <w:t>В обеспечение того, чтобы все дискриминационные законодательные а</w:t>
      </w:r>
      <w:r w:rsidRPr="00570DEC">
        <w:rPr>
          <w:color w:val="000000"/>
        </w:rPr>
        <w:t>к</w:t>
      </w:r>
      <w:r w:rsidRPr="00570DEC">
        <w:rPr>
          <w:color w:val="000000"/>
        </w:rPr>
        <w:t>ты были изменены или упразднены для приведения законодательства в соо</w:t>
      </w:r>
      <w:r w:rsidRPr="00570DEC">
        <w:rPr>
          <w:color w:val="000000"/>
        </w:rPr>
        <w:t>т</w:t>
      </w:r>
      <w:r w:rsidRPr="00570DEC">
        <w:rPr>
          <w:color w:val="000000"/>
        </w:rPr>
        <w:t>ветствие с нормами Конвенции и общими рекомендациями Комитета, госуда</w:t>
      </w:r>
      <w:r w:rsidRPr="00570DEC">
        <w:rPr>
          <w:color w:val="000000"/>
        </w:rPr>
        <w:t>р</w:t>
      </w:r>
      <w:r w:rsidRPr="00570DEC">
        <w:rPr>
          <w:color w:val="000000"/>
        </w:rPr>
        <w:t>ство-участник ведет сотрудничество с парламентом и Палатой представителей Занзибара в целях ускорения процедуры пересмотра его законодательства в данной связи</w:t>
      </w:r>
      <w:r>
        <w:rPr>
          <w:rStyle w:val="FootnoteReference"/>
          <w:color w:val="000000"/>
        </w:rPr>
        <w:footnoteReference w:id="12"/>
      </w:r>
      <w:r w:rsidRPr="00570DEC">
        <w:rPr>
          <w:color w:val="000000"/>
        </w:rPr>
        <w:t>. В</w:t>
      </w:r>
      <w:r>
        <w:rPr>
          <w:color w:val="000000"/>
          <w:lang w:val="en-US"/>
        </w:rPr>
        <w:t> </w:t>
      </w:r>
      <w:r w:rsidRPr="00570DEC">
        <w:rPr>
          <w:color w:val="000000"/>
        </w:rPr>
        <w:t>соответствии со статьей 2 Конвенции государство-участник осуществило обзор законодательства материковой части Танзании, касающег</w:t>
      </w:r>
      <w:r w:rsidRPr="00570DEC">
        <w:rPr>
          <w:color w:val="000000"/>
        </w:rPr>
        <w:t>о</w:t>
      </w:r>
      <w:r w:rsidRPr="00570DEC">
        <w:rPr>
          <w:color w:val="000000"/>
        </w:rPr>
        <w:t>ся наследования; и как только новая конституция будет принята, государство-участник приступит к внесению поправок в эти законы в целях содействия обеспечению равенства между мужчинами, женщинами и детьми в вопросах наследования</w:t>
      </w:r>
      <w:r>
        <w:rPr>
          <w:rStyle w:val="FootnoteReference"/>
          <w:color w:val="000000"/>
        </w:rPr>
        <w:footnoteReference w:id="13"/>
      </w:r>
      <w:r w:rsidRPr="00570DEC">
        <w:rPr>
          <w:color w:val="000000"/>
        </w:rPr>
        <w:t xml:space="preserve">. </w:t>
      </w:r>
    </w:p>
    <w:p w:rsidR="00AD593A" w:rsidRPr="00570DEC" w:rsidRDefault="00AD593A" w:rsidP="00AD593A">
      <w:pPr>
        <w:pStyle w:val="SingleTxt"/>
        <w:rPr>
          <w:color w:val="000000"/>
        </w:rPr>
      </w:pPr>
      <w:r w:rsidRPr="00570DEC">
        <w:rPr>
          <w:color w:val="000000"/>
        </w:rPr>
        <w:t>7.</w:t>
      </w:r>
      <w:r w:rsidRPr="00570DEC">
        <w:rPr>
          <w:color w:val="000000"/>
        </w:rPr>
        <w:tab/>
        <w:t>В отношении Занзибара государство-участник провело проверку Закона о шариатском суде (кади) (1985 год)</w:t>
      </w:r>
      <w:r>
        <w:rPr>
          <w:rStyle w:val="FootnoteReference"/>
          <w:color w:val="000000"/>
        </w:rPr>
        <w:footnoteReference w:id="14"/>
      </w:r>
      <w:r w:rsidRPr="00570DEC">
        <w:rPr>
          <w:color w:val="000000"/>
        </w:rPr>
        <w:t xml:space="preserve"> для обеспечения того, чтобы женщины и мужчины имели эффективный доступ к правосудию в шариатском суде (к</w:t>
      </w:r>
      <w:r w:rsidRPr="00570DEC">
        <w:rPr>
          <w:color w:val="000000"/>
        </w:rPr>
        <w:t>а</w:t>
      </w:r>
      <w:r w:rsidRPr="00570DEC">
        <w:rPr>
          <w:color w:val="000000"/>
        </w:rPr>
        <w:t>ди)</w:t>
      </w:r>
      <w:r>
        <w:rPr>
          <w:rStyle w:val="FootnoteReference"/>
          <w:color w:val="000000"/>
        </w:rPr>
        <w:footnoteReference w:id="15"/>
      </w:r>
      <w:r w:rsidRPr="00570DEC">
        <w:rPr>
          <w:color w:val="000000"/>
        </w:rPr>
        <w:t>.</w:t>
      </w:r>
    </w:p>
    <w:p w:rsidR="00AD593A" w:rsidRPr="00570DEC" w:rsidRDefault="00AD593A" w:rsidP="00AD59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6" w:name="_Toc401576661"/>
      <w:r w:rsidRPr="00570DEC">
        <w:tab/>
      </w:r>
      <w:bookmarkStart w:id="17" w:name="_Toc417398633"/>
      <w:r w:rsidRPr="00570DEC">
        <w:t>1.1.1</w:t>
      </w:r>
      <w:r w:rsidRPr="00570DEC">
        <w:tab/>
        <w:t>Дискриминационные законы</w:t>
      </w:r>
      <w:bookmarkEnd w:id="16"/>
      <w:bookmarkEnd w:id="17"/>
    </w:p>
    <w:p w:rsidR="00AD593A" w:rsidRPr="00AD593A" w:rsidRDefault="00AD593A" w:rsidP="00AD593A">
      <w:pPr>
        <w:pStyle w:val="SingleTxt"/>
        <w:spacing w:after="0" w:line="120" w:lineRule="exact"/>
        <w:rPr>
          <w:color w:val="000000"/>
          <w:sz w:val="10"/>
        </w:rPr>
      </w:pPr>
    </w:p>
    <w:p w:rsidR="00AD593A" w:rsidRPr="00570DEC" w:rsidRDefault="00AD593A" w:rsidP="00AD593A">
      <w:pPr>
        <w:pStyle w:val="SingleTxt"/>
        <w:rPr>
          <w:color w:val="000000"/>
        </w:rPr>
      </w:pPr>
      <w:r w:rsidRPr="00570DEC">
        <w:rPr>
          <w:color w:val="000000"/>
        </w:rPr>
        <w:t>8.</w:t>
      </w:r>
      <w:r w:rsidRPr="00570DEC">
        <w:rPr>
          <w:color w:val="000000"/>
        </w:rPr>
        <w:tab/>
        <w:t>Во исполнение положений статьи 15 Конвенции государство-участник в Конституции Танзании 1977 года</w:t>
      </w:r>
      <w:r>
        <w:rPr>
          <w:rStyle w:val="FootnoteReference"/>
          <w:color w:val="000000"/>
        </w:rPr>
        <w:footnoteReference w:id="16"/>
      </w:r>
      <w:r w:rsidRPr="00570DEC">
        <w:rPr>
          <w:color w:val="000000"/>
        </w:rPr>
        <w:t xml:space="preserve"> и Конституции Занзибара 1984 года</w:t>
      </w:r>
      <w:r>
        <w:rPr>
          <w:rStyle w:val="FootnoteReference"/>
          <w:color w:val="000000"/>
        </w:rPr>
        <w:footnoteReference w:id="17"/>
      </w:r>
      <w:r w:rsidRPr="00570DEC">
        <w:rPr>
          <w:color w:val="000000"/>
        </w:rPr>
        <w:t xml:space="preserve"> пр</w:t>
      </w:r>
      <w:r w:rsidRPr="00570DEC">
        <w:rPr>
          <w:color w:val="000000"/>
        </w:rPr>
        <w:t>и</w:t>
      </w:r>
      <w:r w:rsidRPr="00570DEC">
        <w:rPr>
          <w:color w:val="000000"/>
        </w:rPr>
        <w:t>знает за женщинами равенство с мужчинами перед законом. Кроме того, гос</w:t>
      </w:r>
      <w:r w:rsidRPr="00570DEC">
        <w:rPr>
          <w:color w:val="000000"/>
        </w:rPr>
        <w:t>у</w:t>
      </w:r>
      <w:r w:rsidRPr="00570DEC">
        <w:rPr>
          <w:color w:val="000000"/>
        </w:rPr>
        <w:t>дарство-участник гарантирует женщинам одинаковую с мужчинами гражда</w:t>
      </w:r>
      <w:r w:rsidRPr="00570DEC">
        <w:rPr>
          <w:color w:val="000000"/>
        </w:rPr>
        <w:t>н</w:t>
      </w:r>
      <w:r w:rsidRPr="00570DEC">
        <w:rPr>
          <w:color w:val="000000"/>
        </w:rPr>
        <w:t>скую правоспособность и одинаковые возможности ее реализации, что таким образом обеспечивает им равные права при заключении договоров</w:t>
      </w:r>
      <w:r>
        <w:rPr>
          <w:rStyle w:val="FootnoteReference"/>
          <w:color w:val="000000"/>
        </w:rPr>
        <w:footnoteReference w:id="18"/>
      </w:r>
      <w:r w:rsidRPr="00570DEC">
        <w:rPr>
          <w:color w:val="000000"/>
        </w:rPr>
        <w:t xml:space="preserve"> и упра</w:t>
      </w:r>
      <w:r w:rsidRPr="00570DEC">
        <w:rPr>
          <w:color w:val="000000"/>
        </w:rPr>
        <w:t>в</w:t>
      </w:r>
      <w:r w:rsidRPr="00570DEC">
        <w:rPr>
          <w:color w:val="000000"/>
        </w:rPr>
        <w:t>лении имуществом, а также равное отношение к ним на всех этапах разбир</w:t>
      </w:r>
      <w:r w:rsidRPr="00570DEC">
        <w:rPr>
          <w:color w:val="000000"/>
        </w:rPr>
        <w:t>а</w:t>
      </w:r>
      <w:r w:rsidRPr="00570DEC">
        <w:rPr>
          <w:color w:val="000000"/>
        </w:rPr>
        <w:t>тельства в судах и трибуналах</w:t>
      </w:r>
      <w:r>
        <w:rPr>
          <w:rStyle w:val="FootnoteReference"/>
          <w:color w:val="000000"/>
        </w:rPr>
        <w:footnoteReference w:id="19"/>
      </w:r>
      <w:r w:rsidRPr="00570DEC">
        <w:rPr>
          <w:color w:val="000000"/>
        </w:rPr>
        <w:t>. Государство-участник также предоставляет мужчинам и женщинам одинаковые права в отношении законодательства, к</w:t>
      </w:r>
      <w:r w:rsidRPr="00570DEC">
        <w:rPr>
          <w:color w:val="000000"/>
        </w:rPr>
        <w:t>а</w:t>
      </w:r>
      <w:r w:rsidRPr="00570DEC">
        <w:rPr>
          <w:color w:val="000000"/>
        </w:rPr>
        <w:t>сающегося передвижения лиц и свободы выбора места проживания и местож</w:t>
      </w:r>
      <w:r w:rsidRPr="00570DEC">
        <w:rPr>
          <w:color w:val="000000"/>
        </w:rPr>
        <w:t>и</w:t>
      </w:r>
      <w:r w:rsidRPr="00570DEC">
        <w:rPr>
          <w:color w:val="000000"/>
        </w:rPr>
        <w:t>тельства</w:t>
      </w:r>
      <w:r>
        <w:rPr>
          <w:rStyle w:val="FootnoteReference"/>
          <w:color w:val="000000"/>
        </w:rPr>
        <w:footnoteReference w:id="20"/>
      </w:r>
      <w:r w:rsidRPr="00570DEC">
        <w:rPr>
          <w:color w:val="000000"/>
        </w:rPr>
        <w:t xml:space="preserve">. </w:t>
      </w:r>
    </w:p>
    <w:p w:rsidR="00AD593A" w:rsidRPr="00570DEC" w:rsidRDefault="00AD593A" w:rsidP="00AD593A">
      <w:pPr>
        <w:pStyle w:val="SingleTxt"/>
        <w:rPr>
          <w:color w:val="000000"/>
        </w:rPr>
      </w:pPr>
      <w:r w:rsidRPr="00570DEC">
        <w:rPr>
          <w:color w:val="000000"/>
        </w:rPr>
        <w:t>9.</w:t>
      </w:r>
      <w:r w:rsidRPr="00570DEC">
        <w:rPr>
          <w:color w:val="000000"/>
        </w:rPr>
        <w:tab/>
        <w:t>В целях обеспечения того, чтобы учащиеся начальных и средних школ как женского, так и мужского пола имели равные возможности в плане доступа к образованию и получения образования, Политика в сфере образования и профессиональной подготовки (материковой части Танзании) 1995 года, пер</w:t>
      </w:r>
      <w:r w:rsidRPr="00570DEC">
        <w:rPr>
          <w:color w:val="000000"/>
        </w:rPr>
        <w:t>е</w:t>
      </w:r>
      <w:r w:rsidRPr="00570DEC">
        <w:rPr>
          <w:color w:val="000000"/>
        </w:rPr>
        <w:t>смотренная и утвержденная в июне 2014 года, гарантирует равный доступ к возможностям в области образования и профессиональной подготовки для д</w:t>
      </w:r>
      <w:r w:rsidRPr="00570DEC">
        <w:rPr>
          <w:color w:val="000000"/>
        </w:rPr>
        <w:t>е</w:t>
      </w:r>
      <w:r w:rsidRPr="00570DEC">
        <w:rPr>
          <w:color w:val="000000"/>
        </w:rPr>
        <w:t>вочек и мальчиков, а также для женщин и мужчин; эта политика также позв</w:t>
      </w:r>
      <w:r w:rsidRPr="00570DEC">
        <w:rPr>
          <w:color w:val="000000"/>
        </w:rPr>
        <w:t>о</w:t>
      </w:r>
      <w:r w:rsidRPr="00570DEC">
        <w:rPr>
          <w:color w:val="000000"/>
        </w:rPr>
        <w:t>ляет забеременевшим школьницам продолжать учебу в школе после родов. Что касается Занзибара, раздел 16 (1) Закона о защите детей незамужних женщин и родителей-одиночек Занзибара (2005 год) содержит требование о том, чтобы беременные школьницы отстранялись от занятий в школе, а затем вновь пр</w:t>
      </w:r>
      <w:r w:rsidRPr="00570DEC">
        <w:rPr>
          <w:color w:val="000000"/>
        </w:rPr>
        <w:t>и</w:t>
      </w:r>
      <w:r w:rsidRPr="00570DEC">
        <w:rPr>
          <w:color w:val="000000"/>
        </w:rPr>
        <w:t xml:space="preserve">ступали к учебе в школе в течение двух лет после родов. На практике таким учащимся предоставляется возможность выбрать школу по желанию, с тем чтобы избежать стигматизации со стороны сверстников. </w:t>
      </w:r>
    </w:p>
    <w:p w:rsidR="00AD593A" w:rsidRPr="00570DEC" w:rsidRDefault="00AD593A" w:rsidP="00AD593A">
      <w:pPr>
        <w:pStyle w:val="SingleTxt"/>
        <w:rPr>
          <w:color w:val="000000"/>
        </w:rPr>
      </w:pPr>
      <w:r w:rsidRPr="00570DEC">
        <w:rPr>
          <w:color w:val="000000"/>
        </w:rPr>
        <w:t>10.</w:t>
      </w:r>
      <w:r w:rsidRPr="00570DEC">
        <w:rPr>
          <w:color w:val="000000"/>
        </w:rPr>
        <w:tab/>
        <w:t>В сфере занятости и трудовых отношений государство-участник ввело в действие конкретные положения в рамках раздела 7 (1) Закона о занятости За</w:t>
      </w:r>
      <w:r w:rsidRPr="00570DEC">
        <w:rPr>
          <w:color w:val="000000"/>
        </w:rPr>
        <w:t>н</w:t>
      </w:r>
      <w:r w:rsidRPr="00570DEC">
        <w:rPr>
          <w:color w:val="000000"/>
        </w:rPr>
        <w:t>зибара (ЗЗЗ) 2005 года</w:t>
      </w:r>
      <w:r>
        <w:rPr>
          <w:rStyle w:val="FootnoteReference"/>
          <w:color w:val="000000"/>
        </w:rPr>
        <w:footnoteReference w:id="21"/>
      </w:r>
      <w:r w:rsidRPr="00570DEC">
        <w:rPr>
          <w:color w:val="000000"/>
        </w:rPr>
        <w:t xml:space="preserve"> и Закона о занятости и трудовых отношениях (ЗЗТО) 2004 года</w:t>
      </w:r>
      <w:r>
        <w:rPr>
          <w:rStyle w:val="FootnoteReference"/>
          <w:color w:val="000000"/>
        </w:rPr>
        <w:footnoteReference w:id="22"/>
      </w:r>
      <w:r w:rsidRPr="00570DEC">
        <w:rPr>
          <w:color w:val="000000"/>
        </w:rPr>
        <w:t>, которыми запрещается дискриминация на рабочем месте</w:t>
      </w:r>
      <w:r>
        <w:rPr>
          <w:rStyle w:val="FootnoteReference"/>
          <w:color w:val="000000"/>
        </w:rPr>
        <w:footnoteReference w:id="23"/>
      </w:r>
      <w:r w:rsidRPr="00570DEC">
        <w:rPr>
          <w:color w:val="000000"/>
        </w:rPr>
        <w:t>. З</w:t>
      </w:r>
      <w:r w:rsidRPr="00570DEC">
        <w:rPr>
          <w:color w:val="000000"/>
        </w:rPr>
        <w:t>а</w:t>
      </w:r>
      <w:r w:rsidRPr="00570DEC">
        <w:rPr>
          <w:color w:val="000000"/>
        </w:rPr>
        <w:t>прещенные основания для дискриминации перечисляются в подразделе 4 ра</w:t>
      </w:r>
      <w:r w:rsidRPr="00570DEC">
        <w:rPr>
          <w:color w:val="000000"/>
        </w:rPr>
        <w:t>з</w:t>
      </w:r>
      <w:r w:rsidRPr="00570DEC">
        <w:rPr>
          <w:color w:val="000000"/>
        </w:rPr>
        <w:t>дела 7 ЗЗТО, разделе 10 (3) ЗЗЗ и правиле 28 (2) Правил, касающихся занят</w:t>
      </w:r>
      <w:r w:rsidRPr="00570DEC">
        <w:rPr>
          <w:color w:val="000000"/>
        </w:rPr>
        <w:t>о</w:t>
      </w:r>
      <w:r w:rsidRPr="00570DEC">
        <w:rPr>
          <w:color w:val="000000"/>
        </w:rPr>
        <w:t>сти и трудовых отношений (Кодекса добросовестной практики) 2007 года</w:t>
      </w:r>
      <w:r>
        <w:rPr>
          <w:rStyle w:val="FootnoteReference"/>
          <w:color w:val="000000"/>
        </w:rPr>
        <w:footnoteReference w:id="24"/>
      </w:r>
      <w:r w:rsidRPr="00570DEC">
        <w:rPr>
          <w:color w:val="000000"/>
        </w:rPr>
        <w:t xml:space="preserve"> и включают другие виды дискриминации. </w:t>
      </w:r>
    </w:p>
    <w:p w:rsidR="00AD593A" w:rsidRPr="00570DEC" w:rsidRDefault="00AD593A" w:rsidP="00AD593A">
      <w:pPr>
        <w:pStyle w:val="SingleTxt"/>
        <w:rPr>
          <w:color w:val="000000"/>
        </w:rPr>
      </w:pPr>
      <w:r w:rsidRPr="00570DEC">
        <w:rPr>
          <w:color w:val="000000"/>
        </w:rPr>
        <w:t>11.</w:t>
      </w:r>
      <w:r w:rsidRPr="00570DEC">
        <w:rPr>
          <w:color w:val="000000"/>
        </w:rPr>
        <w:tab/>
        <w:t>На Занзибаре, для обеспечения того чтобы эти положения стали хорошо известны работникам и работодателям, государство-участник предприняло еще один шаг, подготовив популярные издания указанных законов на английском языке и языке суахили. Эти издания были широко распространены среди ряд</w:t>
      </w:r>
      <w:r w:rsidRPr="00570DEC">
        <w:rPr>
          <w:color w:val="000000"/>
        </w:rPr>
        <w:t>о</w:t>
      </w:r>
      <w:r w:rsidRPr="00570DEC">
        <w:rPr>
          <w:color w:val="000000"/>
        </w:rPr>
        <w:t>вых работников.</w:t>
      </w:r>
    </w:p>
    <w:p w:rsidR="00AD593A" w:rsidRPr="00570DEC" w:rsidRDefault="00AD593A" w:rsidP="00AD593A">
      <w:pPr>
        <w:pStyle w:val="SingleTxt"/>
        <w:rPr>
          <w:color w:val="000000"/>
        </w:rPr>
      </w:pPr>
      <w:r w:rsidRPr="00570DEC">
        <w:rPr>
          <w:color w:val="000000"/>
        </w:rPr>
        <w:t>12.</w:t>
      </w:r>
      <w:r w:rsidRPr="00570DEC">
        <w:rPr>
          <w:color w:val="000000"/>
        </w:rPr>
        <w:tab/>
        <w:t>Есть еще несколько законов, которые были приняты государством-участником в целях запрещения дискриминации в отношении женщин, что указано в пункте 3.0 общего базового документа. К их числу относятся Закон о профилактике и контроле ВИЧ/СПИДа (2008 год), который запрещает дискр</w:t>
      </w:r>
      <w:r w:rsidRPr="00570DEC">
        <w:rPr>
          <w:color w:val="000000"/>
        </w:rPr>
        <w:t>и</w:t>
      </w:r>
      <w:r w:rsidRPr="00570DEC">
        <w:rPr>
          <w:color w:val="000000"/>
        </w:rPr>
        <w:t>минацию на основе ВИЧ/СПИДа; Закон об инвалидах (2010 год), который з</w:t>
      </w:r>
      <w:r w:rsidRPr="00570DEC">
        <w:rPr>
          <w:color w:val="000000"/>
        </w:rPr>
        <w:t>а</w:t>
      </w:r>
      <w:r w:rsidRPr="00570DEC">
        <w:rPr>
          <w:color w:val="000000"/>
        </w:rPr>
        <w:t>прещает дискриминацию по признаку инвалидности; Закон о детях и Закон о детях Занзибара, которые гарантируют каждому ребенку "право на жизнь, св</w:t>
      </w:r>
      <w:r w:rsidRPr="00570DEC">
        <w:rPr>
          <w:color w:val="000000"/>
        </w:rPr>
        <w:t>о</w:t>
      </w:r>
      <w:r w:rsidRPr="00570DEC">
        <w:rPr>
          <w:color w:val="000000"/>
        </w:rPr>
        <w:t>бодную от какой-либо дискриминации"; и Закон об инвалидах Занзибара (о правах и привилегиях)</w:t>
      </w:r>
      <w:r>
        <w:rPr>
          <w:rStyle w:val="FootnoteReference"/>
          <w:color w:val="000000"/>
        </w:rPr>
        <w:footnoteReference w:id="25"/>
      </w:r>
      <w:r w:rsidRPr="00570DEC">
        <w:rPr>
          <w:color w:val="000000"/>
        </w:rPr>
        <w:t>, который регулирует вопросы, касающиеся дискрим</w:t>
      </w:r>
      <w:r w:rsidRPr="00570DEC">
        <w:rPr>
          <w:color w:val="000000"/>
        </w:rPr>
        <w:t>и</w:t>
      </w:r>
      <w:r w:rsidRPr="00570DEC">
        <w:rPr>
          <w:color w:val="000000"/>
        </w:rPr>
        <w:t>нации в сфере занятости, реализации прав инвалидов, доступности и мобил</w:t>
      </w:r>
      <w:r w:rsidRPr="00570DEC">
        <w:rPr>
          <w:color w:val="000000"/>
        </w:rPr>
        <w:t>ь</w:t>
      </w:r>
      <w:r w:rsidRPr="00570DEC">
        <w:rPr>
          <w:color w:val="000000"/>
        </w:rPr>
        <w:t>ности, стандартов доступности, а также запрещения отказа в допуске в общ</w:t>
      </w:r>
      <w:r w:rsidRPr="00570DEC">
        <w:rPr>
          <w:color w:val="000000"/>
        </w:rPr>
        <w:t>е</w:t>
      </w:r>
      <w:r w:rsidRPr="00570DEC">
        <w:rPr>
          <w:color w:val="000000"/>
        </w:rPr>
        <w:t>ственные помещения.</w:t>
      </w:r>
    </w:p>
    <w:p w:rsidR="00AD593A" w:rsidRPr="00570DEC" w:rsidRDefault="00AD593A" w:rsidP="00AD593A">
      <w:pPr>
        <w:pStyle w:val="SingleTxt"/>
        <w:rPr>
          <w:color w:val="000000"/>
        </w:rPr>
      </w:pPr>
      <w:r w:rsidRPr="00570DEC">
        <w:rPr>
          <w:color w:val="000000"/>
        </w:rPr>
        <w:t>13.</w:t>
      </w:r>
      <w:r w:rsidRPr="00570DEC">
        <w:rPr>
          <w:color w:val="000000"/>
        </w:rPr>
        <w:tab/>
        <w:t xml:space="preserve">Для обеспечения учета гендерной проблематики на всех уровнях </w:t>
      </w:r>
      <w:r w:rsidRPr="00570DEC">
        <w:rPr>
          <w:rFonts w:eastAsia="Times New Roman"/>
          <w:color w:val="000000"/>
        </w:rPr>
        <w:t>Канц</w:t>
      </w:r>
      <w:r w:rsidRPr="00570DEC">
        <w:rPr>
          <w:rFonts w:eastAsia="Times New Roman"/>
          <w:color w:val="000000"/>
        </w:rPr>
        <w:t>е</w:t>
      </w:r>
      <w:r w:rsidRPr="00570DEC">
        <w:rPr>
          <w:rFonts w:eastAsia="Times New Roman"/>
          <w:color w:val="000000"/>
        </w:rPr>
        <w:t>лярия президента по вопросам управления государственных служб</w:t>
      </w:r>
      <w:r w:rsidRPr="00570DEC">
        <w:rPr>
          <w:color w:val="000000"/>
        </w:rPr>
        <w:t xml:space="preserve"> (КП</w:t>
      </w:r>
      <w:r w:rsidRPr="00570DEC">
        <w:rPr>
          <w:color w:val="000000"/>
        </w:rPr>
        <w:noBreakHyphen/>
        <w:t>УГС) поручил</w:t>
      </w:r>
      <w:r w:rsidRPr="00570DEC">
        <w:rPr>
          <w:color w:val="000000"/>
          <w:lang w:val="en-US"/>
        </w:rPr>
        <w:t>a</w:t>
      </w:r>
      <w:r w:rsidRPr="00570DEC">
        <w:rPr>
          <w:color w:val="000000"/>
        </w:rPr>
        <w:t xml:space="preserve"> всем местным органам власти ввести уставы государственной слу</w:t>
      </w:r>
      <w:r w:rsidRPr="00570DEC">
        <w:rPr>
          <w:color w:val="000000"/>
        </w:rPr>
        <w:t>ж</w:t>
      </w:r>
      <w:r w:rsidRPr="00570DEC">
        <w:rPr>
          <w:color w:val="000000"/>
        </w:rPr>
        <w:t>бы, содержащие в том числе требование обеспечить гендерное равенство при назначении на различные должности. Соблюдение этих уставов контролируе</w:t>
      </w:r>
      <w:r w:rsidRPr="00570DEC">
        <w:rPr>
          <w:color w:val="000000"/>
        </w:rPr>
        <w:t>т</w:t>
      </w:r>
      <w:r w:rsidRPr="00570DEC">
        <w:rPr>
          <w:color w:val="000000"/>
        </w:rPr>
        <w:t>ся группой КП</w:t>
      </w:r>
      <w:r w:rsidRPr="00570DEC">
        <w:rPr>
          <w:color w:val="000000"/>
        </w:rPr>
        <w:noBreakHyphen/>
        <w:t>УГС по оценке, которая контролирует, помимо прочего, обесп</w:t>
      </w:r>
      <w:r w:rsidRPr="00570DEC">
        <w:rPr>
          <w:color w:val="000000"/>
        </w:rPr>
        <w:t>е</w:t>
      </w:r>
      <w:r w:rsidRPr="00570DEC">
        <w:rPr>
          <w:color w:val="000000"/>
        </w:rPr>
        <w:t>чение учета гендерных факторов и соображений при формировании состава местных органов власти (МОВ). На уровне МОВ функционируют ревизионные комитеты, в обязанности которых входит также отслеживание выполнения устава государственной службы, в то время как Национальное ревизионное управление отвечает за выполнение перекрестной проверки наличия и введ</w:t>
      </w:r>
      <w:r w:rsidRPr="00570DEC">
        <w:rPr>
          <w:color w:val="000000"/>
        </w:rPr>
        <w:t>е</w:t>
      </w:r>
      <w:r w:rsidRPr="00570DEC">
        <w:rPr>
          <w:color w:val="000000"/>
        </w:rPr>
        <w:t>ние в действие этих уставов государственной службы.</w:t>
      </w:r>
    </w:p>
    <w:p w:rsidR="00AD593A" w:rsidRDefault="00AD593A" w:rsidP="00AD593A">
      <w:pPr>
        <w:pStyle w:val="SingleTxt"/>
        <w:rPr>
          <w:color w:val="000000"/>
        </w:rPr>
      </w:pPr>
      <w:r w:rsidRPr="00570DEC">
        <w:rPr>
          <w:color w:val="000000"/>
        </w:rPr>
        <w:t>14.</w:t>
      </w:r>
      <w:r w:rsidRPr="00570DEC">
        <w:rPr>
          <w:color w:val="000000"/>
        </w:rPr>
        <w:tab/>
        <w:t>С точки зрения допустимого для девушек возраста вступления в брак, к</w:t>
      </w:r>
      <w:r w:rsidRPr="00570DEC">
        <w:rPr>
          <w:color w:val="000000"/>
        </w:rPr>
        <w:t>о</w:t>
      </w:r>
      <w:r w:rsidRPr="00570DEC">
        <w:rPr>
          <w:color w:val="000000"/>
        </w:rPr>
        <w:t>торый регулируется Законом о браке 1971 года, девушки по-прежнему подве</w:t>
      </w:r>
      <w:r w:rsidRPr="00570DEC">
        <w:rPr>
          <w:color w:val="000000"/>
        </w:rPr>
        <w:t>р</w:t>
      </w:r>
      <w:r w:rsidRPr="00570DEC">
        <w:rPr>
          <w:color w:val="000000"/>
        </w:rPr>
        <w:t>гаются дискриминации в отношении реализации предоставляемых им возмо</w:t>
      </w:r>
      <w:r w:rsidRPr="00570DEC">
        <w:rPr>
          <w:color w:val="000000"/>
        </w:rPr>
        <w:t>ж</w:t>
      </w:r>
      <w:r w:rsidRPr="00570DEC">
        <w:rPr>
          <w:color w:val="000000"/>
        </w:rPr>
        <w:t>ностей, поскольку этот Закон позволяет девушкам вступать в брак с 15 лет. П</w:t>
      </w:r>
      <w:r w:rsidRPr="00570DEC">
        <w:rPr>
          <w:color w:val="000000"/>
        </w:rPr>
        <w:t>е</w:t>
      </w:r>
      <w:r w:rsidRPr="00570DEC">
        <w:rPr>
          <w:color w:val="000000"/>
        </w:rPr>
        <w:t>ресмотр возраста вступления в брак на протяжении уже многих лет сталкив</w:t>
      </w:r>
      <w:r w:rsidRPr="00570DEC">
        <w:rPr>
          <w:color w:val="000000"/>
        </w:rPr>
        <w:t>а</w:t>
      </w:r>
      <w:r w:rsidRPr="00570DEC">
        <w:rPr>
          <w:color w:val="000000"/>
        </w:rPr>
        <w:t>ется с проблемами в связи с некоторыми традиционными и религиозными обычаями. Тем не менее предлагаемая конституция предоставляет возмо</w:t>
      </w:r>
      <w:r w:rsidRPr="00570DEC">
        <w:rPr>
          <w:color w:val="000000"/>
        </w:rPr>
        <w:t>ж</w:t>
      </w:r>
      <w:r w:rsidRPr="00570DEC">
        <w:rPr>
          <w:color w:val="000000"/>
        </w:rPr>
        <w:t>ность осуществить такой пересмотр, поскольку в ней любое лицо, не дости</w:t>
      </w:r>
      <w:r w:rsidRPr="00570DEC">
        <w:rPr>
          <w:color w:val="000000"/>
        </w:rPr>
        <w:t>г</w:t>
      </w:r>
      <w:r w:rsidRPr="00570DEC">
        <w:rPr>
          <w:color w:val="000000"/>
        </w:rPr>
        <w:t>шее 18 лет, определяется как ребенок и предусматриваются другие меры по защите детей.</w:t>
      </w:r>
    </w:p>
    <w:p w:rsidR="00AD593A" w:rsidRPr="00AD593A" w:rsidRDefault="00AD593A" w:rsidP="00AD593A">
      <w:pPr>
        <w:pStyle w:val="SingleTxt"/>
        <w:spacing w:after="0" w:line="120" w:lineRule="exact"/>
        <w:rPr>
          <w:color w:val="000000"/>
          <w:sz w:val="10"/>
        </w:rPr>
      </w:pPr>
    </w:p>
    <w:p w:rsidR="00AD593A" w:rsidRPr="00570DEC" w:rsidRDefault="00AD593A" w:rsidP="00AD59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8" w:name="_Toc401576662"/>
      <w:r w:rsidRPr="00570DEC">
        <w:tab/>
      </w:r>
      <w:bookmarkStart w:id="19" w:name="_Toc417398634"/>
      <w:r w:rsidRPr="00570DEC">
        <w:t>1.1.2</w:t>
      </w:r>
      <w:r w:rsidRPr="00570DEC">
        <w:tab/>
        <w:t>Распространение информации о Конвенции и Факультативном пр</w:t>
      </w:r>
      <w:r w:rsidRPr="00570DEC">
        <w:t>о</w:t>
      </w:r>
      <w:r w:rsidRPr="00570DEC">
        <w:t>токоле</w:t>
      </w:r>
      <w:bookmarkEnd w:id="18"/>
      <w:bookmarkEnd w:id="19"/>
    </w:p>
    <w:p w:rsidR="00AD593A" w:rsidRPr="00AD593A" w:rsidRDefault="00AD593A" w:rsidP="00AD593A">
      <w:pPr>
        <w:pStyle w:val="SingleTxt"/>
        <w:spacing w:after="0" w:line="120" w:lineRule="exact"/>
        <w:rPr>
          <w:color w:val="000000"/>
          <w:sz w:val="10"/>
        </w:rPr>
      </w:pPr>
    </w:p>
    <w:p w:rsidR="00AD593A" w:rsidRPr="00570DEC" w:rsidRDefault="00AD593A" w:rsidP="00AD593A">
      <w:pPr>
        <w:pStyle w:val="SingleTxt"/>
        <w:rPr>
          <w:color w:val="000000"/>
        </w:rPr>
      </w:pPr>
      <w:r w:rsidRPr="00570DEC">
        <w:rPr>
          <w:color w:val="000000"/>
        </w:rPr>
        <w:t>15.</w:t>
      </w:r>
      <w:r w:rsidRPr="00570DEC">
        <w:rPr>
          <w:bCs/>
          <w:color w:val="000000"/>
        </w:rPr>
        <w:tab/>
        <w:t>Государство-</w:t>
      </w:r>
      <w:r w:rsidRPr="00570DEC">
        <w:rPr>
          <w:color w:val="000000"/>
        </w:rPr>
        <w:t>участник приступило к осуществлению ряда мер. К их числу относится включение положений нескольких международных конвенций по правам человека во внутригосударственную правовую систему, проведение общественных кампаний в целях повышения осведомленности женщин и л</w:t>
      </w:r>
      <w:r w:rsidRPr="00570DEC">
        <w:rPr>
          <w:color w:val="000000"/>
        </w:rPr>
        <w:t>и</w:t>
      </w:r>
      <w:r w:rsidRPr="00570DEC">
        <w:rPr>
          <w:color w:val="000000"/>
        </w:rPr>
        <w:t>деров общин о Конвенции и Протоколах к ней и подготовка представителей юридических профессий и судей по вопросам прав человека и конкретных стандартов в области прав человека, закрепленных в Конвенции.</w:t>
      </w:r>
    </w:p>
    <w:p w:rsidR="00AD593A" w:rsidRPr="00570DEC" w:rsidRDefault="00AD593A" w:rsidP="00AD593A">
      <w:pPr>
        <w:pStyle w:val="SingleTxt"/>
        <w:rPr>
          <w:color w:val="000000"/>
        </w:rPr>
      </w:pPr>
      <w:r w:rsidRPr="00570DEC">
        <w:rPr>
          <w:color w:val="000000"/>
        </w:rPr>
        <w:t>16.</w:t>
      </w:r>
      <w:r w:rsidRPr="00570DEC">
        <w:rPr>
          <w:b/>
          <w:color w:val="000000"/>
        </w:rPr>
        <w:tab/>
      </w:r>
      <w:r w:rsidRPr="00570DEC">
        <w:rPr>
          <w:color w:val="000000"/>
        </w:rPr>
        <w:t>Государство-участник продолжает осуществлять мероприятия по пов</w:t>
      </w:r>
      <w:r w:rsidRPr="00570DEC">
        <w:rPr>
          <w:color w:val="000000"/>
        </w:rPr>
        <w:t>ы</w:t>
      </w:r>
      <w:r w:rsidRPr="00570DEC">
        <w:rPr>
          <w:color w:val="000000"/>
        </w:rPr>
        <w:t>шению квалификации сотрудников судебных органов по вопросам междун</w:t>
      </w:r>
      <w:r w:rsidRPr="00570DEC">
        <w:rPr>
          <w:color w:val="000000"/>
        </w:rPr>
        <w:t>а</w:t>
      </w:r>
      <w:r w:rsidRPr="00570DEC">
        <w:rPr>
          <w:color w:val="000000"/>
        </w:rPr>
        <w:t>родного права в области прав человека, в том числе по правам женщин в ко</w:t>
      </w:r>
      <w:r w:rsidRPr="00570DEC">
        <w:rPr>
          <w:color w:val="000000"/>
        </w:rPr>
        <w:t>н</w:t>
      </w:r>
      <w:r w:rsidRPr="00570DEC">
        <w:rPr>
          <w:color w:val="000000"/>
        </w:rPr>
        <w:t>тексте КЛДЖ, Факультативного протокола к ней и Протокола к Африканской хартии прав человека и народов, касающегося прав женщин в Африке (Прот</w:t>
      </w:r>
      <w:r w:rsidRPr="00570DEC">
        <w:rPr>
          <w:color w:val="000000"/>
        </w:rPr>
        <w:t>о</w:t>
      </w:r>
      <w:r w:rsidRPr="00570DEC">
        <w:rPr>
          <w:color w:val="000000"/>
        </w:rPr>
        <w:t>кола по правам женщин в Африке)</w:t>
      </w:r>
      <w:r>
        <w:rPr>
          <w:rStyle w:val="FootnoteReference"/>
          <w:color w:val="000000"/>
        </w:rPr>
        <w:footnoteReference w:id="26"/>
      </w:r>
      <w:r w:rsidRPr="00570DEC">
        <w:rPr>
          <w:color w:val="000000"/>
        </w:rPr>
        <w:t>. В частности, в 2011 году около 14 судей и регистраторов Высокого суда Танзании прошли подготовку по международным документам в области прав человека, непосредственно касающимся женщин и детей. Кроме того, Департамент пенитенциарных учреждений Занзибара ос</w:t>
      </w:r>
      <w:r w:rsidRPr="00570DEC">
        <w:rPr>
          <w:color w:val="000000"/>
        </w:rPr>
        <w:t>у</w:t>
      </w:r>
      <w:r w:rsidRPr="00570DEC">
        <w:rPr>
          <w:color w:val="000000"/>
        </w:rPr>
        <w:t>ществил тщательный пересмотр Закона об образовании правонарушителей (1980 год)</w:t>
      </w:r>
      <w:r>
        <w:rPr>
          <w:rStyle w:val="FootnoteReference"/>
          <w:color w:val="000000"/>
        </w:rPr>
        <w:footnoteReference w:id="27"/>
      </w:r>
      <w:r w:rsidRPr="00570DEC">
        <w:rPr>
          <w:color w:val="000000"/>
        </w:rPr>
        <w:t xml:space="preserve"> в целях решения в том числе проблем, касающихся прав и бе</w:t>
      </w:r>
      <w:r w:rsidRPr="00570DEC">
        <w:rPr>
          <w:color w:val="000000"/>
        </w:rPr>
        <w:t>д</w:t>
      </w:r>
      <w:r w:rsidRPr="00570DEC">
        <w:rPr>
          <w:color w:val="000000"/>
        </w:rPr>
        <w:t>ственного положения женщин, содержащихся в тюрьмах, а также детей, чьи матери/опекуны находятся в заключении. Пересмотр этого Закона также пр</w:t>
      </w:r>
      <w:r w:rsidRPr="00570DEC">
        <w:rPr>
          <w:color w:val="000000"/>
        </w:rPr>
        <w:t>е</w:t>
      </w:r>
      <w:r w:rsidRPr="00570DEC">
        <w:rPr>
          <w:color w:val="000000"/>
        </w:rPr>
        <w:t>следовал цель внедрить в пенитенциарной системе механизм подачи жалоб в целях решения проблем гендерного насилия и дискриминации.</w:t>
      </w:r>
    </w:p>
    <w:p w:rsidR="00AD593A" w:rsidRPr="00570DEC" w:rsidRDefault="00AD593A" w:rsidP="00AD593A">
      <w:pPr>
        <w:pStyle w:val="SingleTxt"/>
        <w:rPr>
          <w:color w:val="000000"/>
        </w:rPr>
      </w:pPr>
      <w:r w:rsidRPr="00570DEC">
        <w:rPr>
          <w:color w:val="000000"/>
        </w:rPr>
        <w:t>17.</w:t>
      </w:r>
      <w:r w:rsidRPr="00570DEC">
        <w:rPr>
          <w:color w:val="000000"/>
        </w:rPr>
        <w:tab/>
        <w:t>Государство-участник предпринимает шаги по введению в действие Зак</w:t>
      </w:r>
      <w:r w:rsidRPr="00570DEC">
        <w:rPr>
          <w:color w:val="000000"/>
        </w:rPr>
        <w:t>о</w:t>
      </w:r>
      <w:r w:rsidRPr="00570DEC">
        <w:rPr>
          <w:color w:val="000000"/>
        </w:rPr>
        <w:t>на о юридической помощи, работа над которым находится в завершающей ст</w:t>
      </w:r>
      <w:r w:rsidRPr="00570DEC">
        <w:rPr>
          <w:color w:val="000000"/>
        </w:rPr>
        <w:t>а</w:t>
      </w:r>
      <w:r w:rsidRPr="00570DEC">
        <w:rPr>
          <w:color w:val="000000"/>
        </w:rPr>
        <w:t>дии (законопроект о юридической помощи) и который позволит среднему юридическому персоналу предоставлять услуги в области юридической пом</w:t>
      </w:r>
      <w:r w:rsidRPr="00570DEC">
        <w:rPr>
          <w:color w:val="000000"/>
        </w:rPr>
        <w:t>о</w:t>
      </w:r>
      <w:r w:rsidRPr="00570DEC">
        <w:rPr>
          <w:color w:val="000000"/>
        </w:rPr>
        <w:t>щи тем, кому это необходимо. Это позволит увеличить численность персонала, предоставляющего юридические услуги, в частности в сельских районах. Кр</w:t>
      </w:r>
      <w:r w:rsidRPr="00570DEC">
        <w:rPr>
          <w:color w:val="000000"/>
        </w:rPr>
        <w:t>о</w:t>
      </w:r>
      <w:r w:rsidRPr="00570DEC">
        <w:rPr>
          <w:color w:val="000000"/>
        </w:rPr>
        <w:t>ме того, Центром правовых услуг Занзибара (ЦПУЗ) проводится двухлетний курс подготовки среднего юридического персонала, благодаря которому в ка</w:t>
      </w:r>
      <w:r w:rsidRPr="00570DEC">
        <w:rPr>
          <w:color w:val="000000"/>
        </w:rPr>
        <w:t>ж</w:t>
      </w:r>
      <w:r w:rsidRPr="00570DEC">
        <w:rPr>
          <w:color w:val="000000"/>
        </w:rPr>
        <w:t>дом избирательном округе имеется по меньшей мере один такой сотрудник, а всего на Занзибаре насчитывается более 160 квалифицированных сотрудников из числа среднего юридического персонала.</w:t>
      </w:r>
    </w:p>
    <w:p w:rsidR="00AD593A" w:rsidRPr="00570DEC" w:rsidRDefault="00AD593A" w:rsidP="00AD593A">
      <w:pPr>
        <w:pStyle w:val="SingleTxt"/>
        <w:rPr>
          <w:color w:val="000000"/>
        </w:rPr>
      </w:pPr>
      <w:r w:rsidRPr="00570DEC">
        <w:rPr>
          <w:color w:val="000000"/>
        </w:rPr>
        <w:t>18.</w:t>
      </w:r>
      <w:r w:rsidRPr="00570DEC">
        <w:rPr>
          <w:color w:val="000000"/>
        </w:rPr>
        <w:tab/>
        <w:t>Государство-участник приступило к реализации ряда программ по пов</w:t>
      </w:r>
      <w:r w:rsidRPr="00570DEC">
        <w:rPr>
          <w:color w:val="000000"/>
        </w:rPr>
        <w:t>ы</w:t>
      </w:r>
      <w:r w:rsidRPr="00570DEC">
        <w:rPr>
          <w:color w:val="000000"/>
        </w:rPr>
        <w:t>шению компетентности женщин, в частности в области КЛДЖ. В рамках своих усилий по повышению уровня общественной осведомленности о междунаро</w:t>
      </w:r>
      <w:r w:rsidRPr="00570DEC">
        <w:rPr>
          <w:color w:val="000000"/>
        </w:rPr>
        <w:t>д</w:t>
      </w:r>
      <w:r w:rsidRPr="00570DEC">
        <w:rPr>
          <w:color w:val="000000"/>
        </w:rPr>
        <w:t>ных договорах в области прав человека, касающихся женщин, государство-участник перевело на язык суахили и широко распространило среди населения КЛДЖ, Факультативный протокол к ней и Протокол к Африканской хартии прав человека и народов, касающийся прав женщин в Африке (известный как Протокол Мапуту). Кроме того, государство-участник продолжает сотрудн</w:t>
      </w:r>
      <w:r w:rsidRPr="00570DEC">
        <w:rPr>
          <w:color w:val="000000"/>
        </w:rPr>
        <w:t>и</w:t>
      </w:r>
      <w:r w:rsidRPr="00570DEC">
        <w:rPr>
          <w:color w:val="000000"/>
        </w:rPr>
        <w:t>чать с государственными и негосударственными структурами в деле организ</w:t>
      </w:r>
      <w:r w:rsidRPr="00570DEC">
        <w:rPr>
          <w:color w:val="000000"/>
        </w:rPr>
        <w:t>а</w:t>
      </w:r>
      <w:r w:rsidRPr="00570DEC">
        <w:rPr>
          <w:color w:val="000000"/>
        </w:rPr>
        <w:t>ции общинных программ, посвященных правам женщин, закрепленным в КЛДЖ и других соответствующих международных договорах в области прав человека. В частности, для повышения уровня осведомленности общественн</w:t>
      </w:r>
      <w:r w:rsidRPr="00570DEC">
        <w:rPr>
          <w:color w:val="000000"/>
        </w:rPr>
        <w:t>о</w:t>
      </w:r>
      <w:r w:rsidRPr="00570DEC">
        <w:rPr>
          <w:color w:val="000000"/>
        </w:rPr>
        <w:t>сти о правах женщин используется ряд радио- и телевизионных программ, к числу которых относятся программа "Kumepambazuka</w:t>
      </w:r>
      <w:r>
        <w:rPr>
          <w:color w:val="000000"/>
          <w:lang w:val="en-US"/>
        </w:rPr>
        <w:t> </w:t>
      </w:r>
      <w:r w:rsidRPr="00570DEC">
        <w:rPr>
          <w:color w:val="000000"/>
        </w:rPr>
        <w:t>– Sheria", которая вых</w:t>
      </w:r>
      <w:r w:rsidRPr="00570DEC">
        <w:rPr>
          <w:color w:val="000000"/>
        </w:rPr>
        <w:t>о</w:t>
      </w:r>
      <w:r w:rsidRPr="00570DEC">
        <w:rPr>
          <w:color w:val="000000"/>
        </w:rPr>
        <w:t>дит в эфир радиостанции "Радио</w:t>
      </w:r>
      <w:r w:rsidRPr="00570DEC">
        <w:rPr>
          <w:color w:val="000000"/>
        </w:rPr>
        <w:noBreakHyphen/>
        <w:t>один" каждый вторник (с 8:00 до 9:00); пр</w:t>
      </w:r>
      <w:r w:rsidRPr="00570DEC">
        <w:rPr>
          <w:color w:val="000000"/>
        </w:rPr>
        <w:t>о</w:t>
      </w:r>
      <w:r w:rsidRPr="00570DEC">
        <w:rPr>
          <w:color w:val="000000"/>
        </w:rPr>
        <w:t>грамма "</w:t>
      </w:r>
      <w:r w:rsidRPr="00570DEC">
        <w:rPr>
          <w:color w:val="000000"/>
          <w:lang w:val="en-US"/>
        </w:rPr>
        <w:t>Power</w:t>
      </w:r>
      <w:r w:rsidRPr="00570DEC">
        <w:rPr>
          <w:color w:val="000000"/>
        </w:rPr>
        <w:t xml:space="preserve"> </w:t>
      </w:r>
      <w:r w:rsidRPr="00570DEC">
        <w:rPr>
          <w:color w:val="000000"/>
          <w:lang w:val="en-US"/>
        </w:rPr>
        <w:t>Breakfast</w:t>
      </w:r>
      <w:r w:rsidRPr="00570DEC">
        <w:rPr>
          <w:color w:val="000000"/>
        </w:rPr>
        <w:t xml:space="preserve"> (</w:t>
      </w:r>
      <w:r w:rsidRPr="00570DEC">
        <w:rPr>
          <w:color w:val="000000"/>
          <w:lang w:val="en-US"/>
        </w:rPr>
        <w:t>PB</w:t>
      </w:r>
      <w:r w:rsidRPr="00570DEC">
        <w:rPr>
          <w:color w:val="000000"/>
        </w:rPr>
        <w:t>) – Sheria", выходящая в эфир радиостанции "О</w:t>
      </w:r>
      <w:r w:rsidRPr="00570DEC">
        <w:rPr>
          <w:color w:val="000000"/>
        </w:rPr>
        <w:t>б</w:t>
      </w:r>
      <w:r w:rsidRPr="00570DEC">
        <w:rPr>
          <w:color w:val="000000"/>
        </w:rPr>
        <w:t xml:space="preserve">лака </w:t>
      </w:r>
      <w:r w:rsidRPr="00570DEC">
        <w:rPr>
          <w:color w:val="000000"/>
          <w:lang w:val="en-US"/>
        </w:rPr>
        <w:t>FM</w:t>
      </w:r>
      <w:r w:rsidRPr="00570DEC">
        <w:rPr>
          <w:color w:val="000000"/>
        </w:rPr>
        <w:t>"; программа</w:t>
      </w:r>
      <w:r w:rsidRPr="00570DEC">
        <w:rPr>
          <w:i/>
          <w:color w:val="000000"/>
        </w:rPr>
        <w:t xml:space="preserve"> "</w:t>
      </w:r>
      <w:r w:rsidRPr="00570DEC">
        <w:rPr>
          <w:color w:val="000000"/>
        </w:rPr>
        <w:t>Ijue Sheria", которая транслируется Независимым тел</w:t>
      </w:r>
      <w:r w:rsidRPr="00570DEC">
        <w:rPr>
          <w:color w:val="000000"/>
        </w:rPr>
        <w:t>е</w:t>
      </w:r>
      <w:r w:rsidRPr="00570DEC">
        <w:rPr>
          <w:color w:val="000000"/>
        </w:rPr>
        <w:t xml:space="preserve">видением (НТВ) и </w:t>
      </w:r>
      <w:r w:rsidRPr="00570DEC">
        <w:rPr>
          <w:rFonts w:eastAsia="Times New Roman"/>
          <w:color w:val="000000"/>
        </w:rPr>
        <w:t>Телерадиовещанием Занзибара</w:t>
      </w:r>
      <w:r w:rsidRPr="00570DEC">
        <w:rPr>
          <w:color w:val="000000"/>
        </w:rPr>
        <w:t xml:space="preserve"> (ТРВЗ); а также "Kona ya Sheria", транслируемая Танзанийской вещательной корпорацией (ТВК). Кроме того,</w:t>
      </w:r>
      <w:r w:rsidRPr="00570DEC">
        <w:rPr>
          <w:rFonts w:eastAsia="Times New Roman"/>
          <w:color w:val="000000"/>
        </w:rPr>
        <w:t xml:space="preserve"> Занзибарская ассоциация женщин-юристов</w:t>
      </w:r>
      <w:r w:rsidRPr="00570DEC">
        <w:rPr>
          <w:color w:val="000000"/>
        </w:rPr>
        <w:t xml:space="preserve"> организует встречи и семин</w:t>
      </w:r>
      <w:r w:rsidRPr="00570DEC">
        <w:rPr>
          <w:color w:val="000000"/>
        </w:rPr>
        <w:t>а</w:t>
      </w:r>
      <w:r w:rsidRPr="00570DEC">
        <w:rPr>
          <w:color w:val="000000"/>
        </w:rPr>
        <w:t>ры для членов общины Занзибара в целях обеспечения правового просвещения и просвещения в области прав человека.</w:t>
      </w:r>
    </w:p>
    <w:p w:rsidR="00AD593A" w:rsidRPr="00570DEC" w:rsidRDefault="00AD593A" w:rsidP="00AD593A">
      <w:pPr>
        <w:pStyle w:val="SingleTxt"/>
        <w:rPr>
          <w:color w:val="000000"/>
        </w:rPr>
      </w:pPr>
      <w:r w:rsidRPr="00570DEC">
        <w:rPr>
          <w:color w:val="000000"/>
        </w:rPr>
        <w:t>19.</w:t>
      </w:r>
      <w:r w:rsidRPr="00570DEC">
        <w:rPr>
          <w:color w:val="000000"/>
        </w:rPr>
        <w:tab/>
        <w:t>В сотрудничестве с негосударственными субъектами, особенно с ОГО, государство-участник осуществляет кампании по повышению общественной осведомленности в целях борьбы с дискриминацией и насилием в отношении женщин и ликвидации этих явлений в рамках широко известных Шестнадцати дней активных действий против гендерного насилия</w:t>
      </w:r>
      <w:r>
        <w:rPr>
          <w:rStyle w:val="FootnoteReference"/>
          <w:color w:val="000000"/>
        </w:rPr>
        <w:footnoteReference w:id="28"/>
      </w:r>
      <w:r w:rsidRPr="00570DEC">
        <w:rPr>
          <w:color w:val="000000"/>
        </w:rPr>
        <w:t>, Международного же</w:t>
      </w:r>
      <w:r w:rsidRPr="00570DEC">
        <w:rPr>
          <w:color w:val="000000"/>
        </w:rPr>
        <w:t>н</w:t>
      </w:r>
      <w:r w:rsidRPr="00570DEC">
        <w:rPr>
          <w:color w:val="000000"/>
        </w:rPr>
        <w:t>ского дня, Международного дня девочек, ралли с факелами Ухуру и гендерных фестивалей</w:t>
      </w:r>
      <w:r>
        <w:rPr>
          <w:rStyle w:val="FootnoteReference"/>
          <w:color w:val="000000"/>
        </w:rPr>
        <w:footnoteReference w:id="29"/>
      </w:r>
      <w:r w:rsidRPr="00570DEC">
        <w:rPr>
          <w:color w:val="000000"/>
        </w:rPr>
        <w:t>. В</w:t>
      </w:r>
      <w:r>
        <w:rPr>
          <w:color w:val="000000"/>
          <w:lang w:val="en-US"/>
        </w:rPr>
        <w:t> </w:t>
      </w:r>
      <w:r w:rsidRPr="00570DEC">
        <w:rPr>
          <w:color w:val="000000"/>
        </w:rPr>
        <w:t>рамках празднования Международного женского дня госуда</w:t>
      </w:r>
      <w:r w:rsidRPr="00570DEC">
        <w:rPr>
          <w:color w:val="000000"/>
        </w:rPr>
        <w:t>р</w:t>
      </w:r>
      <w:r w:rsidRPr="00570DEC">
        <w:rPr>
          <w:color w:val="000000"/>
        </w:rPr>
        <w:t>ственные и негосударственные субъекты повышают общественную осведо</w:t>
      </w:r>
      <w:r w:rsidRPr="00570DEC">
        <w:rPr>
          <w:color w:val="000000"/>
        </w:rPr>
        <w:t>м</w:t>
      </w:r>
      <w:r w:rsidRPr="00570DEC">
        <w:rPr>
          <w:color w:val="000000"/>
        </w:rPr>
        <w:t>ленность о КЛДЖ и правах женщин.</w:t>
      </w:r>
    </w:p>
    <w:p w:rsidR="00AD593A" w:rsidRPr="00570DEC" w:rsidRDefault="00AD593A" w:rsidP="00AD593A">
      <w:pPr>
        <w:pStyle w:val="SingleTxt"/>
        <w:rPr>
          <w:color w:val="000000"/>
        </w:rPr>
      </w:pPr>
      <w:r w:rsidRPr="00570DEC">
        <w:rPr>
          <w:color w:val="000000"/>
        </w:rPr>
        <w:t>20.</w:t>
      </w:r>
      <w:r w:rsidRPr="00570DEC">
        <w:rPr>
          <w:color w:val="000000"/>
        </w:rPr>
        <w:tab/>
        <w:t>Государство-участник также принимает меры по обеспечению увеличения числа женщин, обращающихся в суды общей юрисдикции в целях защиты св</w:t>
      </w:r>
      <w:r w:rsidRPr="00570DEC">
        <w:rPr>
          <w:color w:val="000000"/>
        </w:rPr>
        <w:t>о</w:t>
      </w:r>
      <w:r w:rsidRPr="00570DEC">
        <w:rPr>
          <w:color w:val="000000"/>
        </w:rPr>
        <w:t>их прав. В частности, это осуществляется с помощью ряда программ оказания юридической помощи. В настоящее время государство-участник работает над проектом политики и законопроектом, касающимися юридической помощи, и в соответствии с Программой реформы системы юстиции (ПРСЮ) создало Се</w:t>
      </w:r>
      <w:r w:rsidRPr="00570DEC">
        <w:rPr>
          <w:color w:val="000000"/>
        </w:rPr>
        <w:t>к</w:t>
      </w:r>
      <w:r w:rsidRPr="00570DEC">
        <w:rPr>
          <w:color w:val="000000"/>
        </w:rPr>
        <w:t>ретариат по оказанию правовой помощи в целях координации деятельности по оказанию правовой помощи. Кроме того, партнеры по развитию, такие как ЮСАИД и Служба правовой помощи (СПП), обеспечивают финансовую и те</w:t>
      </w:r>
      <w:r w:rsidRPr="00570DEC">
        <w:rPr>
          <w:color w:val="000000"/>
        </w:rPr>
        <w:t>х</w:t>
      </w:r>
      <w:r w:rsidRPr="00570DEC">
        <w:rPr>
          <w:color w:val="000000"/>
        </w:rPr>
        <w:t>ническую поддержку ряду служб по оказанию правовой помощи (</w:t>
      </w:r>
      <w:r w:rsidRPr="00570DEC">
        <w:rPr>
          <w:rFonts w:eastAsia="Times New Roman"/>
          <w:color w:val="000000"/>
        </w:rPr>
        <w:t>СОПП</w:t>
      </w:r>
      <w:r w:rsidRPr="00570DEC">
        <w:rPr>
          <w:color w:val="000000"/>
        </w:rPr>
        <w:t>)</w:t>
      </w:r>
      <w:r>
        <w:rPr>
          <w:color w:val="000000"/>
        </w:rPr>
        <w:t xml:space="preserve"> — </w:t>
      </w:r>
      <w:r w:rsidRPr="00570DEC">
        <w:rPr>
          <w:color w:val="000000"/>
        </w:rPr>
        <w:t xml:space="preserve">как тем, в которых занят средний юридический персонал, так и центрам </w:t>
      </w:r>
      <w:r w:rsidRPr="00570DEC">
        <w:rPr>
          <w:rFonts w:eastAsia="Times New Roman"/>
          <w:color w:val="000000"/>
        </w:rPr>
        <w:t>оказ</w:t>
      </w:r>
      <w:r w:rsidRPr="00570DEC">
        <w:rPr>
          <w:rFonts w:eastAsia="Times New Roman"/>
          <w:color w:val="000000"/>
        </w:rPr>
        <w:t>а</w:t>
      </w:r>
      <w:r w:rsidRPr="00570DEC">
        <w:rPr>
          <w:rFonts w:eastAsia="Times New Roman"/>
          <w:color w:val="000000"/>
        </w:rPr>
        <w:t>ния правовой помощи</w:t>
      </w:r>
      <w:r w:rsidRPr="00570DEC">
        <w:rPr>
          <w:color w:val="000000"/>
        </w:rPr>
        <w:t>, находящимся в ведении юристов-добровольцев, а также НПО, ОО и РО</w:t>
      </w:r>
      <w:r>
        <w:rPr>
          <w:color w:val="000000"/>
        </w:rPr>
        <w:t xml:space="preserve"> — </w:t>
      </w:r>
      <w:r w:rsidRPr="00570DEC">
        <w:rPr>
          <w:color w:val="000000"/>
        </w:rPr>
        <w:t>в целях обеспечения им возможности оказывать юридич</w:t>
      </w:r>
      <w:r w:rsidRPr="00570DEC">
        <w:rPr>
          <w:color w:val="000000"/>
        </w:rPr>
        <w:t>е</w:t>
      </w:r>
      <w:r w:rsidRPr="00570DEC">
        <w:rPr>
          <w:color w:val="000000"/>
        </w:rPr>
        <w:t>скую помощь женщинам в городских и сельских районах Танзании. В отнош</w:t>
      </w:r>
      <w:r w:rsidRPr="00570DEC">
        <w:rPr>
          <w:color w:val="000000"/>
        </w:rPr>
        <w:t>е</w:t>
      </w:r>
      <w:r w:rsidRPr="00570DEC">
        <w:rPr>
          <w:color w:val="000000"/>
        </w:rPr>
        <w:t>нии Занзибара государство-участник в соответствии с Национальной програ</w:t>
      </w:r>
      <w:r w:rsidRPr="00570DEC">
        <w:rPr>
          <w:color w:val="000000"/>
        </w:rPr>
        <w:t>м</w:t>
      </w:r>
      <w:r w:rsidRPr="00570DEC">
        <w:rPr>
          <w:color w:val="000000"/>
        </w:rPr>
        <w:t>мой реформы системы юстиции также разрабатывает национальную политику в области оказания юридической помощи. Одним из приоритетных направл</w:t>
      </w:r>
      <w:r w:rsidRPr="00570DEC">
        <w:rPr>
          <w:color w:val="000000"/>
        </w:rPr>
        <w:t>е</w:t>
      </w:r>
      <w:r w:rsidRPr="00570DEC">
        <w:rPr>
          <w:color w:val="000000"/>
        </w:rPr>
        <w:t>ний планируемой политики является оказание юридической помощи женщ</w:t>
      </w:r>
      <w:r w:rsidRPr="00570DEC">
        <w:rPr>
          <w:color w:val="000000"/>
        </w:rPr>
        <w:t>и</w:t>
      </w:r>
      <w:r w:rsidRPr="00570DEC">
        <w:rPr>
          <w:color w:val="000000"/>
        </w:rPr>
        <w:t>нам и детям.</w:t>
      </w:r>
    </w:p>
    <w:p w:rsidR="00AD593A" w:rsidRPr="00570DEC" w:rsidRDefault="00AD593A" w:rsidP="00AD593A">
      <w:pPr>
        <w:pStyle w:val="SingleTxt"/>
        <w:rPr>
          <w:color w:val="000000"/>
        </w:rPr>
      </w:pPr>
      <w:r w:rsidRPr="00570DEC">
        <w:rPr>
          <w:bCs/>
          <w:color w:val="000000"/>
        </w:rPr>
        <w:t>21.</w:t>
      </w:r>
      <w:r w:rsidRPr="00570DEC">
        <w:rPr>
          <w:color w:val="000000"/>
        </w:rPr>
        <w:tab/>
        <w:t>Как указано в разделах В и С части первой (общего базового документа), государство-участник выполнило требования статьи 3 Конвенции, в частности приняв во всех областях</w:t>
      </w:r>
      <w:r>
        <w:rPr>
          <w:color w:val="000000"/>
        </w:rPr>
        <w:t xml:space="preserve"> — </w:t>
      </w:r>
      <w:r w:rsidRPr="00570DEC">
        <w:rPr>
          <w:color w:val="000000"/>
        </w:rPr>
        <w:t>политической, социальной, экономической и кул</w:t>
      </w:r>
      <w:r w:rsidRPr="00570DEC">
        <w:rPr>
          <w:color w:val="000000"/>
        </w:rPr>
        <w:t>ь</w:t>
      </w:r>
      <w:r w:rsidRPr="00570DEC">
        <w:rPr>
          <w:color w:val="000000"/>
        </w:rPr>
        <w:t>турной</w:t>
      </w:r>
      <w:r>
        <w:rPr>
          <w:color w:val="000000"/>
        </w:rPr>
        <w:t xml:space="preserve"> — </w:t>
      </w:r>
      <w:r w:rsidRPr="00570DEC">
        <w:rPr>
          <w:color w:val="000000"/>
        </w:rPr>
        <w:t>все соответствующие меры, включая конституционные, политич</w:t>
      </w:r>
      <w:r w:rsidRPr="00570DEC">
        <w:rPr>
          <w:color w:val="000000"/>
        </w:rPr>
        <w:t>е</w:t>
      </w:r>
      <w:r w:rsidRPr="00570DEC">
        <w:rPr>
          <w:color w:val="000000"/>
        </w:rPr>
        <w:t>ские и законодательные. Таким образом, государство-участник включило в Конституцию</w:t>
      </w:r>
      <w:r>
        <w:rPr>
          <w:rStyle w:val="FootnoteReference"/>
          <w:color w:val="000000"/>
        </w:rPr>
        <w:footnoteReference w:id="30"/>
      </w:r>
      <w:r w:rsidRPr="00570DEC">
        <w:rPr>
          <w:color w:val="000000"/>
        </w:rPr>
        <w:t xml:space="preserve"> и во все отраслевые законодательства положения, которые г</w:t>
      </w:r>
      <w:r w:rsidRPr="00570DEC">
        <w:rPr>
          <w:color w:val="000000"/>
        </w:rPr>
        <w:t>а</w:t>
      </w:r>
      <w:r w:rsidRPr="00570DEC">
        <w:rPr>
          <w:color w:val="000000"/>
        </w:rPr>
        <w:t xml:space="preserve">рантируют осуществление основных прав и свобод как мужчинами, так и женщинами, в частности запрещая и устанавливая в том числе ответственность за дискриминацию по гендерным признакам во всех сферах жизни. </w:t>
      </w:r>
    </w:p>
    <w:p w:rsidR="00AD593A" w:rsidRDefault="00AD593A" w:rsidP="00AD593A">
      <w:pPr>
        <w:pStyle w:val="SingleTxt"/>
        <w:rPr>
          <w:color w:val="000000"/>
        </w:rPr>
      </w:pPr>
      <w:r w:rsidRPr="00570DEC">
        <w:rPr>
          <w:color w:val="000000"/>
        </w:rPr>
        <w:t>22.</w:t>
      </w:r>
      <w:r w:rsidRPr="00570DEC">
        <w:rPr>
          <w:color w:val="000000"/>
        </w:rPr>
        <w:tab/>
        <w:t>Кроме того, государство-участник обеспечивает включение прав человека в качестве предмета в учебную программу всех начальных и средних школ, а также высших учебных заведений на материковой части Танзании и Занзиб</w:t>
      </w:r>
      <w:r w:rsidRPr="00570DEC">
        <w:rPr>
          <w:color w:val="000000"/>
        </w:rPr>
        <w:t>а</w:t>
      </w:r>
      <w:r w:rsidRPr="00570DEC">
        <w:rPr>
          <w:color w:val="000000"/>
        </w:rPr>
        <w:t>ре. Основная проблема заключается в том, что большинству учителей не хват</w:t>
      </w:r>
      <w:r w:rsidRPr="00570DEC">
        <w:rPr>
          <w:color w:val="000000"/>
        </w:rPr>
        <w:t>а</w:t>
      </w:r>
      <w:r w:rsidRPr="00570DEC">
        <w:rPr>
          <w:color w:val="000000"/>
        </w:rPr>
        <w:t>ет знаний по вопросам, касающимся прав человека. В связи с этим госуда</w:t>
      </w:r>
      <w:r w:rsidRPr="00570DEC">
        <w:rPr>
          <w:color w:val="000000"/>
        </w:rPr>
        <w:t>р</w:t>
      </w:r>
      <w:r w:rsidRPr="00570DEC">
        <w:rPr>
          <w:color w:val="000000"/>
        </w:rPr>
        <w:t>ство-участник начало проводить специальную подготовку учителей по вопр</w:t>
      </w:r>
      <w:r w:rsidRPr="00570DEC">
        <w:rPr>
          <w:color w:val="000000"/>
        </w:rPr>
        <w:t>о</w:t>
      </w:r>
      <w:r w:rsidRPr="00570DEC">
        <w:rPr>
          <w:color w:val="000000"/>
        </w:rPr>
        <w:t>сам прав человека в целом и прав женщин и детей в частности. Кроме того, государство-участник стремится обеспечить, чтобы судьи/магистраты на всех уровнях имели надлежащую подготовку в области прав человека, а также п</w:t>
      </w:r>
      <w:r w:rsidRPr="00570DEC">
        <w:rPr>
          <w:color w:val="000000"/>
        </w:rPr>
        <w:t>о</w:t>
      </w:r>
      <w:r w:rsidRPr="00570DEC">
        <w:rPr>
          <w:color w:val="000000"/>
        </w:rPr>
        <w:t>ложений Конвенции и Факультативного протокола к ней.</w:t>
      </w:r>
    </w:p>
    <w:p w:rsidR="00AD593A" w:rsidRPr="00AD593A" w:rsidRDefault="00AD593A" w:rsidP="00AD593A">
      <w:pPr>
        <w:pStyle w:val="SingleTxt"/>
        <w:spacing w:after="0" w:line="120" w:lineRule="exact"/>
        <w:rPr>
          <w:color w:val="000000"/>
          <w:sz w:val="10"/>
        </w:rPr>
      </w:pPr>
    </w:p>
    <w:p w:rsidR="00AD593A" w:rsidRPr="00570DEC" w:rsidRDefault="00AD593A" w:rsidP="00AD59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0" w:name="_Toc401576663"/>
      <w:r w:rsidRPr="00570DEC">
        <w:tab/>
      </w:r>
      <w:bookmarkStart w:id="21" w:name="_Toc417398635"/>
      <w:r w:rsidRPr="00570DEC">
        <w:t>1.1.3</w:t>
      </w:r>
      <w:r w:rsidRPr="00570DEC">
        <w:tab/>
        <w:t>Национальный механизм</w:t>
      </w:r>
      <w:bookmarkEnd w:id="20"/>
      <w:bookmarkEnd w:id="21"/>
    </w:p>
    <w:p w:rsidR="00AD593A" w:rsidRPr="00AD593A" w:rsidRDefault="00AD593A" w:rsidP="00AD593A">
      <w:pPr>
        <w:pStyle w:val="SingleTxt"/>
        <w:spacing w:after="0" w:line="120" w:lineRule="exact"/>
        <w:rPr>
          <w:bCs/>
          <w:color w:val="000000"/>
          <w:sz w:val="10"/>
        </w:rPr>
      </w:pPr>
    </w:p>
    <w:p w:rsidR="00AD593A" w:rsidRPr="00570DEC" w:rsidRDefault="00AD593A" w:rsidP="00AD593A">
      <w:pPr>
        <w:pStyle w:val="SingleTxt"/>
        <w:rPr>
          <w:color w:val="000000"/>
        </w:rPr>
      </w:pPr>
      <w:r w:rsidRPr="00570DEC">
        <w:rPr>
          <w:bCs/>
          <w:color w:val="000000"/>
        </w:rPr>
        <w:t>23.</w:t>
      </w:r>
      <w:r w:rsidRPr="00570DEC">
        <w:rPr>
          <w:bCs/>
          <w:color w:val="000000"/>
        </w:rPr>
        <w:tab/>
        <w:t>С 1980 года государство-участник принимало различные меры в целях с</w:t>
      </w:r>
      <w:r w:rsidRPr="00570DEC">
        <w:rPr>
          <w:bCs/>
          <w:color w:val="000000"/>
        </w:rPr>
        <w:t>о</w:t>
      </w:r>
      <w:r w:rsidRPr="00570DEC">
        <w:rPr>
          <w:bCs/>
          <w:color w:val="000000"/>
        </w:rPr>
        <w:t>здания и укрепления национального механизма по улучшению положения женщин, включая создание Министерства общинного развития, по гендерным вопросам и делам детей (МОРГВДД) на материковой части Танзании, а также создание Министерства расширения прав и возможностей, социального обе</w:t>
      </w:r>
      <w:r w:rsidRPr="00570DEC">
        <w:rPr>
          <w:bCs/>
          <w:color w:val="000000"/>
        </w:rPr>
        <w:t>с</w:t>
      </w:r>
      <w:r w:rsidRPr="00570DEC">
        <w:rPr>
          <w:bCs/>
          <w:color w:val="000000"/>
        </w:rPr>
        <w:t>печения, по делам молодежи, женщин и детей (МРПВСОМЖД) Занзибара. Эти министерства, помимо прочего, являются основными государственными учр</w:t>
      </w:r>
      <w:r w:rsidRPr="00570DEC">
        <w:rPr>
          <w:bCs/>
          <w:color w:val="000000"/>
        </w:rPr>
        <w:t>е</w:t>
      </w:r>
      <w:r w:rsidRPr="00570DEC">
        <w:rPr>
          <w:bCs/>
          <w:color w:val="000000"/>
        </w:rPr>
        <w:t>ждениями, обеспечивающими координацию, реализацию и контроль всех м</w:t>
      </w:r>
      <w:r w:rsidRPr="00570DEC">
        <w:rPr>
          <w:bCs/>
          <w:color w:val="000000"/>
        </w:rPr>
        <w:t>е</w:t>
      </w:r>
      <w:r w:rsidRPr="00570DEC">
        <w:rPr>
          <w:bCs/>
          <w:color w:val="000000"/>
        </w:rPr>
        <w:t>роприятий, касающихся женщин</w:t>
      </w:r>
      <w:r>
        <w:rPr>
          <w:rStyle w:val="FootnoteReference"/>
          <w:bCs/>
          <w:color w:val="000000"/>
        </w:rPr>
        <w:footnoteReference w:id="31"/>
      </w:r>
      <w:r w:rsidRPr="00570DEC">
        <w:rPr>
          <w:bCs/>
          <w:color w:val="000000"/>
        </w:rPr>
        <w:t>. Были созданы система контроля и оценки гендерных вопросов и инструменты сбора данных для внедрения механизмов эффективной и действенной координации, мониторинга и оценки мер в обл</w:t>
      </w:r>
      <w:r w:rsidRPr="00570DEC">
        <w:rPr>
          <w:bCs/>
          <w:color w:val="000000"/>
        </w:rPr>
        <w:t>а</w:t>
      </w:r>
      <w:r w:rsidRPr="00570DEC">
        <w:rPr>
          <w:bCs/>
          <w:color w:val="000000"/>
        </w:rPr>
        <w:t>сти гендерной проблематики, приспособленных к условиям Занзибара. Кроме того, такая же система контроля и оценки гендерных вопросов разрабатывается для материковой части Танзании</w:t>
      </w:r>
      <w:r w:rsidRPr="00570DEC">
        <w:rPr>
          <w:color w:val="000000"/>
        </w:rPr>
        <w:t>.</w:t>
      </w:r>
    </w:p>
    <w:p w:rsidR="00AD593A" w:rsidRPr="00570DEC" w:rsidRDefault="00AD593A" w:rsidP="00AD593A">
      <w:pPr>
        <w:pStyle w:val="SingleTxt"/>
        <w:rPr>
          <w:color w:val="000000"/>
        </w:rPr>
      </w:pPr>
      <w:r w:rsidRPr="00570DEC">
        <w:rPr>
          <w:color w:val="000000"/>
        </w:rPr>
        <w:t>24.</w:t>
      </w:r>
      <w:r w:rsidRPr="00570DEC">
        <w:rPr>
          <w:color w:val="000000"/>
        </w:rPr>
        <w:tab/>
        <w:t>Что касается рекомендации Комитета относительно обеспечения наци</w:t>
      </w:r>
      <w:r w:rsidRPr="00570DEC">
        <w:rPr>
          <w:color w:val="000000"/>
        </w:rPr>
        <w:t>о</w:t>
      </w:r>
      <w:r w:rsidRPr="00570DEC">
        <w:rPr>
          <w:color w:val="000000"/>
        </w:rPr>
        <w:t>нального механизма людскими и финансовыми ресурсами, то государство-участник учредило 2280 должностей для Министерства общинного развития, по гендерным вопросам и делам детей. В 2012/13 году в общей сложности б</w:t>
      </w:r>
      <w:r w:rsidRPr="00570DEC">
        <w:rPr>
          <w:color w:val="000000"/>
        </w:rPr>
        <w:t>ы</w:t>
      </w:r>
      <w:r w:rsidRPr="00570DEC">
        <w:rPr>
          <w:color w:val="000000"/>
        </w:rPr>
        <w:t>ла замещена 1121 должность по сравнению с 1198 должностями в 2013/14 году. Подробная информация о штатном расписании по каждому департаменту и о</w:t>
      </w:r>
      <w:r w:rsidRPr="00570DEC">
        <w:rPr>
          <w:color w:val="000000"/>
        </w:rPr>
        <w:t>т</w:t>
      </w:r>
      <w:r w:rsidRPr="00570DEC">
        <w:rPr>
          <w:color w:val="000000"/>
        </w:rPr>
        <w:t xml:space="preserve">делу приведена в </w:t>
      </w:r>
      <w:r w:rsidRPr="00570DEC">
        <w:rPr>
          <w:b/>
          <w:color w:val="000000"/>
        </w:rPr>
        <w:t>таблице</w:t>
      </w:r>
      <w:r>
        <w:rPr>
          <w:b/>
          <w:color w:val="000000"/>
        </w:rPr>
        <w:t> </w:t>
      </w:r>
      <w:r w:rsidRPr="00570DEC">
        <w:rPr>
          <w:b/>
          <w:color w:val="000000"/>
        </w:rPr>
        <w:t>23</w:t>
      </w:r>
      <w:r w:rsidRPr="00570DEC">
        <w:rPr>
          <w:color w:val="000000"/>
        </w:rPr>
        <w:t>. Государство-участник укрепляет свой наци</w:t>
      </w:r>
      <w:r w:rsidRPr="00570DEC">
        <w:rPr>
          <w:color w:val="000000"/>
        </w:rPr>
        <w:t>о</w:t>
      </w:r>
      <w:r w:rsidRPr="00570DEC">
        <w:rPr>
          <w:color w:val="000000"/>
        </w:rPr>
        <w:t>нальный гендерный механизм, в частности обеспечивая ему достаточные р</w:t>
      </w:r>
      <w:r w:rsidRPr="00570DEC">
        <w:rPr>
          <w:color w:val="000000"/>
        </w:rPr>
        <w:t>е</w:t>
      </w:r>
      <w:r w:rsidRPr="00570DEC">
        <w:rPr>
          <w:color w:val="000000"/>
        </w:rPr>
        <w:t>сурсы; оно принимает меры для увеличения бюджетных ассигнований на ну</w:t>
      </w:r>
      <w:r w:rsidRPr="00570DEC">
        <w:rPr>
          <w:color w:val="000000"/>
        </w:rPr>
        <w:t>ж</w:t>
      </w:r>
      <w:r w:rsidRPr="00570DEC">
        <w:rPr>
          <w:color w:val="000000"/>
        </w:rPr>
        <w:t>ды Министерства общинного развития, по гендерным вопросам и делам детей в целях эффективного содействия обеспечению гендерного равенства в стране. За последние три года объем бюджетных ассигнований на нужды национал</w:t>
      </w:r>
      <w:r w:rsidRPr="00570DEC">
        <w:rPr>
          <w:color w:val="000000"/>
        </w:rPr>
        <w:t>ь</w:t>
      </w:r>
      <w:r w:rsidRPr="00570DEC">
        <w:rPr>
          <w:color w:val="000000"/>
        </w:rPr>
        <w:t>ного гендерного механизма на материковой части Танзании увеличился с 15,6 млрд.</w:t>
      </w:r>
      <w:r>
        <w:rPr>
          <w:color w:val="000000"/>
        </w:rPr>
        <w:t> </w:t>
      </w:r>
      <w:r w:rsidRPr="00570DEC">
        <w:rPr>
          <w:color w:val="000000"/>
        </w:rPr>
        <w:t>шиллингов в течение 2012/13 финансового года до 23,9 млрд. шиллингов в бюджете на 2013/14 финансовый год, то есть увелич</w:t>
      </w:r>
      <w:r w:rsidRPr="00570DEC">
        <w:rPr>
          <w:color w:val="000000"/>
        </w:rPr>
        <w:t>е</w:t>
      </w:r>
      <w:r w:rsidRPr="00570DEC">
        <w:rPr>
          <w:color w:val="000000"/>
        </w:rPr>
        <w:t xml:space="preserve">ние составило 8,9 млрд. шиллингов. Объем бюджетных ассигнований на 2014/15 финансовый год составил 30,2 млрд. шиллингов, что свидетельствует об увеличении на 6,3 млрд. шиллингов по сравнению с 2013/14 финансовым годом. </w:t>
      </w:r>
    </w:p>
    <w:p w:rsidR="00AD593A" w:rsidRPr="00570DEC" w:rsidRDefault="00AD593A" w:rsidP="00AD593A">
      <w:pPr>
        <w:pStyle w:val="SingleTxt"/>
        <w:rPr>
          <w:color w:val="000000"/>
        </w:rPr>
      </w:pPr>
      <w:r w:rsidRPr="00570DEC">
        <w:rPr>
          <w:color w:val="000000"/>
        </w:rPr>
        <w:t>25.</w:t>
      </w:r>
      <w:r w:rsidRPr="00570DEC">
        <w:rPr>
          <w:color w:val="000000"/>
        </w:rPr>
        <w:tab/>
        <w:t>Кроме того, с 2008 года были созданы рабочие макрогруппы по обеспеч</w:t>
      </w:r>
      <w:r w:rsidRPr="00570DEC">
        <w:rPr>
          <w:color w:val="000000"/>
        </w:rPr>
        <w:t>е</w:t>
      </w:r>
      <w:r w:rsidRPr="00570DEC">
        <w:rPr>
          <w:color w:val="000000"/>
        </w:rPr>
        <w:t>нию учета гендерной проблематики (РМУГП) в целях пропаганды учета ге</w:t>
      </w:r>
      <w:r w:rsidRPr="00570DEC">
        <w:rPr>
          <w:color w:val="000000"/>
        </w:rPr>
        <w:t>н</w:t>
      </w:r>
      <w:r w:rsidRPr="00570DEC">
        <w:rPr>
          <w:color w:val="000000"/>
        </w:rPr>
        <w:t>дерной проблематики в политике, планировании программ и составлении бюджета отраслевых министерств и НПО на материковой части Танзании и Занзибаре. Эти группы выступили инициаторами включения гендерных аспе</w:t>
      </w:r>
      <w:r w:rsidRPr="00570DEC">
        <w:rPr>
          <w:color w:val="000000"/>
        </w:rPr>
        <w:t>к</w:t>
      </w:r>
      <w:r w:rsidRPr="00570DEC">
        <w:rPr>
          <w:color w:val="000000"/>
        </w:rPr>
        <w:t>тов в МКУКУТА II и МКУЗА II и ведут политический диалог по проблеме ге</w:t>
      </w:r>
      <w:r w:rsidRPr="00570DEC">
        <w:rPr>
          <w:color w:val="000000"/>
        </w:rPr>
        <w:t>н</w:t>
      </w:r>
      <w:r w:rsidRPr="00570DEC">
        <w:rPr>
          <w:color w:val="000000"/>
        </w:rPr>
        <w:t>дерного насилия. Группы также проводят гендерные проверки в Министерстве здравоохранения и Министерстве, ответственном за гендерные вопросы, мат</w:t>
      </w:r>
      <w:r w:rsidRPr="00570DEC">
        <w:rPr>
          <w:color w:val="000000"/>
        </w:rPr>
        <w:t>е</w:t>
      </w:r>
      <w:r w:rsidRPr="00570DEC">
        <w:rPr>
          <w:color w:val="000000"/>
        </w:rPr>
        <w:t>риковой части Танзании, а также в отношении Программы отслеживания гос</w:t>
      </w:r>
      <w:r w:rsidRPr="00570DEC">
        <w:rPr>
          <w:color w:val="000000"/>
        </w:rPr>
        <w:t>у</w:t>
      </w:r>
      <w:r w:rsidRPr="00570DEC">
        <w:rPr>
          <w:color w:val="000000"/>
        </w:rPr>
        <w:t>дарственных расходов (ПОГР) в Министерстве образования и Министерстве здравоохранения Занзибара. В</w:t>
      </w:r>
      <w:r>
        <w:rPr>
          <w:color w:val="000000"/>
          <w:lang w:val="en-US"/>
        </w:rPr>
        <w:t> </w:t>
      </w:r>
      <w:r w:rsidRPr="00570DEC">
        <w:rPr>
          <w:color w:val="000000"/>
        </w:rPr>
        <w:t>результате гендерной проверки, проведенной в Министерстве здравоохранения Занзибара, был пересмотрен компонент, св</w:t>
      </w:r>
      <w:r w:rsidRPr="00570DEC">
        <w:rPr>
          <w:color w:val="000000"/>
        </w:rPr>
        <w:t>я</w:t>
      </w:r>
      <w:r w:rsidRPr="00570DEC">
        <w:rPr>
          <w:color w:val="000000"/>
        </w:rPr>
        <w:t>занный с распределением расходов, в программе охраны материнского здор</w:t>
      </w:r>
      <w:r w:rsidRPr="00570DEC">
        <w:rPr>
          <w:color w:val="000000"/>
        </w:rPr>
        <w:t>о</w:t>
      </w:r>
      <w:r w:rsidRPr="00570DEC">
        <w:rPr>
          <w:color w:val="000000"/>
        </w:rPr>
        <w:t>вья, благодаря чему беременные кормящие женщины смогли получить бе</w:t>
      </w:r>
      <w:r w:rsidRPr="00570DEC">
        <w:rPr>
          <w:color w:val="000000"/>
        </w:rPr>
        <w:t>с</w:t>
      </w:r>
      <w:r w:rsidRPr="00570DEC">
        <w:rPr>
          <w:color w:val="000000"/>
        </w:rPr>
        <w:t>платный доступ к медицинской помощи. Как было отмечено выше, эти иниц</w:t>
      </w:r>
      <w:r w:rsidRPr="00570DEC">
        <w:rPr>
          <w:color w:val="000000"/>
        </w:rPr>
        <w:t>и</w:t>
      </w:r>
      <w:r w:rsidRPr="00570DEC">
        <w:rPr>
          <w:color w:val="000000"/>
        </w:rPr>
        <w:t>ативы также привели к улучшению положения в области предоставления за</w:t>
      </w:r>
      <w:r w:rsidRPr="00570DEC">
        <w:rPr>
          <w:color w:val="000000"/>
        </w:rPr>
        <w:t>й</w:t>
      </w:r>
      <w:r w:rsidRPr="00570DEC">
        <w:rPr>
          <w:color w:val="000000"/>
        </w:rPr>
        <w:t>мов девушкам – студенткам высших учебных заведений Советом по выдаче займов на получение высшего образования. Следует отметить, что в настоящее время осуществляется процесс анализа и повышения эффективности деятел</w:t>
      </w:r>
      <w:r w:rsidRPr="00570DEC">
        <w:rPr>
          <w:color w:val="000000"/>
        </w:rPr>
        <w:t>ь</w:t>
      </w:r>
      <w:r w:rsidRPr="00570DEC">
        <w:rPr>
          <w:color w:val="000000"/>
        </w:rPr>
        <w:t>ности Рабочей макрогруппы по обеспечению учета гендерной проблематики Занзибара в целях укрепления ее потенциала в плане поддержки макрополит</w:t>
      </w:r>
      <w:r w:rsidRPr="00570DEC">
        <w:rPr>
          <w:color w:val="000000"/>
        </w:rPr>
        <w:t>и</w:t>
      </w:r>
      <w:r w:rsidRPr="00570DEC">
        <w:rPr>
          <w:color w:val="000000"/>
        </w:rPr>
        <w:t>ческих процессов.</w:t>
      </w:r>
    </w:p>
    <w:p w:rsidR="00AD593A" w:rsidRPr="00570DEC" w:rsidRDefault="00AD593A" w:rsidP="00AD593A">
      <w:pPr>
        <w:pStyle w:val="SingleTxt"/>
        <w:rPr>
          <w:color w:val="000000"/>
        </w:rPr>
      </w:pPr>
      <w:r w:rsidRPr="00570DEC">
        <w:rPr>
          <w:color w:val="000000"/>
        </w:rPr>
        <w:t>26.</w:t>
      </w:r>
      <w:r w:rsidRPr="00570DEC">
        <w:rPr>
          <w:color w:val="000000"/>
        </w:rPr>
        <w:tab/>
        <w:t>Кроме того, на материковой части Танзании реализуется первый этап ра</w:t>
      </w:r>
      <w:r w:rsidRPr="00570DEC">
        <w:rPr>
          <w:color w:val="000000"/>
        </w:rPr>
        <w:t>с</w:t>
      </w:r>
      <w:r w:rsidRPr="00570DEC">
        <w:rPr>
          <w:color w:val="000000"/>
        </w:rPr>
        <w:t>смотрения Национальной гендерной политики, которая должна заменить собой Политику по гендерным вопросам и вопросам развития женщин (2000 год), охватив вновь возникающие вопросы, такие как гендерное насилие, изменение климата, равное представительство полов в руководящих органах, а также о</w:t>
      </w:r>
      <w:r w:rsidRPr="00570DEC">
        <w:rPr>
          <w:color w:val="000000"/>
        </w:rPr>
        <w:t>б</w:t>
      </w:r>
      <w:r w:rsidRPr="00570DEC">
        <w:rPr>
          <w:color w:val="000000"/>
        </w:rPr>
        <w:t>разование, профессиональная подготовка и занятость. Что касается Занзибара, то Гендерная политика Занзибара (2011 год), которая призвана заменить собой Политику в области защиты и развития женщин (2001 год), в настоящее время находится в процессе официального утверждения. Кроме того, в Министерстве финансов организационно закреплена практика составления бюджета с учетом гендерных аспектов. Это Министерство осуществляет деятельность по укре</w:t>
      </w:r>
      <w:r w:rsidRPr="00570DEC">
        <w:rPr>
          <w:color w:val="000000"/>
        </w:rPr>
        <w:t>п</w:t>
      </w:r>
      <w:r w:rsidRPr="00570DEC">
        <w:rPr>
          <w:color w:val="000000"/>
        </w:rPr>
        <w:t>лению потенциала и разработке инструментов обеспечения учета гендерной проблематики, а правительство направляет их в другие министерства для и</w:t>
      </w:r>
      <w:r w:rsidRPr="00570DEC">
        <w:rPr>
          <w:color w:val="000000"/>
        </w:rPr>
        <w:t>с</w:t>
      </w:r>
      <w:r w:rsidRPr="00570DEC">
        <w:rPr>
          <w:color w:val="000000"/>
        </w:rPr>
        <w:t>пользования при составлении отраслевых бюджетов для обеспечения того, чтобы гендерная проблематика учитывалась в процессе составления бюджетов. Был разработан контрольный список учета гендерной проблематики в бюдж</w:t>
      </w:r>
      <w:r w:rsidRPr="00570DEC">
        <w:rPr>
          <w:color w:val="000000"/>
        </w:rPr>
        <w:t>е</w:t>
      </w:r>
      <w:r w:rsidRPr="00570DEC">
        <w:rPr>
          <w:color w:val="000000"/>
        </w:rPr>
        <w:t>тах, который был распространен среди всех министерств.</w:t>
      </w:r>
    </w:p>
    <w:p w:rsidR="00AD593A" w:rsidRPr="00570DEC" w:rsidRDefault="00AD593A" w:rsidP="00AD593A">
      <w:pPr>
        <w:pStyle w:val="SingleTxt"/>
        <w:rPr>
          <w:color w:val="000000"/>
        </w:rPr>
      </w:pPr>
      <w:r w:rsidRPr="00570DEC">
        <w:rPr>
          <w:bCs/>
          <w:color w:val="000000"/>
        </w:rPr>
        <w:t>27.</w:t>
      </w:r>
      <w:r w:rsidRPr="00570DEC">
        <w:rPr>
          <w:bCs/>
          <w:color w:val="000000"/>
        </w:rPr>
        <w:tab/>
        <w:t>Однако в реализации вышеизложенных инициатив Занзибар сталкивается с рядом проблем, в том числе с низким уровнем информированности о генде</w:t>
      </w:r>
      <w:r w:rsidRPr="00570DEC">
        <w:rPr>
          <w:bCs/>
          <w:color w:val="000000"/>
        </w:rPr>
        <w:t>р</w:t>
      </w:r>
      <w:r w:rsidRPr="00570DEC">
        <w:rPr>
          <w:bCs/>
          <w:color w:val="000000"/>
        </w:rPr>
        <w:t>ных вопросах сотрудников на различных уровнях административного управл</w:t>
      </w:r>
      <w:r w:rsidRPr="00570DEC">
        <w:rPr>
          <w:bCs/>
          <w:color w:val="000000"/>
        </w:rPr>
        <w:t>е</w:t>
      </w:r>
      <w:r w:rsidRPr="00570DEC">
        <w:rPr>
          <w:bCs/>
          <w:color w:val="000000"/>
        </w:rPr>
        <w:t>ния, что связано с частой сменой лиц, занимающих административные дол</w:t>
      </w:r>
      <w:r w:rsidRPr="00570DEC">
        <w:rPr>
          <w:bCs/>
          <w:color w:val="000000"/>
        </w:rPr>
        <w:t>ж</w:t>
      </w:r>
      <w:r w:rsidRPr="00570DEC">
        <w:rPr>
          <w:bCs/>
          <w:color w:val="000000"/>
        </w:rPr>
        <w:t>ности, а также с недостаточным объемом бюджетных средств для реализации гендерных программ и планов</w:t>
      </w:r>
      <w:r w:rsidRPr="00570DEC">
        <w:rPr>
          <w:color w:val="000000"/>
        </w:rPr>
        <w:t>.</w:t>
      </w:r>
    </w:p>
    <w:p w:rsidR="00AD593A" w:rsidRDefault="00AD593A" w:rsidP="00AD593A">
      <w:pPr>
        <w:pStyle w:val="SingleTxt"/>
        <w:rPr>
          <w:color w:val="000000"/>
        </w:rPr>
      </w:pPr>
      <w:r w:rsidRPr="00570DEC">
        <w:rPr>
          <w:color w:val="000000"/>
        </w:rPr>
        <w:t>28.</w:t>
      </w:r>
      <w:r w:rsidRPr="00570DEC">
        <w:rPr>
          <w:color w:val="000000"/>
        </w:rPr>
        <w:tab/>
        <w:t>Государство-участник создало механизм для осуществления КЛДЖ, Ф</w:t>
      </w:r>
      <w:r w:rsidRPr="00570DEC">
        <w:rPr>
          <w:color w:val="000000"/>
        </w:rPr>
        <w:t>а</w:t>
      </w:r>
      <w:r w:rsidRPr="00570DEC">
        <w:rPr>
          <w:color w:val="000000"/>
        </w:rPr>
        <w:t>культативного протокола к ней и Протокола к Африканской хартии прав чел</w:t>
      </w:r>
      <w:r w:rsidRPr="00570DEC">
        <w:rPr>
          <w:color w:val="000000"/>
        </w:rPr>
        <w:t>о</w:t>
      </w:r>
      <w:r w:rsidRPr="00570DEC">
        <w:rPr>
          <w:color w:val="000000"/>
        </w:rPr>
        <w:t>века и народов, касающегося прав женщин в Африке (Протокола по правам женщин в Африке)</w:t>
      </w:r>
      <w:r>
        <w:rPr>
          <w:rStyle w:val="FootnoteReference"/>
          <w:color w:val="000000"/>
        </w:rPr>
        <w:footnoteReference w:id="32"/>
      </w:r>
      <w:r w:rsidRPr="00570DEC">
        <w:rPr>
          <w:color w:val="000000"/>
        </w:rPr>
        <w:t>. В частности, в каждом правительственном министерстве, независимом подразделении, учреждении, а также в местных органах госуда</w:t>
      </w:r>
      <w:r w:rsidRPr="00570DEC">
        <w:rPr>
          <w:color w:val="000000"/>
        </w:rPr>
        <w:t>р</w:t>
      </w:r>
      <w:r w:rsidRPr="00570DEC">
        <w:rPr>
          <w:color w:val="000000"/>
        </w:rPr>
        <w:t>ственной власти были созданы комитеты по гендерным вопросам, члены кот</w:t>
      </w:r>
      <w:r w:rsidRPr="00570DEC">
        <w:rPr>
          <w:color w:val="000000"/>
        </w:rPr>
        <w:t>о</w:t>
      </w:r>
      <w:r w:rsidRPr="00570DEC">
        <w:rPr>
          <w:color w:val="000000"/>
        </w:rPr>
        <w:t>рых набираются из каждого отдела указанных учреждений; их функция закл</w:t>
      </w:r>
      <w:r w:rsidRPr="00570DEC">
        <w:rPr>
          <w:color w:val="000000"/>
        </w:rPr>
        <w:t>ю</w:t>
      </w:r>
      <w:r w:rsidRPr="00570DEC">
        <w:rPr>
          <w:color w:val="000000"/>
        </w:rPr>
        <w:t>чается в обеспечении поддержки координатору по гендерным вопросам мат</w:t>
      </w:r>
      <w:r w:rsidRPr="00570DEC">
        <w:rPr>
          <w:color w:val="000000"/>
        </w:rPr>
        <w:t>е</w:t>
      </w:r>
      <w:r w:rsidRPr="00570DEC">
        <w:rPr>
          <w:color w:val="000000"/>
        </w:rPr>
        <w:t>риковой части Танзании и Занзибара.</w:t>
      </w:r>
    </w:p>
    <w:p w:rsidR="00AD593A" w:rsidRPr="00AD593A" w:rsidRDefault="00AD593A" w:rsidP="00AD593A">
      <w:pPr>
        <w:pStyle w:val="SingleTxt"/>
        <w:spacing w:after="0" w:line="120" w:lineRule="exact"/>
        <w:rPr>
          <w:color w:val="000000"/>
          <w:sz w:val="10"/>
        </w:rPr>
      </w:pPr>
    </w:p>
    <w:p w:rsidR="00AD593A" w:rsidRPr="00570DEC" w:rsidRDefault="00AD593A" w:rsidP="00AD59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70DEC">
        <w:tab/>
      </w:r>
      <w:bookmarkStart w:id="22" w:name="_Toc417398636"/>
      <w:r w:rsidRPr="00570DEC">
        <w:t>1.1.4</w:t>
      </w:r>
      <w:r w:rsidRPr="00570DEC">
        <w:tab/>
        <w:t>Негативные культурные традиции и калечащие операции на женских половых органах</w:t>
      </w:r>
      <w:bookmarkEnd w:id="22"/>
    </w:p>
    <w:p w:rsidR="00AD593A" w:rsidRPr="00AD593A" w:rsidRDefault="00AD593A" w:rsidP="00AD593A">
      <w:pPr>
        <w:pStyle w:val="SingleTxt"/>
        <w:spacing w:after="0" w:line="120" w:lineRule="exact"/>
        <w:rPr>
          <w:color w:val="000000"/>
          <w:sz w:val="10"/>
        </w:rPr>
      </w:pPr>
    </w:p>
    <w:p w:rsidR="00AD593A" w:rsidRPr="00570DEC" w:rsidRDefault="00AD593A" w:rsidP="00AD593A">
      <w:pPr>
        <w:pStyle w:val="SingleTxt"/>
        <w:rPr>
          <w:color w:val="000000"/>
        </w:rPr>
      </w:pPr>
      <w:r w:rsidRPr="00570DEC">
        <w:rPr>
          <w:color w:val="000000"/>
        </w:rPr>
        <w:t>29.</w:t>
      </w:r>
      <w:r w:rsidRPr="00570DEC">
        <w:rPr>
          <w:bCs/>
          <w:color w:val="000000"/>
        </w:rPr>
        <w:tab/>
        <w:t>Государство-участник приняло ряд мер, включая законодательные, в ц</w:t>
      </w:r>
      <w:r w:rsidRPr="00570DEC">
        <w:rPr>
          <w:bCs/>
          <w:color w:val="000000"/>
        </w:rPr>
        <w:t>е</w:t>
      </w:r>
      <w:r w:rsidRPr="00570DEC">
        <w:rPr>
          <w:bCs/>
          <w:color w:val="000000"/>
        </w:rPr>
        <w:t>лях ускоренной ликвидации вредных видов традиционной практики и стере</w:t>
      </w:r>
      <w:r w:rsidRPr="00570DEC">
        <w:rPr>
          <w:bCs/>
          <w:color w:val="000000"/>
        </w:rPr>
        <w:t>о</w:t>
      </w:r>
      <w:r w:rsidRPr="00570DEC">
        <w:rPr>
          <w:bCs/>
          <w:color w:val="000000"/>
        </w:rPr>
        <w:t>типов, дискриминирующих женщин, в соответствии со статьями 2 f) и 5 a) Конвенции. В</w:t>
      </w:r>
      <w:r>
        <w:rPr>
          <w:bCs/>
          <w:color w:val="000000"/>
          <w:lang w:val="en-US"/>
        </w:rPr>
        <w:t> </w:t>
      </w:r>
      <w:r w:rsidRPr="00570DEC">
        <w:rPr>
          <w:bCs/>
          <w:color w:val="000000"/>
        </w:rPr>
        <w:t>частности, государство-участник ввело в действие специальные стратегии и законы, направленные на борьбу с предрассудками и стереотипн</w:t>
      </w:r>
      <w:r w:rsidRPr="00570DEC">
        <w:rPr>
          <w:bCs/>
          <w:color w:val="000000"/>
        </w:rPr>
        <w:t>ы</w:t>
      </w:r>
      <w:r w:rsidRPr="00570DEC">
        <w:rPr>
          <w:bCs/>
          <w:color w:val="000000"/>
        </w:rPr>
        <w:t>ми представлениями о роли мужчин и женщин. Кроме того, в Уголовный к</w:t>
      </w:r>
      <w:r w:rsidRPr="00570DEC">
        <w:rPr>
          <w:bCs/>
          <w:color w:val="000000"/>
        </w:rPr>
        <w:t>о</w:t>
      </w:r>
      <w:r w:rsidRPr="00570DEC">
        <w:rPr>
          <w:bCs/>
          <w:color w:val="000000"/>
        </w:rPr>
        <w:t>декс были внесены поправки, предусматривающие введение уголовной отве</w:t>
      </w:r>
      <w:r w:rsidRPr="00570DEC">
        <w:rPr>
          <w:bCs/>
          <w:color w:val="000000"/>
        </w:rPr>
        <w:t>т</w:t>
      </w:r>
      <w:r w:rsidRPr="00570DEC">
        <w:rPr>
          <w:bCs/>
          <w:color w:val="000000"/>
        </w:rPr>
        <w:t>ственности за проведение КОЖПО, в соответствии с Законом об особых мерах против сексуальных преступлений (ЗОМСП, Закон № 4 1998 года), защища</w:t>
      </w:r>
      <w:r w:rsidRPr="00570DEC">
        <w:rPr>
          <w:bCs/>
          <w:color w:val="000000"/>
        </w:rPr>
        <w:t>ю</w:t>
      </w:r>
      <w:r w:rsidRPr="00570DEC">
        <w:rPr>
          <w:bCs/>
          <w:color w:val="000000"/>
        </w:rPr>
        <w:t xml:space="preserve">щим девочек младше 18 лет от КОЖПО. В ЗОМСП, однако, не предусмотрены меры по защите женщин старше 18 лет от проведения КОЖПО. Государство-участник разработало ряд стратегий, направленных на ограничение вредных видов традиционной и негативной культурной практики: в частности, были разработаны Национальный план действий по предупреждению и ликвидации насилия в отношении женщин и детей </w:t>
      </w:r>
      <w:r w:rsidRPr="00570DEC">
        <w:rPr>
          <w:color w:val="000000"/>
        </w:rPr>
        <w:t>(2001–2015 годы), Национальный план действий по предупреждению и ликвидации калечащих операций на женских половых органах (2001–2015 годы), Национальная общественная стратегия по повышению осведомленности в целях предупреждения гендерного насилия и борьбы с ним; учрежден Национальный межсекторальный комитет по пред</w:t>
      </w:r>
      <w:r w:rsidRPr="00570DEC">
        <w:rPr>
          <w:color w:val="000000"/>
        </w:rPr>
        <w:t>у</w:t>
      </w:r>
      <w:r w:rsidRPr="00570DEC">
        <w:rPr>
          <w:color w:val="000000"/>
        </w:rPr>
        <w:t>преждению насилия в отношении женщин и детей и борьбы с ним; разработ</w:t>
      </w:r>
      <w:r w:rsidRPr="00570DEC">
        <w:rPr>
          <w:color w:val="000000"/>
        </w:rPr>
        <w:t>а</w:t>
      </w:r>
      <w:r w:rsidRPr="00570DEC">
        <w:rPr>
          <w:color w:val="000000"/>
        </w:rPr>
        <w:t>ны Национальный план действий по предупреждению насилия в отношении детей и борьбы с ним в рамках Стратегического плана действий МОРГВДД (2011–2016 годы), Политика в области развития детей (2008 год), Национал</w:t>
      </w:r>
      <w:r w:rsidRPr="00570DEC">
        <w:rPr>
          <w:color w:val="000000"/>
        </w:rPr>
        <w:t>ь</w:t>
      </w:r>
      <w:r w:rsidRPr="00570DEC">
        <w:rPr>
          <w:color w:val="000000"/>
        </w:rPr>
        <w:t>ная стратегия в области гендерного развития (2005 год), Национальный план действий по ускорению ликвидации КОЖПО и других вредных видов трад</w:t>
      </w:r>
      <w:r w:rsidRPr="00570DEC">
        <w:rPr>
          <w:color w:val="000000"/>
        </w:rPr>
        <w:t>и</w:t>
      </w:r>
      <w:r w:rsidRPr="00570DEC">
        <w:rPr>
          <w:color w:val="000000"/>
        </w:rPr>
        <w:t>ционной практики, Межсекторальная стратегия и план действий по предупр</w:t>
      </w:r>
      <w:r w:rsidRPr="00570DEC">
        <w:rPr>
          <w:color w:val="000000"/>
        </w:rPr>
        <w:t>е</w:t>
      </w:r>
      <w:r w:rsidRPr="00570DEC">
        <w:rPr>
          <w:color w:val="000000"/>
        </w:rPr>
        <w:t>ждению гендерного насилия (ГН) и борьбы с ним на Занзибаре (разработаны в 2011 году), Национальный план действий по защите прав человека (2013–2017 годы), а в 2013 году учрежден Комитет министров по вопросам ГН</w:t>
      </w:r>
      <w:r>
        <w:rPr>
          <w:rStyle w:val="FootnoteReference"/>
          <w:color w:val="000000"/>
        </w:rPr>
        <w:footnoteReference w:id="33"/>
      </w:r>
      <w:r w:rsidRPr="00570DEC">
        <w:rPr>
          <w:color w:val="000000"/>
        </w:rPr>
        <w:t xml:space="preserve"> для о</w:t>
      </w:r>
      <w:r w:rsidRPr="00570DEC">
        <w:rPr>
          <w:color w:val="000000"/>
        </w:rPr>
        <w:t>т</w:t>
      </w:r>
      <w:r w:rsidRPr="00570DEC">
        <w:rPr>
          <w:color w:val="000000"/>
        </w:rPr>
        <w:t>слеживания случаев ГН на Занзибаре. В настоящее время в соответствии с тр</w:t>
      </w:r>
      <w:r w:rsidRPr="00570DEC">
        <w:rPr>
          <w:color w:val="000000"/>
        </w:rPr>
        <w:t>е</w:t>
      </w:r>
      <w:r w:rsidRPr="00570DEC">
        <w:rPr>
          <w:color w:val="000000"/>
        </w:rPr>
        <w:t>бованиями Закона о шариатском суде кади (официальные лица, председател</w:t>
      </w:r>
      <w:r w:rsidRPr="00570DEC">
        <w:rPr>
          <w:color w:val="000000"/>
        </w:rPr>
        <w:t>ь</w:t>
      </w:r>
      <w:r w:rsidRPr="00570DEC">
        <w:rPr>
          <w:color w:val="000000"/>
        </w:rPr>
        <w:t>ствующие в шариатском суде) обязаны руководствоваться принципами, закре</w:t>
      </w:r>
      <w:r w:rsidRPr="00570DEC">
        <w:rPr>
          <w:color w:val="000000"/>
        </w:rPr>
        <w:t>п</w:t>
      </w:r>
      <w:r w:rsidRPr="00570DEC">
        <w:rPr>
          <w:color w:val="000000"/>
        </w:rPr>
        <w:t>ленными в других национальных законах, таких как Декрет о процедуре док</w:t>
      </w:r>
      <w:r w:rsidRPr="00570DEC">
        <w:rPr>
          <w:color w:val="000000"/>
        </w:rPr>
        <w:t>а</w:t>
      </w:r>
      <w:r w:rsidRPr="00570DEC">
        <w:rPr>
          <w:color w:val="000000"/>
        </w:rPr>
        <w:t>зывания и Декрет о гражданском судопроизводстве, несмотря на отсутствие у них правовых знаний по этим вопросам. На практике это приводит к судебным ошибкам, которых можно было избежать и от которых страдают люди, обр</w:t>
      </w:r>
      <w:r w:rsidRPr="00570DEC">
        <w:rPr>
          <w:color w:val="000000"/>
        </w:rPr>
        <w:t>а</w:t>
      </w:r>
      <w:r w:rsidRPr="00570DEC">
        <w:rPr>
          <w:color w:val="000000"/>
        </w:rPr>
        <w:t>щающиеся в суд, в частности женщины.</w:t>
      </w:r>
    </w:p>
    <w:p w:rsidR="00AD593A" w:rsidRPr="00570DEC" w:rsidRDefault="00AD593A" w:rsidP="00AD593A">
      <w:pPr>
        <w:pStyle w:val="SingleTxt"/>
        <w:rPr>
          <w:color w:val="000000"/>
        </w:rPr>
      </w:pPr>
      <w:r w:rsidRPr="00570DEC">
        <w:rPr>
          <w:color w:val="000000"/>
        </w:rPr>
        <w:t>30.</w:t>
      </w:r>
      <w:r w:rsidRPr="00570DEC">
        <w:rPr>
          <w:color w:val="000000"/>
        </w:rPr>
        <w:tab/>
        <w:t>В соответствии с рекомендациями</w:t>
      </w:r>
      <w:r>
        <w:rPr>
          <w:color w:val="000000"/>
        </w:rPr>
        <w:t>,</w:t>
      </w:r>
      <w:r w:rsidRPr="00570DEC">
        <w:rPr>
          <w:color w:val="000000"/>
        </w:rPr>
        <w:t xml:space="preserve"> сформулированными Генеральной А</w:t>
      </w:r>
      <w:r w:rsidRPr="00570DEC">
        <w:rPr>
          <w:color w:val="000000"/>
        </w:rPr>
        <w:t>с</w:t>
      </w:r>
      <w:r w:rsidRPr="00570DEC">
        <w:rPr>
          <w:color w:val="000000"/>
        </w:rPr>
        <w:t>самблеей ООН в 2006 году</w:t>
      </w:r>
      <w:r>
        <w:rPr>
          <w:rStyle w:val="FootnoteReference"/>
          <w:color w:val="000000"/>
        </w:rPr>
        <w:footnoteReference w:id="34"/>
      </w:r>
      <w:r w:rsidRPr="00570DEC">
        <w:rPr>
          <w:color w:val="000000"/>
        </w:rPr>
        <w:t xml:space="preserve"> и Комитетом КЛДЖ</w:t>
      </w:r>
      <w:r>
        <w:rPr>
          <w:rStyle w:val="FootnoteReference"/>
          <w:color w:val="000000"/>
        </w:rPr>
        <w:footnoteReference w:id="35"/>
      </w:r>
      <w:r w:rsidRPr="00570DEC">
        <w:rPr>
          <w:color w:val="000000"/>
        </w:rPr>
        <w:t>, касающимися ликвидации насилия в отношении женщин и девочек в его юрисдикции, государство-участник провело Национальное исследование по вопросу о насилии в отн</w:t>
      </w:r>
      <w:r w:rsidRPr="00570DEC">
        <w:rPr>
          <w:color w:val="000000"/>
        </w:rPr>
        <w:t>о</w:t>
      </w:r>
      <w:r w:rsidRPr="00570DEC">
        <w:rPr>
          <w:color w:val="000000"/>
        </w:rPr>
        <w:t>шении детей (2009 год). В частности, в Исследовании по вопросу о НОД была подчеркнута необходимость принятия срочных мер на страновом уровне и сформулированы две ключевые задачи для правительств: во-первых, интегр</w:t>
      </w:r>
      <w:r w:rsidRPr="00570DEC">
        <w:rPr>
          <w:color w:val="000000"/>
        </w:rPr>
        <w:t>а</w:t>
      </w:r>
      <w:r w:rsidRPr="00570DEC">
        <w:rPr>
          <w:color w:val="000000"/>
        </w:rPr>
        <w:t>ция мер "по недопущению и пресечению насилия в отношении детей в наци</w:t>
      </w:r>
      <w:r w:rsidRPr="00570DEC">
        <w:rPr>
          <w:color w:val="000000"/>
        </w:rPr>
        <w:t>о</w:t>
      </w:r>
      <w:r w:rsidRPr="00570DEC">
        <w:rPr>
          <w:color w:val="000000"/>
        </w:rPr>
        <w:t>нальные процессы планирования, что должно включать определение координ</w:t>
      </w:r>
      <w:r w:rsidRPr="00570DEC">
        <w:rPr>
          <w:color w:val="000000"/>
        </w:rPr>
        <w:t>а</w:t>
      </w:r>
      <w:r w:rsidRPr="00570DEC">
        <w:rPr>
          <w:color w:val="000000"/>
        </w:rPr>
        <w:t>тора, предпочтительно на министерском уровне"</w:t>
      </w:r>
      <w:r>
        <w:rPr>
          <w:rStyle w:val="FootnoteReference"/>
          <w:color w:val="000000"/>
        </w:rPr>
        <w:footnoteReference w:id="36"/>
      </w:r>
      <w:r w:rsidRPr="00570DEC">
        <w:rPr>
          <w:color w:val="000000"/>
        </w:rPr>
        <w:t>, и во-вторых, запрещение всех форм насилия в отношении детей "в</w:t>
      </w:r>
      <w:r>
        <w:rPr>
          <w:color w:val="000000"/>
          <w:lang w:val="en-US"/>
        </w:rPr>
        <w:t> </w:t>
      </w:r>
      <w:r w:rsidRPr="00570DEC">
        <w:rPr>
          <w:color w:val="000000"/>
        </w:rPr>
        <w:t>законодательном порядке и иници</w:t>
      </w:r>
      <w:r w:rsidRPr="00570DEC">
        <w:rPr>
          <w:color w:val="000000"/>
        </w:rPr>
        <w:t>а</w:t>
      </w:r>
      <w:r w:rsidRPr="00570DEC">
        <w:rPr>
          <w:color w:val="000000"/>
        </w:rPr>
        <w:t>ция процесса разработки надежных систем сбора данных на национальном уровне"</w:t>
      </w:r>
      <w:r>
        <w:rPr>
          <w:rStyle w:val="FootnoteReference"/>
          <w:color w:val="000000"/>
        </w:rPr>
        <w:footnoteReference w:id="37"/>
      </w:r>
      <w:r w:rsidRPr="00570DEC">
        <w:rPr>
          <w:color w:val="000000"/>
        </w:rPr>
        <w:t>.</w:t>
      </w:r>
    </w:p>
    <w:p w:rsidR="00AD593A" w:rsidRPr="00570DEC" w:rsidRDefault="00AD593A" w:rsidP="00AD593A">
      <w:pPr>
        <w:pStyle w:val="SingleTxt"/>
        <w:rPr>
          <w:bCs/>
          <w:color w:val="000000"/>
        </w:rPr>
      </w:pPr>
      <w:r w:rsidRPr="00570DEC">
        <w:rPr>
          <w:bCs/>
          <w:color w:val="000000"/>
        </w:rPr>
        <w:t>31.</w:t>
      </w:r>
      <w:r w:rsidRPr="00570DEC">
        <w:rPr>
          <w:bCs/>
          <w:color w:val="000000"/>
        </w:rPr>
        <w:tab/>
        <w:t>На Занзибаре государство-участник завершает процесс принятия новой гендерной политики, направленной, в частности, на решение проблемы устр</w:t>
      </w:r>
      <w:r w:rsidRPr="00570DEC">
        <w:rPr>
          <w:bCs/>
          <w:color w:val="000000"/>
        </w:rPr>
        <w:t>а</w:t>
      </w:r>
      <w:r w:rsidRPr="00570DEC">
        <w:rPr>
          <w:bCs/>
          <w:color w:val="000000"/>
        </w:rPr>
        <w:t>нения негативных видов культурной практики, стереотипных представлений о роли мужчин и женщин и предрассудков в отношении женщин и девочек. В частности, государство-участник продолжает способствовать активному применению Закона об уголовном праве Занзибара (2004 год), в котором с</w:t>
      </w:r>
      <w:r w:rsidRPr="00570DEC">
        <w:rPr>
          <w:bCs/>
          <w:color w:val="000000"/>
        </w:rPr>
        <w:t>о</w:t>
      </w:r>
      <w:r w:rsidRPr="00570DEC">
        <w:rPr>
          <w:bCs/>
          <w:color w:val="000000"/>
        </w:rPr>
        <w:t>держатся положения Закона об особых мерах против сексуальных преступл</w:t>
      </w:r>
      <w:r w:rsidRPr="00570DEC">
        <w:rPr>
          <w:bCs/>
          <w:color w:val="000000"/>
        </w:rPr>
        <w:t>е</w:t>
      </w:r>
      <w:r w:rsidRPr="00570DEC">
        <w:rPr>
          <w:bCs/>
          <w:color w:val="000000"/>
        </w:rPr>
        <w:t xml:space="preserve">ний </w:t>
      </w:r>
      <w:r w:rsidRPr="00570DEC">
        <w:rPr>
          <w:color w:val="000000"/>
        </w:rPr>
        <w:t>(1998 год)</w:t>
      </w:r>
      <w:r>
        <w:rPr>
          <w:rStyle w:val="FootnoteReference"/>
          <w:color w:val="000000"/>
        </w:rPr>
        <w:footnoteReference w:id="38"/>
      </w:r>
      <w:r w:rsidRPr="00570DEC">
        <w:rPr>
          <w:color w:val="000000"/>
        </w:rPr>
        <w:t xml:space="preserve">. </w:t>
      </w:r>
    </w:p>
    <w:p w:rsidR="00AD593A" w:rsidRPr="00570DEC" w:rsidRDefault="00AD593A" w:rsidP="00AD593A">
      <w:pPr>
        <w:pStyle w:val="SingleTxt"/>
        <w:rPr>
          <w:color w:val="000000"/>
        </w:rPr>
      </w:pPr>
      <w:r w:rsidRPr="00570DEC">
        <w:rPr>
          <w:color w:val="000000"/>
        </w:rPr>
        <w:t>32.</w:t>
      </w:r>
      <w:r w:rsidRPr="00570DEC">
        <w:rPr>
          <w:color w:val="000000"/>
        </w:rPr>
        <w:tab/>
        <w:t>Государство-участник первым в Африке провело исследования по вопр</w:t>
      </w:r>
      <w:r w:rsidRPr="00570DEC">
        <w:rPr>
          <w:color w:val="000000"/>
        </w:rPr>
        <w:t>о</w:t>
      </w:r>
      <w:r w:rsidRPr="00570DEC">
        <w:rPr>
          <w:color w:val="000000"/>
        </w:rPr>
        <w:t>су о насилии в отношении детей – как на материковой части Танзании, так и на Занзибаре (исследования по вопросу о НОД в Танзании)</w:t>
      </w:r>
      <w:r>
        <w:rPr>
          <w:rStyle w:val="FootnoteReference"/>
          <w:color w:val="000000"/>
        </w:rPr>
        <w:footnoteReference w:id="39"/>
      </w:r>
      <w:r w:rsidRPr="00570DEC">
        <w:rPr>
          <w:color w:val="000000"/>
        </w:rPr>
        <w:t>. Вкратце, результаты данных исследований свидетельствуют о том, что три женщины из десяти и один мужчина из семи сообщили, что подвергались сексуальному насилию как минимум один раз в жизни до достижения 18 лет, а почти 6 процентов женщин подверглись физическому принуждению к половому сношению до достижения 18 лет. Результаты данных исследований также свидетельствуют о том, что п</w:t>
      </w:r>
      <w:r w:rsidRPr="00570DEC">
        <w:rPr>
          <w:color w:val="000000"/>
        </w:rPr>
        <w:t>о</w:t>
      </w:r>
      <w:r w:rsidRPr="00570DEC">
        <w:rPr>
          <w:color w:val="000000"/>
        </w:rPr>
        <w:t>чти три четверти детей мужского и женского пола в возрасте младше 18 лет подвергались физическому насилию и приблизительно одна четверть детей мужского и женского пола в возрасте младше 18 лет подвергалась эмоционал</w:t>
      </w:r>
      <w:r w:rsidRPr="00570DEC">
        <w:rPr>
          <w:color w:val="000000"/>
        </w:rPr>
        <w:t>ь</w:t>
      </w:r>
      <w:r w:rsidRPr="00570DEC">
        <w:rPr>
          <w:color w:val="000000"/>
        </w:rPr>
        <w:t>ному насилию.</w:t>
      </w:r>
    </w:p>
    <w:p w:rsidR="00AD593A" w:rsidRPr="00570DEC" w:rsidRDefault="00AD593A" w:rsidP="00AD593A">
      <w:pPr>
        <w:pStyle w:val="SingleTxt"/>
        <w:rPr>
          <w:color w:val="000000"/>
        </w:rPr>
      </w:pPr>
      <w:r w:rsidRPr="00570DEC">
        <w:rPr>
          <w:color w:val="000000"/>
        </w:rPr>
        <w:t>33.</w:t>
      </w:r>
      <w:r w:rsidRPr="00570DEC">
        <w:rPr>
          <w:color w:val="000000"/>
        </w:rPr>
        <w:tab/>
        <w:t>В рамках решения проблем, выявленных в Исследовании по вопросу о насилии в отношении детей в Танзании, на материковой части Танзании и За</w:t>
      </w:r>
      <w:r w:rsidRPr="00570DEC">
        <w:rPr>
          <w:color w:val="000000"/>
        </w:rPr>
        <w:t>н</w:t>
      </w:r>
      <w:r w:rsidRPr="00570DEC">
        <w:rPr>
          <w:color w:val="000000"/>
        </w:rPr>
        <w:t>зибаре были разработаны национальные планы по предупреждению и борьбе с насилием в отношении детей</w:t>
      </w:r>
      <w:r>
        <w:rPr>
          <w:rStyle w:val="FootnoteReference"/>
          <w:color w:val="000000"/>
        </w:rPr>
        <w:footnoteReference w:id="40"/>
      </w:r>
      <w:r w:rsidRPr="00570DEC">
        <w:rPr>
          <w:color w:val="000000"/>
          <w:vertAlign w:val="superscript"/>
        </w:rPr>
        <w:t>, </w:t>
      </w:r>
      <w:r>
        <w:rPr>
          <w:rStyle w:val="FootnoteReference"/>
          <w:color w:val="000000"/>
        </w:rPr>
        <w:footnoteReference w:id="41"/>
      </w:r>
      <w:r w:rsidRPr="00570DEC">
        <w:rPr>
          <w:color w:val="000000"/>
        </w:rPr>
        <w:t>. На Занзибаре государство-участник провело анализ пробелов в потенциале правоохранительных органов и медицинских учреждений по расследованию случаев ГН (2009 год) и анализ законов о ГН (2008 год) с целью оценки потенциала сотрудников правоохранительных орг</w:t>
      </w:r>
      <w:r w:rsidRPr="00570DEC">
        <w:rPr>
          <w:color w:val="000000"/>
        </w:rPr>
        <w:t>а</w:t>
      </w:r>
      <w:r w:rsidRPr="00570DEC">
        <w:rPr>
          <w:color w:val="000000"/>
        </w:rPr>
        <w:t>нов по расследованию дел и инцидентов, связанных с ГН.</w:t>
      </w:r>
    </w:p>
    <w:p w:rsidR="00AD593A" w:rsidRPr="00570DEC" w:rsidRDefault="00AD593A" w:rsidP="00AD593A">
      <w:pPr>
        <w:pStyle w:val="SingleTxt"/>
        <w:rPr>
          <w:color w:val="000000"/>
        </w:rPr>
      </w:pPr>
      <w:r w:rsidRPr="00570DEC">
        <w:rPr>
          <w:color w:val="000000"/>
        </w:rPr>
        <w:t>34.</w:t>
      </w:r>
      <w:r w:rsidRPr="00570DEC">
        <w:rPr>
          <w:color w:val="000000"/>
        </w:rPr>
        <w:tab/>
        <w:t>Продолжается реализация программ по защите женщин от вредных видов традиционной практики с участием таких партнеров, как ЮНФПА, ТАЖСМИ, Форум достоинства детей и др., особенно в районах, где широко распростр</w:t>
      </w:r>
      <w:r w:rsidRPr="00570DEC">
        <w:rPr>
          <w:color w:val="000000"/>
        </w:rPr>
        <w:t>а</w:t>
      </w:r>
      <w:r w:rsidRPr="00570DEC">
        <w:rPr>
          <w:color w:val="000000"/>
        </w:rPr>
        <w:t>нены КОЖПО и детские браки. Благодаря инициативам, реализованным в о</w:t>
      </w:r>
      <w:r w:rsidRPr="00570DEC">
        <w:rPr>
          <w:color w:val="000000"/>
        </w:rPr>
        <w:t>б</w:t>
      </w:r>
      <w:r w:rsidRPr="00570DEC">
        <w:rPr>
          <w:color w:val="000000"/>
        </w:rPr>
        <w:t>ласти Мара, где имеют место факты КОЖПО, детские браки и другие вредные виды традиционной практики, удалось повысить осведомленность общин о вреде, который эти практики причиняют женщинам и девочкам. Кроме того, девочки, находящиеся под угрозой, получили возможность пройти альтерн</w:t>
      </w:r>
      <w:r w:rsidRPr="00570DEC">
        <w:rPr>
          <w:color w:val="000000"/>
        </w:rPr>
        <w:t>а</w:t>
      </w:r>
      <w:r w:rsidRPr="00570DEC">
        <w:rPr>
          <w:color w:val="000000"/>
        </w:rPr>
        <w:t>тивные обряды инициации, а также получили расширенный доступ к правос</w:t>
      </w:r>
      <w:r w:rsidRPr="00570DEC">
        <w:rPr>
          <w:color w:val="000000"/>
        </w:rPr>
        <w:t>у</w:t>
      </w:r>
      <w:r w:rsidRPr="00570DEC">
        <w:rPr>
          <w:color w:val="000000"/>
        </w:rPr>
        <w:t>дию.</w:t>
      </w:r>
    </w:p>
    <w:p w:rsidR="00AD593A" w:rsidRPr="00570DEC" w:rsidRDefault="00AD593A" w:rsidP="00AD593A">
      <w:pPr>
        <w:pStyle w:val="SingleTxt"/>
        <w:rPr>
          <w:color w:val="000000"/>
        </w:rPr>
      </w:pPr>
      <w:r w:rsidRPr="00570DEC">
        <w:rPr>
          <w:color w:val="000000"/>
        </w:rPr>
        <w:t>35.</w:t>
      </w:r>
      <w:r w:rsidRPr="00570DEC">
        <w:rPr>
          <w:color w:val="000000"/>
        </w:rPr>
        <w:tab/>
        <w:t>В рамках содействия осуществлению положений законодательства, кас</w:t>
      </w:r>
      <w:r w:rsidRPr="00570DEC">
        <w:rPr>
          <w:color w:val="000000"/>
        </w:rPr>
        <w:t>а</w:t>
      </w:r>
      <w:r w:rsidRPr="00570DEC">
        <w:rPr>
          <w:color w:val="000000"/>
        </w:rPr>
        <w:t>ющихся сексуальных преступлений, Комиссия по правовой реформе Танзании (КПРТ)</w:t>
      </w:r>
      <w:r>
        <w:rPr>
          <w:rStyle w:val="FootnoteReference"/>
          <w:color w:val="000000"/>
        </w:rPr>
        <w:footnoteReference w:id="42"/>
      </w:r>
      <w:r w:rsidRPr="00570DEC">
        <w:rPr>
          <w:color w:val="000000"/>
        </w:rPr>
        <w:t xml:space="preserve"> провела в 2008–2009 годах исследование эффективности данного З</w:t>
      </w:r>
      <w:r w:rsidRPr="00570DEC">
        <w:rPr>
          <w:color w:val="000000"/>
        </w:rPr>
        <w:t>а</w:t>
      </w:r>
      <w:r w:rsidRPr="00570DEC">
        <w:rPr>
          <w:color w:val="000000"/>
        </w:rPr>
        <w:t>кона. В</w:t>
      </w:r>
      <w:r>
        <w:rPr>
          <w:color w:val="000000"/>
          <w:lang w:val="en-US"/>
        </w:rPr>
        <w:t> </w:t>
      </w:r>
      <w:r w:rsidRPr="00570DEC">
        <w:rPr>
          <w:color w:val="000000"/>
        </w:rPr>
        <w:t>докладе, выпущенном в марте 2009 года</w:t>
      </w:r>
      <w:r>
        <w:rPr>
          <w:rStyle w:val="FootnoteReference"/>
          <w:color w:val="000000"/>
        </w:rPr>
        <w:footnoteReference w:id="43"/>
      </w:r>
      <w:r w:rsidRPr="00570DEC">
        <w:rPr>
          <w:color w:val="000000"/>
        </w:rPr>
        <w:t>, КПРТ, в частности, пришла к выводу о том, что законы о сексуальных преступлениях "сохраняют юрид</w:t>
      </w:r>
      <w:r w:rsidRPr="00570DEC">
        <w:rPr>
          <w:color w:val="000000"/>
        </w:rPr>
        <w:t>и</w:t>
      </w:r>
      <w:r w:rsidRPr="00570DEC">
        <w:rPr>
          <w:color w:val="000000"/>
        </w:rPr>
        <w:t>ческую силу и служат целям, ради которых они были разработаны, хотя нек</w:t>
      </w:r>
      <w:r w:rsidRPr="00570DEC">
        <w:rPr>
          <w:color w:val="000000"/>
        </w:rPr>
        <w:t>о</w:t>
      </w:r>
      <w:r w:rsidRPr="00570DEC">
        <w:rPr>
          <w:color w:val="000000"/>
        </w:rPr>
        <w:t>торые их положения нуждаются в улучшении, согласовании и укреплении"</w:t>
      </w:r>
      <w:r>
        <w:rPr>
          <w:rStyle w:val="FootnoteReference"/>
          <w:color w:val="000000"/>
        </w:rPr>
        <w:footnoteReference w:id="44"/>
      </w:r>
      <w:r w:rsidRPr="00570DEC">
        <w:rPr>
          <w:color w:val="000000"/>
        </w:rPr>
        <w:t>, а также что закон сам по себе "не способен решить проблему сексуальных пр</w:t>
      </w:r>
      <w:r w:rsidRPr="00570DEC">
        <w:rPr>
          <w:color w:val="000000"/>
        </w:rPr>
        <w:t>е</w:t>
      </w:r>
      <w:r w:rsidRPr="00570DEC">
        <w:rPr>
          <w:color w:val="000000"/>
        </w:rPr>
        <w:t xml:space="preserve">ступлений" и что другие системы также "необходимо укреплять и эффективно использовать в процессе решения проблемы сексуальных преступлений в стране". </w:t>
      </w:r>
    </w:p>
    <w:p w:rsidR="00AD593A" w:rsidRPr="00570DEC" w:rsidRDefault="00AD593A" w:rsidP="00AD593A">
      <w:pPr>
        <w:pStyle w:val="SingleTxt"/>
        <w:rPr>
          <w:color w:val="000000"/>
        </w:rPr>
      </w:pPr>
      <w:r w:rsidRPr="00570DEC">
        <w:rPr>
          <w:color w:val="000000"/>
        </w:rPr>
        <w:t>36.</w:t>
      </w:r>
      <w:r w:rsidRPr="00570DEC">
        <w:rPr>
          <w:color w:val="000000"/>
        </w:rPr>
        <w:tab/>
        <w:t>Аналогичным образом государство-участник провело силами Комиссии по правовой реформе Занзибара</w:t>
      </w:r>
      <w:r>
        <w:rPr>
          <w:rStyle w:val="FootnoteReference"/>
          <w:color w:val="000000"/>
        </w:rPr>
        <w:footnoteReference w:id="45"/>
      </w:r>
      <w:r w:rsidRPr="00570DEC">
        <w:rPr>
          <w:color w:val="000000"/>
        </w:rPr>
        <w:t xml:space="preserve"> анализ некоторых законов, влияющих на развитие и благосостояние женщин и детей, в том числе Декрета о процедуре доказывания</w:t>
      </w:r>
      <w:r>
        <w:rPr>
          <w:rStyle w:val="FootnoteReference"/>
          <w:color w:val="000000"/>
        </w:rPr>
        <w:footnoteReference w:id="46"/>
      </w:r>
      <w:r w:rsidRPr="00570DEC">
        <w:rPr>
          <w:color w:val="000000"/>
        </w:rPr>
        <w:t xml:space="preserve"> и Закона о шариатском суде (кади) (1985 год). </w:t>
      </w:r>
    </w:p>
    <w:p w:rsidR="00AD593A" w:rsidRPr="00570DEC" w:rsidRDefault="00AD593A" w:rsidP="00AD593A">
      <w:pPr>
        <w:pStyle w:val="SingleTxt"/>
        <w:rPr>
          <w:bCs/>
          <w:color w:val="000000"/>
        </w:rPr>
      </w:pPr>
      <w:r w:rsidRPr="00570DEC">
        <w:rPr>
          <w:color w:val="000000"/>
        </w:rPr>
        <w:t>37.</w:t>
      </w:r>
      <w:r w:rsidRPr="00570DEC">
        <w:rPr>
          <w:color w:val="000000"/>
        </w:rPr>
        <w:tab/>
        <w:t>С целью укрепления данных законов государство-участник проводит ка</w:t>
      </w:r>
      <w:r w:rsidRPr="00570DEC">
        <w:rPr>
          <w:color w:val="000000"/>
        </w:rPr>
        <w:t>м</w:t>
      </w:r>
      <w:r w:rsidRPr="00570DEC">
        <w:rPr>
          <w:color w:val="000000"/>
        </w:rPr>
        <w:t>пании по повышению общественной осведомленности и программы в сре</w:t>
      </w:r>
      <w:r w:rsidRPr="00570DEC">
        <w:rPr>
          <w:color w:val="000000"/>
        </w:rPr>
        <w:t>д</w:t>
      </w:r>
      <w:r w:rsidRPr="00570DEC">
        <w:rPr>
          <w:color w:val="000000"/>
        </w:rPr>
        <w:t>ствах массовой информации, которые направлены на обеспечение ликвидации калечащих операций на женских половых органах и на укрепление позитивн</w:t>
      </w:r>
      <w:r w:rsidRPr="00570DEC">
        <w:rPr>
          <w:color w:val="000000"/>
        </w:rPr>
        <w:t>о</w:t>
      </w:r>
      <w:r w:rsidRPr="00570DEC">
        <w:rPr>
          <w:color w:val="000000"/>
        </w:rPr>
        <w:t>го и нестереотипного изображения женщин</w:t>
      </w:r>
      <w:r w:rsidRPr="00570DEC">
        <w:rPr>
          <w:bCs/>
          <w:color w:val="000000"/>
        </w:rPr>
        <w:t>. Государство-участник также в</w:t>
      </w:r>
      <w:r w:rsidRPr="00570DEC">
        <w:rPr>
          <w:bCs/>
          <w:color w:val="000000"/>
        </w:rPr>
        <w:t>ы</w:t>
      </w:r>
      <w:r w:rsidRPr="00570DEC">
        <w:rPr>
          <w:bCs/>
          <w:color w:val="000000"/>
        </w:rPr>
        <w:t xml:space="preserve">полнило просьбу Комитета о разработке программ </w:t>
      </w:r>
      <w:r w:rsidRPr="00570DEC">
        <w:rPr>
          <w:color w:val="000000"/>
        </w:rPr>
        <w:t>в целях обеспечения ал</w:t>
      </w:r>
      <w:r w:rsidRPr="00570DEC">
        <w:rPr>
          <w:color w:val="000000"/>
        </w:rPr>
        <w:t>ь</w:t>
      </w:r>
      <w:r w:rsidRPr="00570DEC">
        <w:rPr>
          <w:color w:val="000000"/>
        </w:rPr>
        <w:t>тернативных источников доходов для тех, кому калечащие операции на же</w:t>
      </w:r>
      <w:r w:rsidRPr="00570DEC">
        <w:rPr>
          <w:color w:val="000000"/>
        </w:rPr>
        <w:t>н</w:t>
      </w:r>
      <w:r w:rsidRPr="00570DEC">
        <w:rPr>
          <w:color w:val="000000"/>
        </w:rPr>
        <w:t>ских половых органах приносят средства к существованию</w:t>
      </w:r>
      <w:r w:rsidRPr="00570DEC">
        <w:rPr>
          <w:bCs/>
          <w:color w:val="000000"/>
        </w:rPr>
        <w:t xml:space="preserve"> (таких людей на языке суахили называют "нгариба"). Кроме того, государство-участник в с</w:t>
      </w:r>
      <w:r w:rsidRPr="00570DEC">
        <w:rPr>
          <w:bCs/>
          <w:color w:val="000000"/>
        </w:rPr>
        <w:t>о</w:t>
      </w:r>
      <w:r w:rsidRPr="00570DEC">
        <w:rPr>
          <w:bCs/>
          <w:color w:val="000000"/>
        </w:rPr>
        <w:t>трудничестве с другими заинтересованными сторонами продолжило занимат</w:t>
      </w:r>
      <w:r w:rsidRPr="00570DEC">
        <w:rPr>
          <w:bCs/>
          <w:color w:val="000000"/>
        </w:rPr>
        <w:t>ь</w:t>
      </w:r>
      <w:r w:rsidRPr="00570DEC">
        <w:rPr>
          <w:bCs/>
          <w:color w:val="000000"/>
        </w:rPr>
        <w:t>ся проведением кампаний по повышению общественной осведомленности с привлечением общинных средств массовой информации и традиционных дер</w:t>
      </w:r>
      <w:r w:rsidRPr="00570DEC">
        <w:rPr>
          <w:bCs/>
          <w:color w:val="000000"/>
        </w:rPr>
        <w:t>е</w:t>
      </w:r>
      <w:r w:rsidRPr="00570DEC">
        <w:rPr>
          <w:bCs/>
          <w:color w:val="000000"/>
        </w:rPr>
        <w:t>венских вождей и уделением основного внимания вопросам ликвидации и пр</w:t>
      </w:r>
      <w:r w:rsidRPr="00570DEC">
        <w:rPr>
          <w:bCs/>
          <w:color w:val="000000"/>
        </w:rPr>
        <w:t>е</w:t>
      </w:r>
      <w:r w:rsidRPr="00570DEC">
        <w:rPr>
          <w:bCs/>
          <w:color w:val="000000"/>
        </w:rPr>
        <w:t>дупреждения жестокого обращения по признаку пола и вредных видов трад</w:t>
      </w:r>
      <w:r w:rsidRPr="00570DEC">
        <w:rPr>
          <w:bCs/>
          <w:color w:val="000000"/>
        </w:rPr>
        <w:t>и</w:t>
      </w:r>
      <w:r w:rsidRPr="00570DEC">
        <w:rPr>
          <w:bCs/>
          <w:color w:val="000000"/>
        </w:rPr>
        <w:t>ционных практик в отношении женщин и девочек. Эти кампании проводятся особенно активно в областях Аруша, Додома, Килиманджаро, Маньяра, Мара и Шиньянга, где шире распространены случаи насилия в отношении женщин и детей, связанные с вредными видами традиционной и культурной практики.</w:t>
      </w:r>
    </w:p>
    <w:p w:rsidR="00AD593A" w:rsidRPr="00570DEC" w:rsidRDefault="00AD593A" w:rsidP="00AD593A">
      <w:pPr>
        <w:pStyle w:val="SingleTxt"/>
        <w:rPr>
          <w:bCs/>
          <w:color w:val="000000"/>
        </w:rPr>
      </w:pPr>
      <w:r w:rsidRPr="00570DEC">
        <w:rPr>
          <w:bCs/>
          <w:color w:val="000000"/>
        </w:rPr>
        <w:t>38.</w:t>
      </w:r>
      <w:r w:rsidRPr="00570DEC">
        <w:rPr>
          <w:bCs/>
          <w:color w:val="000000"/>
        </w:rPr>
        <w:tab/>
        <w:t>В результате мер по борьбе с КОПЖО, принятых государством-участником в отчетный период, Медико-демографическое обследование Танз</w:t>
      </w:r>
      <w:r w:rsidRPr="00570DEC">
        <w:rPr>
          <w:bCs/>
          <w:color w:val="000000"/>
        </w:rPr>
        <w:t>а</w:t>
      </w:r>
      <w:r w:rsidRPr="00570DEC">
        <w:rPr>
          <w:bCs/>
          <w:color w:val="000000"/>
        </w:rPr>
        <w:t>нии (МДОТ 2010 года) выявило незначительное сокращение показателя ра</w:t>
      </w:r>
      <w:r w:rsidRPr="00570DEC">
        <w:rPr>
          <w:bCs/>
          <w:color w:val="000000"/>
        </w:rPr>
        <w:t>с</w:t>
      </w:r>
      <w:r w:rsidRPr="00570DEC">
        <w:rPr>
          <w:bCs/>
          <w:color w:val="000000"/>
        </w:rPr>
        <w:t>пространенности КОПЖО/ЖО: с 18 процентов в 1996 году</w:t>
      </w:r>
      <w:r>
        <w:rPr>
          <w:rStyle w:val="FootnoteReference"/>
          <w:bCs/>
          <w:color w:val="000000"/>
        </w:rPr>
        <w:footnoteReference w:id="47"/>
      </w:r>
      <w:r w:rsidRPr="00570DEC">
        <w:rPr>
          <w:bCs/>
          <w:color w:val="000000"/>
        </w:rPr>
        <w:t xml:space="preserve"> до 15 процентов в 2010 году</w:t>
      </w:r>
      <w:r>
        <w:rPr>
          <w:rStyle w:val="FootnoteReference"/>
          <w:bCs/>
          <w:color w:val="000000"/>
        </w:rPr>
        <w:footnoteReference w:id="48"/>
      </w:r>
      <w:r w:rsidRPr="00570DEC">
        <w:rPr>
          <w:bCs/>
          <w:color w:val="000000"/>
        </w:rPr>
        <w:t>. Тем не менее в некоторых областях показатель распространенн</w:t>
      </w:r>
      <w:r w:rsidRPr="00570DEC">
        <w:rPr>
          <w:bCs/>
          <w:color w:val="000000"/>
        </w:rPr>
        <w:t>о</w:t>
      </w:r>
      <w:r w:rsidRPr="00570DEC">
        <w:rPr>
          <w:bCs/>
          <w:color w:val="000000"/>
        </w:rPr>
        <w:t>сти КОПЖО/ЖО превышает 60 процентов, например в областях Маньяра (71 процент) и Додома (64 процента). Показатель распространенности КОПЖО в области Мара незначительно вырос: с 38 процентов, согласно данным МДОТ 2004–2005 годов</w:t>
      </w:r>
      <w:r>
        <w:rPr>
          <w:rStyle w:val="FootnoteReference"/>
          <w:bCs/>
          <w:color w:val="000000"/>
        </w:rPr>
        <w:footnoteReference w:id="49"/>
      </w:r>
      <w:r w:rsidRPr="00570DEC">
        <w:rPr>
          <w:bCs/>
          <w:color w:val="000000"/>
        </w:rPr>
        <w:t>, до 40 процентов, согласно данным МДОТ 2010 года. Тем не менее в других областях показатели распространенности КОПЖО/ЖО незн</w:t>
      </w:r>
      <w:r w:rsidRPr="00570DEC">
        <w:rPr>
          <w:bCs/>
          <w:color w:val="000000"/>
        </w:rPr>
        <w:t>а</w:t>
      </w:r>
      <w:r w:rsidRPr="00570DEC">
        <w:rPr>
          <w:bCs/>
          <w:color w:val="000000"/>
        </w:rPr>
        <w:t>чительно уменьшились. Например, в области Аруша показатель распростр</w:t>
      </w:r>
      <w:r w:rsidRPr="00570DEC">
        <w:rPr>
          <w:bCs/>
          <w:color w:val="000000"/>
        </w:rPr>
        <w:t>а</w:t>
      </w:r>
      <w:r w:rsidRPr="00570DEC">
        <w:rPr>
          <w:bCs/>
          <w:color w:val="000000"/>
        </w:rPr>
        <w:t>ненности КОПЖО незначительно снизился: с 59 процентов, согласно данным МДОТ 2004–2005 годов, до 55 процентов, согласно данным МДОТ 2010 года. Это сокращение показателей связано с распространением инфраструктуры, в том числе информационно-коммуникационных сетей, предоставляющих жит</w:t>
      </w:r>
      <w:r w:rsidRPr="00570DEC">
        <w:rPr>
          <w:bCs/>
          <w:color w:val="000000"/>
        </w:rPr>
        <w:t>е</w:t>
      </w:r>
      <w:r w:rsidRPr="00570DEC">
        <w:rPr>
          <w:bCs/>
          <w:color w:val="000000"/>
        </w:rPr>
        <w:t>лям сельских районов доступ к информации</w:t>
      </w:r>
      <w:r w:rsidRPr="00570DEC">
        <w:rPr>
          <w:color w:val="000000"/>
        </w:rPr>
        <w:t>. К тому же широкая деятельность активистов, проводивших различные кампании в сельских районах, спосо</w:t>
      </w:r>
      <w:r w:rsidRPr="00570DEC">
        <w:rPr>
          <w:color w:val="000000"/>
        </w:rPr>
        <w:t>б</w:t>
      </w:r>
      <w:r w:rsidRPr="00570DEC">
        <w:rPr>
          <w:color w:val="000000"/>
        </w:rPr>
        <w:t xml:space="preserve">ствовала повышению осведомленности о влиянии </w:t>
      </w:r>
      <w:r w:rsidRPr="00570DEC">
        <w:rPr>
          <w:bCs/>
          <w:color w:val="000000"/>
        </w:rPr>
        <w:t>КОПЖО/ЖО</w:t>
      </w:r>
      <w:r>
        <w:rPr>
          <w:rStyle w:val="FootnoteReference"/>
          <w:bCs/>
          <w:color w:val="000000"/>
        </w:rPr>
        <w:footnoteReference w:id="50"/>
      </w:r>
      <w:r w:rsidRPr="00570DEC">
        <w:rPr>
          <w:color w:val="000000"/>
        </w:rPr>
        <w:t xml:space="preserve"> на сельских женщин и на общество в целом.</w:t>
      </w:r>
      <w:r w:rsidRPr="00570DEC">
        <w:rPr>
          <w:bCs/>
          <w:color w:val="000000"/>
        </w:rPr>
        <w:t xml:space="preserve"> </w:t>
      </w:r>
    </w:p>
    <w:p w:rsidR="00AD593A" w:rsidRDefault="00AD593A" w:rsidP="00AD593A">
      <w:pPr>
        <w:pStyle w:val="SingleTxt"/>
        <w:rPr>
          <w:bCs/>
          <w:color w:val="000000"/>
        </w:rPr>
      </w:pPr>
      <w:r w:rsidRPr="00570DEC">
        <w:rPr>
          <w:bCs/>
          <w:color w:val="000000"/>
        </w:rPr>
        <w:t>39.</w:t>
      </w:r>
      <w:r w:rsidRPr="00570DEC">
        <w:rPr>
          <w:bCs/>
          <w:color w:val="000000"/>
        </w:rPr>
        <w:tab/>
        <w:t>Государство-участник признает КОПЖО/ЖО одной из важнейших пр</w:t>
      </w:r>
      <w:r w:rsidRPr="00570DEC">
        <w:rPr>
          <w:bCs/>
          <w:color w:val="000000"/>
        </w:rPr>
        <w:t>о</w:t>
      </w:r>
      <w:r w:rsidRPr="00570DEC">
        <w:rPr>
          <w:bCs/>
          <w:color w:val="000000"/>
        </w:rPr>
        <w:t>блем, связанных с гендерным насилием (ГН), имеющих серьезные последствия для здоровья и нуждающихся в пристальном внимании, и намеревается и далее принимать меры по борьбе с данным явлением и его ликвидации. Поэтому го</w:t>
      </w:r>
      <w:r w:rsidRPr="00570DEC">
        <w:rPr>
          <w:bCs/>
          <w:color w:val="000000"/>
        </w:rPr>
        <w:t>с</w:t>
      </w:r>
      <w:r w:rsidRPr="00570DEC">
        <w:rPr>
          <w:bCs/>
          <w:color w:val="000000"/>
        </w:rPr>
        <w:t>ударство-участник приняло решение об осуществлении мониторинга проблемы КОПЖО/ЖО при помощи МДОТ.</w:t>
      </w:r>
    </w:p>
    <w:p w:rsidR="00AD593A" w:rsidRPr="00AD593A" w:rsidRDefault="00AD593A" w:rsidP="00AD593A">
      <w:pPr>
        <w:pStyle w:val="SingleTxt"/>
        <w:spacing w:after="0" w:line="120" w:lineRule="exact"/>
        <w:rPr>
          <w:bCs/>
          <w:color w:val="000000"/>
          <w:sz w:val="10"/>
        </w:rPr>
      </w:pPr>
    </w:p>
    <w:p w:rsidR="00AD593A" w:rsidRPr="00570DEC" w:rsidRDefault="00AD593A" w:rsidP="00AD593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bookmarkStart w:id="23" w:name="_Toc401576665"/>
      <w:r w:rsidRPr="00570DEC">
        <w:tab/>
      </w:r>
      <w:bookmarkStart w:id="24" w:name="_Toc417398637"/>
      <w:r w:rsidRPr="00570DEC">
        <w:t>1.1.5</w:t>
      </w:r>
      <w:r w:rsidRPr="00570DEC">
        <w:tab/>
      </w:r>
      <w:bookmarkEnd w:id="23"/>
      <w:r w:rsidRPr="00570DEC">
        <w:t>Насилие в отношении женщин</w:t>
      </w:r>
      <w:bookmarkEnd w:id="24"/>
    </w:p>
    <w:p w:rsidR="00AD593A" w:rsidRPr="00AD593A" w:rsidRDefault="00AD593A" w:rsidP="00AD593A">
      <w:pPr>
        <w:pStyle w:val="SingleTxt"/>
        <w:spacing w:after="0" w:line="120" w:lineRule="exact"/>
        <w:rPr>
          <w:color w:val="000000"/>
          <w:sz w:val="10"/>
        </w:rPr>
      </w:pPr>
    </w:p>
    <w:p w:rsidR="00AD593A" w:rsidRPr="00570DEC" w:rsidRDefault="00AD593A" w:rsidP="00AD593A">
      <w:pPr>
        <w:pStyle w:val="SingleTxt"/>
        <w:rPr>
          <w:color w:val="000000"/>
        </w:rPr>
      </w:pPr>
      <w:r w:rsidRPr="00570DEC">
        <w:rPr>
          <w:color w:val="000000"/>
        </w:rPr>
        <w:t>40.</w:t>
      </w:r>
      <w:r w:rsidRPr="00570DEC">
        <w:rPr>
          <w:color w:val="000000"/>
        </w:rPr>
        <w:tab/>
        <w:t>Государство-участник приняло ряд мер, направленных на борьбу с нас</w:t>
      </w:r>
      <w:r w:rsidRPr="00570DEC">
        <w:rPr>
          <w:color w:val="000000"/>
        </w:rPr>
        <w:t>и</w:t>
      </w:r>
      <w:r w:rsidRPr="00570DEC">
        <w:rPr>
          <w:color w:val="000000"/>
        </w:rPr>
        <w:t>лием в отношении женщин (НОЖ). Для решения данной проблемы госуда</w:t>
      </w:r>
      <w:r w:rsidRPr="00570DEC">
        <w:rPr>
          <w:color w:val="000000"/>
        </w:rPr>
        <w:t>р</w:t>
      </w:r>
      <w:r w:rsidRPr="00570DEC">
        <w:rPr>
          <w:color w:val="000000"/>
        </w:rPr>
        <w:t>ство-участник создало Национальный межсекторальный комитет по предупр</w:t>
      </w:r>
      <w:r w:rsidRPr="00570DEC">
        <w:rPr>
          <w:color w:val="000000"/>
        </w:rPr>
        <w:t>е</w:t>
      </w:r>
      <w:r w:rsidRPr="00570DEC">
        <w:rPr>
          <w:color w:val="000000"/>
        </w:rPr>
        <w:t>ждению насилия в отношении женщин и детей и борьбе с ним (материковая часть Танзании) и Национальный межсекторальный комитет по борьбе с ге</w:t>
      </w:r>
      <w:r w:rsidRPr="00570DEC">
        <w:rPr>
          <w:color w:val="000000"/>
        </w:rPr>
        <w:t>н</w:t>
      </w:r>
      <w:r w:rsidRPr="00570DEC">
        <w:rPr>
          <w:color w:val="000000"/>
        </w:rPr>
        <w:t>дерным насилием (Занзибар) в целях планирования правительственных отве</w:t>
      </w:r>
      <w:r w:rsidRPr="00570DEC">
        <w:rPr>
          <w:color w:val="000000"/>
        </w:rPr>
        <w:t>т</w:t>
      </w:r>
      <w:r w:rsidRPr="00570DEC">
        <w:rPr>
          <w:color w:val="000000"/>
        </w:rPr>
        <w:t>ных мер в случаях насилия в отношении детей и женщин. К другим мерам о</w:t>
      </w:r>
      <w:r w:rsidRPr="00570DEC">
        <w:rPr>
          <w:color w:val="000000"/>
        </w:rPr>
        <w:t>т</w:t>
      </w:r>
      <w:r w:rsidRPr="00570DEC">
        <w:rPr>
          <w:color w:val="000000"/>
        </w:rPr>
        <w:t>носится программа повышения потенциала общин, действующая во всех обл</w:t>
      </w:r>
      <w:r w:rsidRPr="00570DEC">
        <w:rPr>
          <w:color w:val="000000"/>
        </w:rPr>
        <w:t>а</w:t>
      </w:r>
      <w:r w:rsidRPr="00570DEC">
        <w:rPr>
          <w:color w:val="000000"/>
        </w:rPr>
        <w:t>стях материковой части Танзании и Занзибара. В большинстве случаев соо</w:t>
      </w:r>
      <w:r w:rsidRPr="00570DEC">
        <w:rPr>
          <w:color w:val="000000"/>
        </w:rPr>
        <w:t>б</w:t>
      </w:r>
      <w:r w:rsidRPr="00570DEC">
        <w:rPr>
          <w:color w:val="000000"/>
        </w:rPr>
        <w:t>щения о физическом, сексуальном и социальном насилии поступают в МРПВСОМЖД, а соответствующие меры принимаются в рамках программы повышения потенциала общин. По информации из больниц, чаще всего набл</w:t>
      </w:r>
      <w:r w:rsidRPr="00570DEC">
        <w:rPr>
          <w:color w:val="000000"/>
        </w:rPr>
        <w:t>ю</w:t>
      </w:r>
      <w:r w:rsidRPr="00570DEC">
        <w:rPr>
          <w:color w:val="000000"/>
        </w:rPr>
        <w:t>даются четыре вида насилия. Так, по информации, поступившей из больницы "Мнази Ммоджа" на Занзибаре, в период 2007–2010 годов среди общего кол</w:t>
      </w:r>
      <w:r w:rsidRPr="00570DEC">
        <w:rPr>
          <w:color w:val="000000"/>
        </w:rPr>
        <w:t>и</w:t>
      </w:r>
      <w:r w:rsidRPr="00570DEC">
        <w:rPr>
          <w:color w:val="000000"/>
        </w:rPr>
        <w:t>чества случаев насилия насчитывалось 508 попыток изнасилования, 1468 изнасилований и 536 случаев беременности в результате гендерного насилия, а также два случая содомии (совершенной с девочками).</w:t>
      </w:r>
    </w:p>
    <w:p w:rsidR="00AD593A" w:rsidRPr="00570DEC" w:rsidRDefault="00AD593A" w:rsidP="00AD593A">
      <w:pPr>
        <w:pStyle w:val="SingleTxt"/>
        <w:rPr>
          <w:color w:val="000000"/>
          <w:u w:val="single"/>
        </w:rPr>
      </w:pPr>
      <w:r w:rsidRPr="00570DEC">
        <w:rPr>
          <w:color w:val="000000"/>
        </w:rPr>
        <w:t>41.</w:t>
      </w:r>
      <w:r w:rsidRPr="00570DEC">
        <w:rPr>
          <w:color w:val="000000"/>
        </w:rPr>
        <w:tab/>
        <w:t xml:space="preserve">В государстве-участнике по-прежнему действуют Уголовный кодекс (его действие распространяется на материковую часть Танзании) и </w:t>
      </w:r>
      <w:r w:rsidRPr="00570DEC">
        <w:rPr>
          <w:bCs/>
          <w:color w:val="000000"/>
        </w:rPr>
        <w:t>Закон об особых мерах против сексуальных преступлений (ЗОМСП) 1998 года с поправками, внесенными в соответствии с Уголовным кодексом и вводящими уголовную ответственность за насилие в семье и за все виды сексуальных надругательств</w:t>
      </w:r>
      <w:r w:rsidRPr="00570DEC">
        <w:rPr>
          <w:color w:val="000000"/>
        </w:rPr>
        <w:t>.</w:t>
      </w:r>
    </w:p>
    <w:p w:rsidR="00AD593A" w:rsidRPr="00570DEC" w:rsidRDefault="00AD593A" w:rsidP="00AD593A">
      <w:pPr>
        <w:pStyle w:val="SingleTxt"/>
        <w:rPr>
          <w:color w:val="000000"/>
        </w:rPr>
      </w:pPr>
      <w:r w:rsidRPr="00570DEC">
        <w:rPr>
          <w:color w:val="000000"/>
        </w:rPr>
        <w:t>42.</w:t>
      </w:r>
      <w:r w:rsidRPr="00570DEC">
        <w:rPr>
          <w:color w:val="000000"/>
        </w:rPr>
        <w:tab/>
        <w:t>В рамках поддержки политики правительства и выполнения правовых обязательств на Занзибаре были созданы различные структуры, занимающиеся вопросами ГН. Группа по защите детей, созданная в 2009 году в составе МРПВСОМЖД, занимается конкретными вопросами, связанными с уязвим</w:t>
      </w:r>
      <w:r w:rsidRPr="00570DEC">
        <w:rPr>
          <w:color w:val="000000"/>
        </w:rPr>
        <w:t>о</w:t>
      </w:r>
      <w:r w:rsidRPr="00570DEC">
        <w:rPr>
          <w:color w:val="000000"/>
        </w:rPr>
        <w:t>стью несовершеннолетних, оказавшихся в трудных обстоятельствах. В настоящее время существует Комитет министров по вопросам ГН, занима</w:t>
      </w:r>
      <w:r w:rsidRPr="00570DEC">
        <w:rPr>
          <w:color w:val="000000"/>
        </w:rPr>
        <w:t>ю</w:t>
      </w:r>
      <w:r w:rsidRPr="00570DEC">
        <w:rPr>
          <w:color w:val="000000"/>
        </w:rPr>
        <w:t>щийся расследованием случаев ГН. В состав Комитета входят министры юст</w:t>
      </w:r>
      <w:r w:rsidRPr="00570DEC">
        <w:rPr>
          <w:color w:val="000000"/>
        </w:rPr>
        <w:t>и</w:t>
      </w:r>
      <w:r w:rsidRPr="00570DEC">
        <w:rPr>
          <w:color w:val="000000"/>
        </w:rPr>
        <w:t>ции и конституционных дел, здравоохранения, образования и профессионал</w:t>
      </w:r>
      <w:r w:rsidRPr="00570DEC">
        <w:rPr>
          <w:color w:val="000000"/>
        </w:rPr>
        <w:t>ь</w:t>
      </w:r>
      <w:r w:rsidRPr="00570DEC">
        <w:rPr>
          <w:color w:val="000000"/>
        </w:rPr>
        <w:t>ного обучения, расширения прав и возможностей, социального обеспечения, по делам женщин и детей. Дополнительно к Национальному комитету по бор</w:t>
      </w:r>
      <w:r w:rsidRPr="00570DEC">
        <w:rPr>
          <w:color w:val="000000"/>
        </w:rPr>
        <w:t>ь</w:t>
      </w:r>
      <w:r w:rsidRPr="00570DEC">
        <w:rPr>
          <w:color w:val="000000"/>
        </w:rPr>
        <w:t>бе с ГН был создан ряд структур, занимающихся борьбой с ГН на всех уро</w:t>
      </w:r>
      <w:r w:rsidRPr="00570DEC">
        <w:rPr>
          <w:color w:val="000000"/>
        </w:rPr>
        <w:t>в</w:t>
      </w:r>
      <w:r w:rsidRPr="00570DEC">
        <w:rPr>
          <w:color w:val="000000"/>
        </w:rPr>
        <w:t>нях</w:t>
      </w:r>
      <w:r>
        <w:rPr>
          <w:color w:val="000000"/>
        </w:rPr>
        <w:t xml:space="preserve"> — </w:t>
      </w:r>
      <w:r w:rsidRPr="00570DEC">
        <w:rPr>
          <w:color w:val="000000"/>
        </w:rPr>
        <w:t>от местного до национального. К ним, в частности, относятся униве</w:t>
      </w:r>
      <w:r w:rsidRPr="00570DEC">
        <w:rPr>
          <w:color w:val="000000"/>
        </w:rPr>
        <w:t>р</w:t>
      </w:r>
      <w:r w:rsidRPr="00570DEC">
        <w:rPr>
          <w:color w:val="000000"/>
        </w:rPr>
        <w:t>сальные центры в национальных больницах и медицинских центрах во всех областях Занзибара, а также сети, в которые входят мужчины и религиозные лидеры.</w:t>
      </w:r>
    </w:p>
    <w:p w:rsidR="00AD593A" w:rsidRPr="00570DEC" w:rsidRDefault="00AD593A" w:rsidP="00AD593A">
      <w:pPr>
        <w:pStyle w:val="SingleTxt"/>
        <w:rPr>
          <w:color w:val="000000"/>
        </w:rPr>
      </w:pPr>
      <w:r w:rsidRPr="00570DEC">
        <w:rPr>
          <w:color w:val="000000"/>
        </w:rPr>
        <w:t>43.</w:t>
      </w:r>
      <w:r w:rsidRPr="00570DEC">
        <w:rPr>
          <w:color w:val="000000"/>
        </w:rPr>
        <w:tab/>
        <w:t>В частности, за период 2009–2014 годов государство-участник обеспеч</w:t>
      </w:r>
      <w:r w:rsidRPr="00570DEC">
        <w:rPr>
          <w:color w:val="000000"/>
        </w:rPr>
        <w:t>и</w:t>
      </w:r>
      <w:r w:rsidRPr="00570DEC">
        <w:rPr>
          <w:color w:val="000000"/>
        </w:rPr>
        <w:t>ло подготовку примерно 1196 сотрудников полиции по вопросам прав человека в целом и прав женщин и детей в частности</w:t>
      </w:r>
      <w:r>
        <w:rPr>
          <w:rStyle w:val="FootnoteReference"/>
          <w:color w:val="000000"/>
        </w:rPr>
        <w:footnoteReference w:id="51"/>
      </w:r>
      <w:r w:rsidRPr="00570DEC">
        <w:rPr>
          <w:color w:val="000000"/>
        </w:rPr>
        <w:t>. В результате этих учебных зан</w:t>
      </w:r>
      <w:r w:rsidRPr="00570DEC">
        <w:rPr>
          <w:color w:val="000000"/>
        </w:rPr>
        <w:t>я</w:t>
      </w:r>
      <w:r w:rsidRPr="00570DEC">
        <w:rPr>
          <w:color w:val="000000"/>
        </w:rPr>
        <w:t>тий в крупных отделениях полиции по всей стране были созданы 417 отделов по гендерным вопросам и делам детей</w:t>
      </w:r>
      <w:r>
        <w:rPr>
          <w:rStyle w:val="FootnoteReference"/>
          <w:color w:val="000000"/>
        </w:rPr>
        <w:footnoteReference w:id="52"/>
      </w:r>
      <w:r w:rsidRPr="00570DEC">
        <w:rPr>
          <w:color w:val="000000"/>
        </w:rPr>
        <w:t>. В тот же период руководство полиции смогло предоставить отделам по гендерным вопросам и делам детей отдельные помещения и оборудование в 12 отделениях полиции на материковой части Танзании и в трех отделениях полиции на Занзибаре. В дальнейшем оно пл</w:t>
      </w:r>
      <w:r w:rsidRPr="00570DEC">
        <w:rPr>
          <w:color w:val="000000"/>
        </w:rPr>
        <w:t>а</w:t>
      </w:r>
      <w:r w:rsidRPr="00570DEC">
        <w:rPr>
          <w:color w:val="000000"/>
        </w:rPr>
        <w:t>нирует обеспечить помещениями и оборудованием отделы по гендерным в</w:t>
      </w:r>
      <w:r w:rsidRPr="00570DEC">
        <w:rPr>
          <w:color w:val="000000"/>
        </w:rPr>
        <w:t>о</w:t>
      </w:r>
      <w:r w:rsidRPr="00570DEC">
        <w:rPr>
          <w:color w:val="000000"/>
        </w:rPr>
        <w:t>просам и делам детей во всех отделениях полиции в стране. Планы отгранич</w:t>
      </w:r>
      <w:r w:rsidRPr="00570DEC">
        <w:rPr>
          <w:color w:val="000000"/>
        </w:rPr>
        <w:t>е</w:t>
      </w:r>
      <w:r w:rsidRPr="00570DEC">
        <w:rPr>
          <w:color w:val="000000"/>
        </w:rPr>
        <w:t>ния деятельности отделов по гендерным вопросам и делам детей от остальных направлений оперативной работы полиции призваны повысить конфиденц</w:t>
      </w:r>
      <w:r w:rsidRPr="00570DEC">
        <w:rPr>
          <w:color w:val="000000"/>
        </w:rPr>
        <w:t>и</w:t>
      </w:r>
      <w:r w:rsidRPr="00570DEC">
        <w:rPr>
          <w:color w:val="000000"/>
        </w:rPr>
        <w:t>альность при ведении дел детей и женщин</w:t>
      </w:r>
      <w:r>
        <w:rPr>
          <w:color w:val="000000"/>
          <w:lang w:val="en-US"/>
        </w:rPr>
        <w:t> </w:t>
      </w:r>
      <w:r w:rsidRPr="00570DEC">
        <w:rPr>
          <w:color w:val="000000"/>
        </w:rPr>
        <w:t xml:space="preserve">– жертв жестокого обращения. </w:t>
      </w:r>
    </w:p>
    <w:p w:rsidR="00AD593A" w:rsidRPr="00570DEC" w:rsidRDefault="00AD593A" w:rsidP="00AD593A">
      <w:pPr>
        <w:pStyle w:val="SingleTxt"/>
        <w:rPr>
          <w:color w:val="000000"/>
        </w:rPr>
      </w:pPr>
      <w:r w:rsidRPr="00570DEC">
        <w:rPr>
          <w:color w:val="000000"/>
        </w:rPr>
        <w:t>44.</w:t>
      </w:r>
      <w:r w:rsidRPr="00570DEC">
        <w:rPr>
          <w:color w:val="000000"/>
        </w:rPr>
        <w:tab/>
        <w:t>Государство-участник приняло Руководящие принципы и стандартные оперативные процедуры (СОП), необходимые для начала фактического фун</w:t>
      </w:r>
      <w:r w:rsidRPr="00570DEC">
        <w:rPr>
          <w:color w:val="000000"/>
        </w:rPr>
        <w:t>к</w:t>
      </w:r>
      <w:r w:rsidRPr="00570DEC">
        <w:rPr>
          <w:color w:val="000000"/>
        </w:rPr>
        <w:t>ционирования полицейских отделов по гендерным вопросам и делам детей. Кроме того, государство-участник приняло трехлетний План действий (2013–2016 годы), реализуемый в шести охваченных экспериментом областях (а именно Дар-эс-Саламе, Додоме, Иринге, Килиманджаро, Маре и Мбее)</w:t>
      </w:r>
      <w:r>
        <w:rPr>
          <w:rStyle w:val="FootnoteReference"/>
          <w:color w:val="000000"/>
        </w:rPr>
        <w:footnoteReference w:id="53"/>
      </w:r>
      <w:r w:rsidRPr="00570DEC">
        <w:rPr>
          <w:color w:val="000000"/>
        </w:rPr>
        <w:t>. На Занзибаре отделы по гендерным вопросам и делам детей были созданы в отделениях полиции в Мадеме, Мвере и Чаке-Чаке. Генеральный прокурор Занзибара также разработал Руководство для прокуроров, содержащее руков</w:t>
      </w:r>
      <w:r w:rsidRPr="00570DEC">
        <w:rPr>
          <w:color w:val="000000"/>
        </w:rPr>
        <w:t>о</w:t>
      </w:r>
      <w:r w:rsidRPr="00570DEC">
        <w:rPr>
          <w:color w:val="000000"/>
        </w:rPr>
        <w:t>дящие указания для прокуроров по вопросам, связанным, в частности, с секс</w:t>
      </w:r>
      <w:r w:rsidRPr="00570DEC">
        <w:rPr>
          <w:color w:val="000000"/>
        </w:rPr>
        <w:t>у</w:t>
      </w:r>
      <w:r w:rsidRPr="00570DEC">
        <w:rPr>
          <w:color w:val="000000"/>
        </w:rPr>
        <w:t>альным и гендерным насилием (СГН). В</w:t>
      </w:r>
      <w:r>
        <w:rPr>
          <w:color w:val="000000"/>
          <w:lang w:val="en-US"/>
        </w:rPr>
        <w:t> </w:t>
      </w:r>
      <w:r w:rsidRPr="00570DEC">
        <w:rPr>
          <w:color w:val="000000"/>
        </w:rPr>
        <w:t>сущности, опыт начала работы пол</w:t>
      </w:r>
      <w:r w:rsidRPr="00570DEC">
        <w:rPr>
          <w:color w:val="000000"/>
        </w:rPr>
        <w:t>и</w:t>
      </w:r>
      <w:r w:rsidRPr="00570DEC">
        <w:rPr>
          <w:color w:val="000000"/>
        </w:rPr>
        <w:t>цейских отделов по гендерным вопросам и делам детей в различных областях страны, а также создания и начала работы шести универсальных центров на Занзибаре помог открыть первый универсальный центр на материковой части Танзании – в больнице Амана округа Илала области Дар</w:t>
      </w:r>
      <w:r w:rsidRPr="00570DEC">
        <w:rPr>
          <w:color w:val="000000"/>
        </w:rPr>
        <w:noBreakHyphen/>
        <w:t>эс</w:t>
      </w:r>
      <w:r w:rsidRPr="00570DEC">
        <w:rPr>
          <w:color w:val="000000"/>
        </w:rPr>
        <w:noBreakHyphen/>
        <w:t>Салам. Этот центр был открыт 5 декабря 2013 года по окончании кампании "Шестнадцать дней активных действий против гендерного насилия". Он предоставляет женщинам и детям, ставшим жертвами жестокого обращения и насилия, широкий спектр услуг, в том числе медицинскую помощь, консультации по психологическим и социальным вопросам и юридическую помощь. В центре работают специально подготовленные сотрудники, оказывающие данные услуги. В</w:t>
      </w:r>
      <w:r>
        <w:rPr>
          <w:color w:val="000000"/>
          <w:lang w:val="en-US"/>
        </w:rPr>
        <w:t> </w:t>
      </w:r>
      <w:r w:rsidRPr="00570DEC">
        <w:rPr>
          <w:color w:val="000000"/>
        </w:rPr>
        <w:t>январе 2013 года был официально открыт отдел по гендерным вопросам и делам детей в отдел</w:t>
      </w:r>
      <w:r w:rsidRPr="00570DEC">
        <w:rPr>
          <w:color w:val="000000"/>
        </w:rPr>
        <w:t>е</w:t>
      </w:r>
      <w:r w:rsidRPr="00570DEC">
        <w:rPr>
          <w:color w:val="000000"/>
        </w:rPr>
        <w:t xml:space="preserve">нии полиции в Мвере, Занзибар. </w:t>
      </w:r>
    </w:p>
    <w:p w:rsidR="00AD593A" w:rsidRPr="00570DEC" w:rsidRDefault="00AD593A" w:rsidP="00AD593A">
      <w:pPr>
        <w:pStyle w:val="SingleTxt"/>
        <w:rPr>
          <w:color w:val="000000"/>
        </w:rPr>
      </w:pPr>
      <w:r w:rsidRPr="00570DEC">
        <w:rPr>
          <w:color w:val="000000"/>
        </w:rPr>
        <w:t>45.</w:t>
      </w:r>
      <w:r w:rsidRPr="00570DEC">
        <w:rPr>
          <w:color w:val="000000"/>
        </w:rPr>
        <w:tab/>
        <w:t>Тем не менее полицейские отделы по гендерным вопросам и делам детей, функционирующие в государстве-участнике, сталкиваются в своей деятельн</w:t>
      </w:r>
      <w:r w:rsidRPr="00570DEC">
        <w:rPr>
          <w:color w:val="000000"/>
        </w:rPr>
        <w:t>о</w:t>
      </w:r>
      <w:r w:rsidRPr="00570DEC">
        <w:rPr>
          <w:color w:val="000000"/>
        </w:rPr>
        <w:t xml:space="preserve">сти с рядом серьезных проблем: </w:t>
      </w:r>
    </w:p>
    <w:p w:rsidR="00AD593A" w:rsidRPr="00570DEC" w:rsidRDefault="00AD593A" w:rsidP="00AD593A">
      <w:pPr>
        <w:pStyle w:val="SingleTxt"/>
        <w:rPr>
          <w:color w:val="000000"/>
        </w:rPr>
      </w:pPr>
      <w:r w:rsidRPr="006605A0">
        <w:rPr>
          <w:color w:val="000000"/>
        </w:rPr>
        <w:tab/>
      </w:r>
      <w:r w:rsidRPr="00570DEC">
        <w:rPr>
          <w:color w:val="000000"/>
        </w:rPr>
        <w:t>a)</w:t>
      </w:r>
      <w:r w:rsidRPr="00570DEC">
        <w:rPr>
          <w:color w:val="000000"/>
        </w:rPr>
        <w:tab/>
        <w:t>недостаточность материально-технических средств, необходимых для оказания эффективной помощи женщинам и детям – жертвам жестокого обращения и насилия; например, нехватка отдельных, специальных п</w:t>
      </w:r>
      <w:r w:rsidRPr="00570DEC">
        <w:rPr>
          <w:color w:val="000000"/>
        </w:rPr>
        <w:t>о</w:t>
      </w:r>
      <w:r w:rsidRPr="00570DEC">
        <w:rPr>
          <w:color w:val="000000"/>
        </w:rPr>
        <w:t>мещений для проведения опросов жертв или свидетелей и для судов по делам несове</w:t>
      </w:r>
      <w:r w:rsidRPr="00570DEC">
        <w:rPr>
          <w:color w:val="000000"/>
        </w:rPr>
        <w:t>р</w:t>
      </w:r>
      <w:r w:rsidRPr="00570DEC">
        <w:rPr>
          <w:color w:val="000000"/>
        </w:rPr>
        <w:t>шеннолетних, отсутствие надлежащих условий для того, чтобы сотрудники п</w:t>
      </w:r>
      <w:r w:rsidRPr="00570DEC">
        <w:rPr>
          <w:color w:val="000000"/>
        </w:rPr>
        <w:t>о</w:t>
      </w:r>
      <w:r w:rsidRPr="00570DEC">
        <w:rPr>
          <w:color w:val="000000"/>
        </w:rPr>
        <w:t>лиции, работающие в данных отделах, могли проводить фактическую идент</w:t>
      </w:r>
      <w:r w:rsidRPr="00570DEC">
        <w:rPr>
          <w:color w:val="000000"/>
        </w:rPr>
        <w:t>и</w:t>
      </w:r>
      <w:r w:rsidRPr="00570DEC">
        <w:rPr>
          <w:color w:val="000000"/>
        </w:rPr>
        <w:t>фикацию доказательств со стороны предполагаемых преступников. В насто</w:t>
      </w:r>
      <w:r w:rsidRPr="00570DEC">
        <w:rPr>
          <w:color w:val="000000"/>
        </w:rPr>
        <w:t>я</w:t>
      </w:r>
      <w:r w:rsidRPr="00570DEC">
        <w:rPr>
          <w:color w:val="000000"/>
        </w:rPr>
        <w:t>щее время создано 417 полицейских отделов по гендерным вопросам и делам детей, и лишь восьми из них было выделено по два изолированных помещ</w:t>
      </w:r>
      <w:r w:rsidRPr="00570DEC">
        <w:rPr>
          <w:color w:val="000000"/>
        </w:rPr>
        <w:t>е</w:t>
      </w:r>
      <w:r w:rsidRPr="00570DEC">
        <w:rPr>
          <w:color w:val="000000"/>
        </w:rPr>
        <w:t>ния, оборудованных на должном уровне в соответствии с потребностями этих отделов;</w:t>
      </w:r>
    </w:p>
    <w:p w:rsidR="00AD593A" w:rsidRPr="00570DEC" w:rsidRDefault="00AD593A" w:rsidP="00AD593A">
      <w:pPr>
        <w:pStyle w:val="SingleTxt"/>
        <w:rPr>
          <w:color w:val="000000"/>
        </w:rPr>
      </w:pPr>
      <w:r w:rsidRPr="006605A0">
        <w:rPr>
          <w:color w:val="000000"/>
        </w:rPr>
        <w:tab/>
      </w:r>
      <w:r w:rsidRPr="00570DEC">
        <w:rPr>
          <w:color w:val="000000"/>
        </w:rPr>
        <w:t>b)</w:t>
      </w:r>
      <w:r w:rsidRPr="00570DEC">
        <w:rPr>
          <w:color w:val="000000"/>
        </w:rPr>
        <w:tab/>
        <w:t>по-прежнему низкий уровень подготовки сотрудников полиции по техническим аспектам проведения расследований и уголовного преследов</w:t>
      </w:r>
      <w:r w:rsidRPr="00570DEC">
        <w:rPr>
          <w:color w:val="000000"/>
        </w:rPr>
        <w:t>а</w:t>
      </w:r>
      <w:r w:rsidRPr="00570DEC">
        <w:rPr>
          <w:color w:val="000000"/>
        </w:rPr>
        <w:t>ния по фактам насилия в отношении женщин и детей, а также по вопросам оказ</w:t>
      </w:r>
      <w:r w:rsidRPr="00570DEC">
        <w:rPr>
          <w:color w:val="000000"/>
        </w:rPr>
        <w:t>а</w:t>
      </w:r>
      <w:r w:rsidRPr="00570DEC">
        <w:rPr>
          <w:color w:val="000000"/>
        </w:rPr>
        <w:t>ния поддержки (консультирование по психологическим и социальным вопр</w:t>
      </w:r>
      <w:r w:rsidRPr="00570DEC">
        <w:rPr>
          <w:color w:val="000000"/>
        </w:rPr>
        <w:t>о</w:t>
      </w:r>
      <w:r w:rsidRPr="00570DEC">
        <w:rPr>
          <w:color w:val="000000"/>
        </w:rPr>
        <w:t>сам и другие виды поддержки) женщинам и детям – жертвам насилия и жест</w:t>
      </w:r>
      <w:r w:rsidRPr="00570DEC">
        <w:rPr>
          <w:color w:val="000000"/>
        </w:rPr>
        <w:t>о</w:t>
      </w:r>
      <w:r w:rsidRPr="00570DEC">
        <w:rPr>
          <w:color w:val="000000"/>
        </w:rPr>
        <w:t>кого обращения;</w:t>
      </w:r>
    </w:p>
    <w:p w:rsidR="00AD593A" w:rsidRPr="00570DEC" w:rsidRDefault="00AD593A" w:rsidP="00AD593A">
      <w:pPr>
        <w:pStyle w:val="SingleTxt"/>
        <w:rPr>
          <w:color w:val="000000"/>
        </w:rPr>
      </w:pPr>
      <w:r w:rsidRPr="006605A0">
        <w:rPr>
          <w:color w:val="000000"/>
        </w:rPr>
        <w:tab/>
      </w:r>
      <w:r w:rsidRPr="00570DEC">
        <w:rPr>
          <w:color w:val="000000"/>
        </w:rPr>
        <w:t>c)</w:t>
      </w:r>
      <w:r w:rsidRPr="00570DEC">
        <w:rPr>
          <w:color w:val="000000"/>
        </w:rPr>
        <w:tab/>
        <w:t>большинство случаев жестокого обращения и насилия в отн</w:t>
      </w:r>
      <w:r w:rsidRPr="00570DEC">
        <w:rPr>
          <w:color w:val="000000"/>
        </w:rPr>
        <w:t>о</w:t>
      </w:r>
      <w:r w:rsidRPr="00570DEC">
        <w:rPr>
          <w:color w:val="000000"/>
        </w:rPr>
        <w:t>шении женщин и детей происходит в семьях</w:t>
      </w:r>
      <w:r>
        <w:rPr>
          <w:rStyle w:val="FootnoteReference"/>
          <w:color w:val="000000"/>
        </w:rPr>
        <w:footnoteReference w:id="54"/>
      </w:r>
      <w:r w:rsidRPr="00570DEC">
        <w:rPr>
          <w:color w:val="000000"/>
        </w:rPr>
        <w:t>. Многие жертвы и их родственники не сообщают полицейским отделам по гендерным вопросам и делам детей о сл</w:t>
      </w:r>
      <w:r w:rsidRPr="00570DEC">
        <w:rPr>
          <w:color w:val="000000"/>
        </w:rPr>
        <w:t>у</w:t>
      </w:r>
      <w:r w:rsidRPr="00570DEC">
        <w:rPr>
          <w:color w:val="000000"/>
        </w:rPr>
        <w:t>чаях жестокого обращения и насилия в отношении женщин; они предпочитают "улаживать" эти конфликты внутри семьи независимо от вреда, причиненного женщинам</w:t>
      </w:r>
      <w:r>
        <w:rPr>
          <w:color w:val="000000"/>
        </w:rPr>
        <w:t xml:space="preserve"> — </w:t>
      </w:r>
      <w:r w:rsidRPr="00570DEC">
        <w:rPr>
          <w:color w:val="000000"/>
        </w:rPr>
        <w:t>жертвам подобных насильственных или жестоких действий; а также</w:t>
      </w:r>
    </w:p>
    <w:p w:rsidR="00AD593A" w:rsidRPr="00570DEC" w:rsidRDefault="00AD593A" w:rsidP="00AD593A">
      <w:pPr>
        <w:pStyle w:val="SingleTxt"/>
        <w:rPr>
          <w:color w:val="000000"/>
        </w:rPr>
      </w:pPr>
      <w:r w:rsidRPr="006605A0">
        <w:rPr>
          <w:color w:val="000000"/>
        </w:rPr>
        <w:tab/>
      </w:r>
      <w:r w:rsidRPr="00570DEC">
        <w:rPr>
          <w:color w:val="000000"/>
        </w:rPr>
        <w:t>d)</w:t>
      </w:r>
      <w:r w:rsidRPr="00570DEC">
        <w:rPr>
          <w:color w:val="000000"/>
        </w:rPr>
        <w:tab/>
        <w:t>осведомленность общества о насилии в отношении женщин и детей в целом низка, вследствие чего полицейским отделам по гендерным в</w:t>
      </w:r>
      <w:r w:rsidRPr="00570DEC">
        <w:rPr>
          <w:color w:val="000000"/>
        </w:rPr>
        <w:t>о</w:t>
      </w:r>
      <w:r w:rsidRPr="00570DEC">
        <w:rPr>
          <w:color w:val="000000"/>
        </w:rPr>
        <w:t>просам и делам детей крайне затруднительно наладить эффективную работу в области борьбы с насилием в отношении женщин и его искоренения</w:t>
      </w:r>
      <w:r w:rsidRPr="00570DEC">
        <w:rPr>
          <w:b/>
          <w:color w:val="000000"/>
        </w:rPr>
        <w:t>.</w:t>
      </w:r>
    </w:p>
    <w:p w:rsidR="00AD593A" w:rsidRPr="00570DEC" w:rsidRDefault="00AD593A" w:rsidP="00AD593A">
      <w:pPr>
        <w:pStyle w:val="SingleTxt"/>
        <w:rPr>
          <w:color w:val="000000"/>
        </w:rPr>
      </w:pPr>
      <w:r w:rsidRPr="00570DEC">
        <w:rPr>
          <w:color w:val="000000"/>
        </w:rPr>
        <w:t>46.</w:t>
      </w:r>
      <w:r w:rsidRPr="00570DEC">
        <w:rPr>
          <w:color w:val="000000"/>
        </w:rPr>
        <w:tab/>
        <w:t>Кроме того, государство-участник является организатором мероприятия в рамках проводимой в Африке кампании "Объединяйся" (восхождение на гору Килиманджаро</w:t>
      </w:r>
      <w:r>
        <w:rPr>
          <w:color w:val="000000"/>
        </w:rPr>
        <w:t xml:space="preserve"> — </w:t>
      </w:r>
      <w:r w:rsidRPr="00570DEC">
        <w:rPr>
          <w:color w:val="000000"/>
        </w:rPr>
        <w:t>"Выскажись и поднимись"), основной целью которого явл</w:t>
      </w:r>
      <w:r w:rsidRPr="00570DEC">
        <w:rPr>
          <w:color w:val="000000"/>
        </w:rPr>
        <w:t>я</w:t>
      </w:r>
      <w:r w:rsidRPr="00570DEC">
        <w:rPr>
          <w:color w:val="000000"/>
        </w:rPr>
        <w:t>ется повышение осведомленности общественности и привлечение общин к и</w:t>
      </w:r>
      <w:r w:rsidRPr="00570DEC">
        <w:rPr>
          <w:color w:val="000000"/>
        </w:rPr>
        <w:t>с</w:t>
      </w:r>
      <w:r w:rsidRPr="00570DEC">
        <w:rPr>
          <w:color w:val="000000"/>
        </w:rPr>
        <w:t>коренению насилия в отношении женщин и девочек посредством сотруднич</w:t>
      </w:r>
      <w:r w:rsidRPr="00570DEC">
        <w:rPr>
          <w:color w:val="000000"/>
        </w:rPr>
        <w:t>е</w:t>
      </w:r>
      <w:r w:rsidRPr="00570DEC">
        <w:rPr>
          <w:color w:val="000000"/>
        </w:rPr>
        <w:t>ства с государствами-участниками и оказания им помощи, а также поддержки долгосрочных проектов женских организаций и организаций гражданского общества. Кампания также направлена на то, чтобы побудить правительства африканских стран, организации гражданского общества, частный сектор и партнеров в области развития взять на себя национальные обязательства и принять меры по предупреждению насилия в отношении женщин и девочек, оказанию помощи жертвам, пережившим насилие, и искоренению безнаказа</w:t>
      </w:r>
      <w:r w:rsidRPr="00570DEC">
        <w:rPr>
          <w:color w:val="000000"/>
        </w:rPr>
        <w:t>н</w:t>
      </w:r>
      <w:r w:rsidRPr="00570DEC">
        <w:rPr>
          <w:color w:val="000000"/>
        </w:rPr>
        <w:t>ности п</w:t>
      </w:r>
      <w:r w:rsidRPr="00570DEC">
        <w:rPr>
          <w:color w:val="000000"/>
        </w:rPr>
        <w:t>о</w:t>
      </w:r>
      <w:r w:rsidRPr="00570DEC">
        <w:rPr>
          <w:color w:val="000000"/>
        </w:rPr>
        <w:t>средством уголовного преследования виновных в насилии. Имеется в виду привлекать к участию в кампании мужчин, мальчиков, молодежь, знам</w:t>
      </w:r>
      <w:r w:rsidRPr="00570DEC">
        <w:rPr>
          <w:color w:val="000000"/>
        </w:rPr>
        <w:t>е</w:t>
      </w:r>
      <w:r w:rsidRPr="00570DEC">
        <w:rPr>
          <w:color w:val="000000"/>
        </w:rPr>
        <w:t>нитостей, артистов, спортсменов, представителей частного сектора и других. Кампания является региональным компонентом Глобальной кампании Ген</w:t>
      </w:r>
      <w:r w:rsidRPr="00570DEC">
        <w:rPr>
          <w:color w:val="000000"/>
        </w:rPr>
        <w:t>е</w:t>
      </w:r>
      <w:r w:rsidRPr="00570DEC">
        <w:rPr>
          <w:color w:val="000000"/>
        </w:rPr>
        <w:t xml:space="preserve">рального секретаря ООН, начатой в 2010 году. </w:t>
      </w:r>
    </w:p>
    <w:p w:rsidR="00AD593A" w:rsidRPr="00570DEC" w:rsidRDefault="00AD593A" w:rsidP="00AD593A">
      <w:pPr>
        <w:pStyle w:val="SingleTxt"/>
        <w:rPr>
          <w:b/>
          <w:color w:val="000000"/>
        </w:rPr>
      </w:pPr>
      <w:r w:rsidRPr="00570DEC">
        <w:rPr>
          <w:color w:val="000000"/>
        </w:rPr>
        <w:t>47.</w:t>
      </w:r>
      <w:r w:rsidRPr="00570DEC">
        <w:rPr>
          <w:color w:val="000000"/>
        </w:rPr>
        <w:tab/>
        <w:t>Восхождение на гору Килиманджаро было организовано в рамках афр</w:t>
      </w:r>
      <w:r w:rsidRPr="00570DEC">
        <w:rPr>
          <w:color w:val="000000"/>
        </w:rPr>
        <w:t>и</w:t>
      </w:r>
      <w:r w:rsidRPr="00570DEC">
        <w:rPr>
          <w:color w:val="000000"/>
        </w:rPr>
        <w:t>канской кампании "Объединяйся" по искоренению насилия в отношении же</w:t>
      </w:r>
      <w:r w:rsidRPr="00570DEC">
        <w:rPr>
          <w:color w:val="000000"/>
        </w:rPr>
        <w:t>н</w:t>
      </w:r>
      <w:r w:rsidRPr="00570DEC">
        <w:rPr>
          <w:color w:val="000000"/>
        </w:rPr>
        <w:t>щин и девочек в Африке. В числе 74 альпинистов были представители 36 стран Африки, 14 учреждений ООН и бизнеса, защитники прав женщин и представ</w:t>
      </w:r>
      <w:r w:rsidRPr="00570DEC">
        <w:rPr>
          <w:color w:val="000000"/>
        </w:rPr>
        <w:t>и</w:t>
      </w:r>
      <w:r w:rsidRPr="00570DEC">
        <w:rPr>
          <w:color w:val="000000"/>
        </w:rPr>
        <w:t>тели организаций гражданского общества, журналисты, члены правительства, знаменитости и лица, пережившие насилие. Участники африканской кампании "Объединяйся" приняли участие в охватившей весь континент кампании по и</w:t>
      </w:r>
      <w:r w:rsidRPr="00570DEC">
        <w:rPr>
          <w:color w:val="000000"/>
        </w:rPr>
        <w:t>с</w:t>
      </w:r>
      <w:r w:rsidRPr="00570DEC">
        <w:rPr>
          <w:color w:val="000000"/>
        </w:rPr>
        <w:t>коренению насилия в отношении женщин и детей в Африке, и в ходе этой ка</w:t>
      </w:r>
      <w:r w:rsidRPr="00570DEC">
        <w:rPr>
          <w:color w:val="000000"/>
        </w:rPr>
        <w:t>м</w:t>
      </w:r>
      <w:r w:rsidRPr="00570DEC">
        <w:rPr>
          <w:color w:val="000000"/>
        </w:rPr>
        <w:t>пании 16 альпинистов покорили две высшие точки Килиманджаро – Гилман и пик Ухуру.</w:t>
      </w:r>
    </w:p>
    <w:p w:rsidR="00AD593A" w:rsidRPr="00570DEC" w:rsidRDefault="00AD593A" w:rsidP="00AD593A">
      <w:pPr>
        <w:pStyle w:val="SingleTxt"/>
        <w:rPr>
          <w:color w:val="000000"/>
        </w:rPr>
      </w:pPr>
      <w:r w:rsidRPr="00570DEC">
        <w:rPr>
          <w:color w:val="000000"/>
        </w:rPr>
        <w:t>48.</w:t>
      </w:r>
      <w:r w:rsidRPr="00570DEC">
        <w:rPr>
          <w:color w:val="000000"/>
        </w:rPr>
        <w:tab/>
        <w:t>Государство-участник также проводит кампанию "Провозгласи нулевую терпимость сейчас", посвященную борьбе с сексуальным и гендерным насил</w:t>
      </w:r>
      <w:r w:rsidRPr="00570DEC">
        <w:rPr>
          <w:color w:val="000000"/>
        </w:rPr>
        <w:t>и</w:t>
      </w:r>
      <w:r w:rsidRPr="00570DEC">
        <w:rPr>
          <w:color w:val="000000"/>
        </w:rPr>
        <w:t>ем (СГН). Кампания преследует следующие цели: повысить осведомленность о масштабах распространения СГН; улучшить понимание возможных эффекти</w:t>
      </w:r>
      <w:r w:rsidRPr="00570DEC">
        <w:rPr>
          <w:color w:val="000000"/>
        </w:rPr>
        <w:t>в</w:t>
      </w:r>
      <w:r w:rsidRPr="00570DEC">
        <w:rPr>
          <w:color w:val="000000"/>
        </w:rPr>
        <w:t>ных решений и придать импульс формированию чувства общей ответственн</w:t>
      </w:r>
      <w:r w:rsidRPr="00570DEC">
        <w:rPr>
          <w:color w:val="000000"/>
        </w:rPr>
        <w:t>о</w:t>
      </w:r>
      <w:r w:rsidRPr="00570DEC">
        <w:rPr>
          <w:color w:val="000000"/>
        </w:rPr>
        <w:t>сти и совместным действиям; пропагандировать принцип "нулевой терпим</w:t>
      </w:r>
      <w:r w:rsidRPr="00570DEC">
        <w:rPr>
          <w:color w:val="000000"/>
        </w:rPr>
        <w:t>о</w:t>
      </w:r>
      <w:r w:rsidRPr="00570DEC">
        <w:rPr>
          <w:color w:val="000000"/>
        </w:rPr>
        <w:t>сти" в отношении СГН в целях упрочения политического лидерства и приве</w:t>
      </w:r>
      <w:r w:rsidRPr="00570DEC">
        <w:rPr>
          <w:color w:val="000000"/>
        </w:rPr>
        <w:t>р</w:t>
      </w:r>
      <w:r w:rsidRPr="00570DEC">
        <w:rPr>
          <w:color w:val="000000"/>
        </w:rPr>
        <w:t>женности на национальном уровне ускоренной ликвидации всех форм насилия в отношении женщин и детей; а также поощрять и укреплять политику и пр</w:t>
      </w:r>
      <w:r w:rsidRPr="00570DEC">
        <w:rPr>
          <w:color w:val="000000"/>
        </w:rPr>
        <w:t>о</w:t>
      </w:r>
      <w:r w:rsidRPr="00570DEC">
        <w:rPr>
          <w:color w:val="000000"/>
        </w:rPr>
        <w:t>граммы, направленные на ускоренную ликвидацию всех форм СГН.</w:t>
      </w:r>
    </w:p>
    <w:p w:rsidR="00AD593A" w:rsidRDefault="00AD593A" w:rsidP="00AD593A">
      <w:pPr>
        <w:pStyle w:val="SingleTxt"/>
        <w:rPr>
          <w:color w:val="000000"/>
        </w:rPr>
      </w:pPr>
      <w:r w:rsidRPr="00570DEC">
        <w:rPr>
          <w:color w:val="000000"/>
        </w:rPr>
        <w:t>49.</w:t>
      </w:r>
      <w:r w:rsidRPr="00570DEC">
        <w:rPr>
          <w:color w:val="000000"/>
        </w:rPr>
        <w:tab/>
        <w:t>В центре внимания кампании "нулевой терпимости" находятся обязател</w:t>
      </w:r>
      <w:r w:rsidRPr="00570DEC">
        <w:rPr>
          <w:color w:val="000000"/>
        </w:rPr>
        <w:t>ь</w:t>
      </w:r>
      <w:r w:rsidRPr="00570DEC">
        <w:rPr>
          <w:color w:val="000000"/>
        </w:rPr>
        <w:t>ства правительства по осуществлению надлежащих мер и действий, напра</w:t>
      </w:r>
      <w:r w:rsidRPr="00570DEC">
        <w:rPr>
          <w:color w:val="000000"/>
        </w:rPr>
        <w:t>в</w:t>
      </w:r>
      <w:r w:rsidRPr="00570DEC">
        <w:rPr>
          <w:color w:val="000000"/>
        </w:rPr>
        <w:t>ленных на предупреждение насилия в отношении женщин и девочек и борьбу с ним. На субнациональном и национальном уровнях будут созданы институц</w:t>
      </w:r>
      <w:r w:rsidRPr="00570DEC">
        <w:rPr>
          <w:color w:val="000000"/>
        </w:rPr>
        <w:t>и</w:t>
      </w:r>
      <w:r w:rsidRPr="00570DEC">
        <w:rPr>
          <w:color w:val="000000"/>
        </w:rPr>
        <w:t>ональные механизмы, обеспечивающие осуществление, координацию и мон</w:t>
      </w:r>
      <w:r w:rsidRPr="00570DEC">
        <w:rPr>
          <w:color w:val="000000"/>
        </w:rPr>
        <w:t>и</w:t>
      </w:r>
      <w:r w:rsidRPr="00570DEC">
        <w:rPr>
          <w:color w:val="000000"/>
        </w:rPr>
        <w:t>торинг мер по поощрению гендерного равенства и борьбе с дискриминацией в отношении женщин и девочек; сбор данных о насилии в отношении женщин и разработку контрольных показателей; борьбу с безнаказанностью преступн</w:t>
      </w:r>
      <w:r w:rsidRPr="00570DEC">
        <w:rPr>
          <w:color w:val="000000"/>
        </w:rPr>
        <w:t>и</w:t>
      </w:r>
      <w:r w:rsidRPr="00570DEC">
        <w:rPr>
          <w:color w:val="000000"/>
        </w:rPr>
        <w:t>ков, виновных в насилии в отношении женщин, и расширение доступа к пр</w:t>
      </w:r>
      <w:r w:rsidRPr="00570DEC">
        <w:rPr>
          <w:color w:val="000000"/>
        </w:rPr>
        <w:t>а</w:t>
      </w:r>
      <w:r w:rsidRPr="00570DEC">
        <w:rPr>
          <w:color w:val="000000"/>
        </w:rPr>
        <w:t>восудию.</w:t>
      </w:r>
    </w:p>
    <w:p w:rsidR="00AD593A" w:rsidRPr="00AD593A" w:rsidRDefault="00AD593A" w:rsidP="00AD593A">
      <w:pPr>
        <w:pStyle w:val="SingleTxt"/>
        <w:spacing w:after="0" w:line="120" w:lineRule="exact"/>
        <w:rPr>
          <w:color w:val="000000"/>
          <w:sz w:val="10"/>
        </w:rPr>
      </w:pPr>
    </w:p>
    <w:p w:rsidR="00AD593A" w:rsidRPr="00570DEC" w:rsidRDefault="00AD593A" w:rsidP="00AD59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5" w:name="_Toc401576666"/>
      <w:r w:rsidRPr="00570DEC">
        <w:tab/>
      </w:r>
      <w:bookmarkStart w:id="26" w:name="_Toc417398638"/>
      <w:r w:rsidRPr="00570DEC">
        <w:t>1.1.6</w:t>
      </w:r>
      <w:r w:rsidRPr="00570DEC">
        <w:tab/>
      </w:r>
      <w:bookmarkEnd w:id="25"/>
      <w:r w:rsidRPr="00570DEC">
        <w:t>Торговля людьми и эксплуатация проституции</w:t>
      </w:r>
      <w:bookmarkEnd w:id="26"/>
    </w:p>
    <w:p w:rsidR="00AD593A" w:rsidRPr="00AD593A" w:rsidRDefault="00AD593A" w:rsidP="00AD593A">
      <w:pPr>
        <w:pStyle w:val="SingleTxt"/>
        <w:spacing w:after="0" w:line="120" w:lineRule="exact"/>
        <w:rPr>
          <w:color w:val="000000"/>
          <w:sz w:val="10"/>
        </w:rPr>
      </w:pPr>
    </w:p>
    <w:p w:rsidR="00AD593A" w:rsidRPr="00570DEC" w:rsidRDefault="00AD593A" w:rsidP="00AD593A">
      <w:pPr>
        <w:pStyle w:val="SingleTxt"/>
        <w:rPr>
          <w:color w:val="000000"/>
        </w:rPr>
      </w:pPr>
      <w:r w:rsidRPr="00570DEC">
        <w:rPr>
          <w:color w:val="000000"/>
        </w:rPr>
        <w:t>50.</w:t>
      </w:r>
      <w:r w:rsidRPr="00570DEC">
        <w:rPr>
          <w:color w:val="000000"/>
        </w:rPr>
        <w:tab/>
        <w:t>Совместно с Международной организацией по миграции правительство провело пять учебных занятий по повышению осведомленности для сотрудн</w:t>
      </w:r>
      <w:r w:rsidRPr="00570DEC">
        <w:rPr>
          <w:color w:val="000000"/>
        </w:rPr>
        <w:t>и</w:t>
      </w:r>
      <w:r w:rsidRPr="00570DEC">
        <w:rPr>
          <w:color w:val="000000"/>
        </w:rPr>
        <w:t>ков полиции, прокуроров, мировых судей и социальных работников. В этих з</w:t>
      </w:r>
      <w:r w:rsidRPr="00570DEC">
        <w:rPr>
          <w:color w:val="000000"/>
        </w:rPr>
        <w:t>а</w:t>
      </w:r>
      <w:r w:rsidRPr="00570DEC">
        <w:rPr>
          <w:color w:val="000000"/>
        </w:rPr>
        <w:t>нятиях приняли участие 30 человек, 14 из них – женщины. Учебные занятия, проведенные соответственно в 2012 и 2013 годах, были посвящены вопросам расследования преступлений торговли людьми и привлечения виновных к с</w:t>
      </w:r>
      <w:r w:rsidRPr="00570DEC">
        <w:rPr>
          <w:color w:val="000000"/>
        </w:rPr>
        <w:t>у</w:t>
      </w:r>
      <w:r w:rsidRPr="00570DEC">
        <w:rPr>
          <w:color w:val="000000"/>
        </w:rPr>
        <w:t>дебной ответственности. В итоге для танзанийской полиции было разработано руководство для инструкторов по проведению расследований и опросов (в том числе в отношении случаев торговли детьми) на основе Закона о борьбе с то</w:t>
      </w:r>
      <w:r w:rsidRPr="00570DEC">
        <w:rPr>
          <w:color w:val="000000"/>
        </w:rPr>
        <w:t>р</w:t>
      </w:r>
      <w:r w:rsidRPr="00570DEC">
        <w:rPr>
          <w:color w:val="000000"/>
        </w:rPr>
        <w:t>говлей людьми 2008 года. Для должностных лиц ОГО был проведен обуча</w:t>
      </w:r>
      <w:r w:rsidRPr="00570DEC">
        <w:rPr>
          <w:color w:val="000000"/>
        </w:rPr>
        <w:t>ю</w:t>
      </w:r>
      <w:r w:rsidRPr="00570DEC">
        <w:rPr>
          <w:color w:val="000000"/>
        </w:rPr>
        <w:t>щий курс по оказанию помощи детям – жертвам торговли людьми, а также б</w:t>
      </w:r>
      <w:r w:rsidRPr="00570DEC">
        <w:rPr>
          <w:color w:val="000000"/>
        </w:rPr>
        <w:t>ы</w:t>
      </w:r>
      <w:r w:rsidRPr="00570DEC">
        <w:rPr>
          <w:color w:val="000000"/>
        </w:rPr>
        <w:t>ло разработано руководство для организаций гражданского общества по в</w:t>
      </w:r>
      <w:r w:rsidRPr="00570DEC">
        <w:rPr>
          <w:color w:val="000000"/>
        </w:rPr>
        <w:t>о</w:t>
      </w:r>
      <w:r w:rsidRPr="00570DEC">
        <w:rPr>
          <w:color w:val="000000"/>
        </w:rPr>
        <w:t>просам практического применения Закона Танзании о борьбе с торговлей людьми 2008 года, в котором уделяется особое внимание выявлению жертв торговли людьми (в том числе детей – жертв торговли людьми) и оказанию им непосредственной поддержки. В 2014 году для журналистов из областей Ар</w:t>
      </w:r>
      <w:r w:rsidRPr="00570DEC">
        <w:rPr>
          <w:color w:val="000000"/>
        </w:rPr>
        <w:t>у</w:t>
      </w:r>
      <w:r w:rsidRPr="00570DEC">
        <w:rPr>
          <w:color w:val="000000"/>
        </w:rPr>
        <w:t>ша, Дар-эс-Салам, Додома, Кигома, Мванза, а также из Занзибара был пров</w:t>
      </w:r>
      <w:r w:rsidRPr="00570DEC">
        <w:rPr>
          <w:color w:val="000000"/>
        </w:rPr>
        <w:t>е</w:t>
      </w:r>
      <w:r w:rsidRPr="00570DEC">
        <w:rPr>
          <w:color w:val="000000"/>
        </w:rPr>
        <w:t>ден ряд учебных мероприятий по вопросам этики освещения случаев торговли людьми, а также были разработаны руководящие указания для средств масс</w:t>
      </w:r>
      <w:r w:rsidRPr="00570DEC">
        <w:rPr>
          <w:color w:val="000000"/>
        </w:rPr>
        <w:t>о</w:t>
      </w:r>
      <w:r w:rsidRPr="00570DEC">
        <w:rPr>
          <w:color w:val="000000"/>
        </w:rPr>
        <w:t>вой информации по вопросам освещения случаев торговли людьми без повто</w:t>
      </w:r>
      <w:r w:rsidRPr="00570DEC">
        <w:rPr>
          <w:color w:val="000000"/>
        </w:rPr>
        <w:t>р</w:t>
      </w:r>
      <w:r w:rsidRPr="00570DEC">
        <w:rPr>
          <w:color w:val="000000"/>
        </w:rPr>
        <w:t>ной виктимизации жертв (в том числе детей). Для представителей местных о</w:t>
      </w:r>
      <w:r w:rsidRPr="00570DEC">
        <w:rPr>
          <w:color w:val="000000"/>
        </w:rPr>
        <w:t>р</w:t>
      </w:r>
      <w:r w:rsidRPr="00570DEC">
        <w:rPr>
          <w:color w:val="000000"/>
        </w:rPr>
        <w:t>ганов власти также были проведены учебные мероприятия по предупреждению торговли детьми и разработке локальных нормативных актов о предупрежд</w:t>
      </w:r>
      <w:r w:rsidRPr="00570DEC">
        <w:rPr>
          <w:color w:val="000000"/>
        </w:rPr>
        <w:t>е</w:t>
      </w:r>
      <w:r w:rsidRPr="00570DEC">
        <w:rPr>
          <w:color w:val="000000"/>
        </w:rPr>
        <w:t>нии торговли детьми в их деревнях. Кроме того, были подготовлены информ</w:t>
      </w:r>
      <w:r w:rsidRPr="00570DEC">
        <w:rPr>
          <w:color w:val="000000"/>
        </w:rPr>
        <w:t>а</w:t>
      </w:r>
      <w:r w:rsidRPr="00570DEC">
        <w:rPr>
          <w:color w:val="000000"/>
        </w:rPr>
        <w:t>ционно-разъяснительные материалы о предупреждении торговли детьми и людьми в целом, в том числе плакаты, листовки, транспаранты, информацио</w:t>
      </w:r>
      <w:r w:rsidRPr="00570DEC">
        <w:rPr>
          <w:color w:val="000000"/>
        </w:rPr>
        <w:t>н</w:t>
      </w:r>
      <w:r w:rsidRPr="00570DEC">
        <w:rPr>
          <w:color w:val="000000"/>
        </w:rPr>
        <w:t xml:space="preserve">ные письма, которые распространялись среди различных заинтересованных сторон, поставщиков услуг и в государственных школах. </w:t>
      </w:r>
    </w:p>
    <w:p w:rsidR="00AD593A" w:rsidRPr="00570DEC" w:rsidRDefault="00AD593A" w:rsidP="00AD593A">
      <w:pPr>
        <w:pStyle w:val="SingleTxt"/>
        <w:rPr>
          <w:color w:val="000000"/>
        </w:rPr>
      </w:pPr>
      <w:r w:rsidRPr="00570DEC">
        <w:rPr>
          <w:color w:val="000000"/>
        </w:rPr>
        <w:t>51.</w:t>
      </w:r>
      <w:r w:rsidRPr="00570DEC">
        <w:rPr>
          <w:color w:val="000000"/>
        </w:rPr>
        <w:tab/>
        <w:t>Государство-участник завершает разработку подзаконных актов к Закону о борьбе с торговлей людьми 2008 года и выделило средства (хотя и в минимальном размере) на осуществление Национального плана действий по борьбе с торговлей людьми на 2013–2017 годы, включающего услуги по з</w:t>
      </w:r>
      <w:r w:rsidRPr="00570DEC">
        <w:rPr>
          <w:color w:val="000000"/>
        </w:rPr>
        <w:t>а</w:t>
      </w:r>
      <w:r w:rsidRPr="00570DEC">
        <w:rPr>
          <w:color w:val="000000"/>
        </w:rPr>
        <w:t>щите детей и оказанию им поддержки.</w:t>
      </w:r>
    </w:p>
    <w:p w:rsidR="00AD593A" w:rsidRPr="00570DEC" w:rsidRDefault="00AD593A" w:rsidP="00AD593A">
      <w:pPr>
        <w:pStyle w:val="SingleTxt"/>
        <w:rPr>
          <w:color w:val="000000"/>
        </w:rPr>
      </w:pPr>
      <w:r w:rsidRPr="00570DEC">
        <w:rPr>
          <w:bCs/>
          <w:color w:val="000000"/>
        </w:rPr>
        <w:t>52.</w:t>
      </w:r>
      <w:r w:rsidRPr="00570DEC">
        <w:rPr>
          <w:bCs/>
          <w:color w:val="000000"/>
        </w:rPr>
        <w:tab/>
        <w:t>Для координации действий по осуществлению данного Закона был создан Национальный комитет. Кроме того, Министерство внутренних дел и Мин</w:t>
      </w:r>
      <w:r w:rsidRPr="00570DEC">
        <w:rPr>
          <w:bCs/>
          <w:color w:val="000000"/>
        </w:rPr>
        <w:t>и</w:t>
      </w:r>
      <w:r w:rsidRPr="00570DEC">
        <w:rPr>
          <w:bCs/>
          <w:color w:val="000000"/>
        </w:rPr>
        <w:t>стерство здравоохранения и социальной защиты (МЗСЗ) государства-участника в сотрудничестве с Международной организацией по миграции (МОМ) подг</w:t>
      </w:r>
      <w:r w:rsidRPr="00570DEC">
        <w:rPr>
          <w:bCs/>
          <w:color w:val="000000"/>
        </w:rPr>
        <w:t>о</w:t>
      </w:r>
      <w:r w:rsidRPr="00570DEC">
        <w:rPr>
          <w:bCs/>
          <w:color w:val="000000"/>
        </w:rPr>
        <w:t>товили проект стандартных оперативных процедур (СОП), которые планируе</w:t>
      </w:r>
      <w:r w:rsidRPr="00570DEC">
        <w:rPr>
          <w:bCs/>
          <w:color w:val="000000"/>
        </w:rPr>
        <w:t>т</w:t>
      </w:r>
      <w:r w:rsidRPr="00570DEC">
        <w:rPr>
          <w:bCs/>
          <w:color w:val="000000"/>
        </w:rPr>
        <w:t>ся принять позднее, после проведения консультаций с заинтересованными го</w:t>
      </w:r>
      <w:r w:rsidRPr="00570DEC">
        <w:rPr>
          <w:bCs/>
          <w:color w:val="000000"/>
        </w:rPr>
        <w:t>с</w:t>
      </w:r>
      <w:r w:rsidRPr="00570DEC">
        <w:rPr>
          <w:bCs/>
          <w:color w:val="000000"/>
        </w:rPr>
        <w:t>ударственными и негосударственными субъектами</w:t>
      </w:r>
      <w:r w:rsidRPr="00570DEC">
        <w:rPr>
          <w:color w:val="000000"/>
        </w:rPr>
        <w:t>. Эти СОП предназначены для оказания помощи жертвам торговли людьми (в том числе женщинам). В июле 2014 года секретариат по вопросам борьбы с торговлей людьми и другие заинтересованные стороны, такие как полиция, прокуроры, мировые судьи, р</w:t>
      </w:r>
      <w:r w:rsidRPr="00570DEC">
        <w:rPr>
          <w:color w:val="000000"/>
        </w:rPr>
        <w:t>а</w:t>
      </w:r>
      <w:r w:rsidRPr="00570DEC">
        <w:rPr>
          <w:color w:val="000000"/>
        </w:rPr>
        <w:t>ботники в сфере социальной защиты, практикующие врачи и представители НПО, провели совещание по вопросу о разработке СОП, в которых будут и</w:t>
      </w:r>
      <w:r w:rsidRPr="00570DEC">
        <w:rPr>
          <w:color w:val="000000"/>
        </w:rPr>
        <w:t>з</w:t>
      </w:r>
      <w:r w:rsidRPr="00570DEC">
        <w:rPr>
          <w:color w:val="000000"/>
        </w:rPr>
        <w:t>ложены нормы законов и обязанности всех участвующих сторон, а также сформулированы руководящие указания по вопросам рассмотрения дел и о</w:t>
      </w:r>
      <w:r w:rsidRPr="00570DEC">
        <w:rPr>
          <w:color w:val="000000"/>
        </w:rPr>
        <w:t>б</w:t>
      </w:r>
      <w:r w:rsidRPr="00570DEC">
        <w:rPr>
          <w:color w:val="000000"/>
        </w:rPr>
        <w:t>мена информацией. Кроме того, государство-участник приняло Национальный план действий по борьбе с торговлей людьми и завершает разработку подз</w:t>
      </w:r>
      <w:r w:rsidRPr="00570DEC">
        <w:rPr>
          <w:color w:val="000000"/>
        </w:rPr>
        <w:t>а</w:t>
      </w:r>
      <w:r w:rsidRPr="00570DEC">
        <w:rPr>
          <w:color w:val="000000"/>
        </w:rPr>
        <w:t>конных актов к этому Закону.</w:t>
      </w:r>
    </w:p>
    <w:p w:rsidR="00AD593A" w:rsidRDefault="00AD593A" w:rsidP="00AD593A">
      <w:pPr>
        <w:pStyle w:val="SingleTxt"/>
        <w:rPr>
          <w:color w:val="000000"/>
        </w:rPr>
      </w:pPr>
      <w:r w:rsidRPr="00570DEC">
        <w:rPr>
          <w:color w:val="000000"/>
        </w:rPr>
        <w:t>53.</w:t>
      </w:r>
      <w:r w:rsidRPr="00570DEC">
        <w:rPr>
          <w:color w:val="000000"/>
        </w:rPr>
        <w:tab/>
        <w:t>Совместно с партнерами в области развития государство-участник пров</w:t>
      </w:r>
      <w:r w:rsidRPr="00570DEC">
        <w:rPr>
          <w:color w:val="000000"/>
        </w:rPr>
        <w:t>е</w:t>
      </w:r>
      <w:r w:rsidRPr="00570DEC">
        <w:rPr>
          <w:color w:val="000000"/>
        </w:rPr>
        <w:t>ло обучение сотрудников пенитенциарных учреждений в целях создания в этих учреждениях штата юридических сотрудников среднего звена, которые оказ</w:t>
      </w:r>
      <w:r w:rsidRPr="00570DEC">
        <w:rPr>
          <w:color w:val="000000"/>
        </w:rPr>
        <w:t>ы</w:t>
      </w:r>
      <w:r w:rsidRPr="00570DEC">
        <w:rPr>
          <w:color w:val="000000"/>
        </w:rPr>
        <w:t>вали бы правовую помощь, в частности женщинам и детям; кроме того, гос</w:t>
      </w:r>
      <w:r w:rsidRPr="00570DEC">
        <w:rPr>
          <w:color w:val="000000"/>
        </w:rPr>
        <w:t>у</w:t>
      </w:r>
      <w:r w:rsidRPr="00570DEC">
        <w:rPr>
          <w:color w:val="000000"/>
        </w:rPr>
        <w:t>дарство-участник оказало непосредственную правовую помощь 515 находившимся в Танзании беженцам: 404 мужчинам (включая пять нес</w:t>
      </w:r>
      <w:r w:rsidRPr="00570DEC">
        <w:rPr>
          <w:color w:val="000000"/>
        </w:rPr>
        <w:t>о</w:t>
      </w:r>
      <w:r w:rsidRPr="00570DEC">
        <w:rPr>
          <w:color w:val="000000"/>
        </w:rPr>
        <w:t>вершеннолетних) и 101 женщине (среди женщин не было несовершенноле</w:t>
      </w:r>
      <w:r w:rsidRPr="00570DEC">
        <w:rPr>
          <w:color w:val="000000"/>
        </w:rPr>
        <w:t>т</w:t>
      </w:r>
      <w:r w:rsidRPr="00570DEC">
        <w:rPr>
          <w:color w:val="000000"/>
        </w:rPr>
        <w:t>них). В 2014 году УВКБ продолжило сотрудничать с ЦППЖ, МВД, судебными органами и Комитетом Танзании по контролю за рассмотрением дел в целях предоставления юридических услуг всем заключенным беженцам и обеспеч</w:t>
      </w:r>
      <w:r w:rsidRPr="00570DEC">
        <w:rPr>
          <w:color w:val="000000"/>
        </w:rPr>
        <w:t>е</w:t>
      </w:r>
      <w:r w:rsidRPr="00570DEC">
        <w:rPr>
          <w:color w:val="000000"/>
        </w:rPr>
        <w:t>ния их представительства в суде, особенно в целях повышения качества юр</w:t>
      </w:r>
      <w:r w:rsidRPr="00570DEC">
        <w:rPr>
          <w:color w:val="000000"/>
        </w:rPr>
        <w:t>и</w:t>
      </w:r>
      <w:r w:rsidRPr="00570DEC">
        <w:rPr>
          <w:color w:val="000000"/>
        </w:rPr>
        <w:t>дической помощи, оказываемой детям и женщинам в тюрьмах. УВКБ тесно с</w:t>
      </w:r>
      <w:r w:rsidRPr="00570DEC">
        <w:rPr>
          <w:color w:val="000000"/>
        </w:rPr>
        <w:t>о</w:t>
      </w:r>
      <w:r w:rsidRPr="00570DEC">
        <w:rPr>
          <w:color w:val="000000"/>
        </w:rPr>
        <w:t>трудничало с МВД (с департаментами по делам полиции, иммиграции, тюрем и беженцев) и МОМ в целях повышения потенциала государства в области з</w:t>
      </w:r>
      <w:r w:rsidRPr="00570DEC">
        <w:rPr>
          <w:color w:val="000000"/>
        </w:rPr>
        <w:t>а</w:t>
      </w:r>
      <w:r w:rsidRPr="00570DEC">
        <w:rPr>
          <w:color w:val="000000"/>
        </w:rPr>
        <w:t>щиты беженцев и международной миграции. В частности, был организован ряд занятий по обеспечению тесного взаимодействия при проверке нелегальных мигрантов, выявлении среди них лиц, ищущих убежища, и оказании соде</w:t>
      </w:r>
      <w:r w:rsidRPr="00570DEC">
        <w:rPr>
          <w:color w:val="000000"/>
        </w:rPr>
        <w:t>й</w:t>
      </w:r>
      <w:r w:rsidRPr="00570DEC">
        <w:rPr>
          <w:color w:val="000000"/>
        </w:rPr>
        <w:t>ствия тем, кто выражает добровольное желание вернуться в страну происхо</w:t>
      </w:r>
      <w:r w:rsidRPr="00570DEC">
        <w:rPr>
          <w:color w:val="000000"/>
        </w:rPr>
        <w:t>ж</w:t>
      </w:r>
      <w:r w:rsidRPr="00570DEC">
        <w:rPr>
          <w:color w:val="000000"/>
        </w:rPr>
        <w:t>дения. УВКБ приложило немало усилий по разработке меморандумов о вза</w:t>
      </w:r>
      <w:r w:rsidRPr="00570DEC">
        <w:rPr>
          <w:color w:val="000000"/>
        </w:rPr>
        <w:t>и</w:t>
      </w:r>
      <w:r w:rsidRPr="00570DEC">
        <w:rPr>
          <w:color w:val="000000"/>
        </w:rPr>
        <w:t>мопонимании с различными государственными ведомствами, в том числе с с</w:t>
      </w:r>
      <w:r w:rsidRPr="00570DEC">
        <w:rPr>
          <w:color w:val="000000"/>
        </w:rPr>
        <w:t>у</w:t>
      </w:r>
      <w:r w:rsidRPr="00570DEC">
        <w:rPr>
          <w:color w:val="000000"/>
        </w:rPr>
        <w:t>дебными органами, Главным управлением тюрем, Агентством по регистрации, неплатежеспособности и опеке (РИТА) и Национальным управлением по идентификации (НИДА), в целях гармонизации процедур защиты прав и стат</w:t>
      </w:r>
      <w:r w:rsidRPr="00570DEC">
        <w:rPr>
          <w:color w:val="000000"/>
        </w:rPr>
        <w:t>у</w:t>
      </w:r>
      <w:r w:rsidRPr="00570DEC">
        <w:rPr>
          <w:color w:val="000000"/>
        </w:rPr>
        <w:t>са беженцев.</w:t>
      </w:r>
    </w:p>
    <w:p w:rsidR="00AD593A" w:rsidRPr="00AD593A" w:rsidRDefault="00AD593A" w:rsidP="00AD593A">
      <w:pPr>
        <w:pStyle w:val="SingleTxt"/>
        <w:spacing w:after="0" w:line="120" w:lineRule="exact"/>
        <w:rPr>
          <w:color w:val="000000"/>
          <w:sz w:val="10"/>
        </w:rPr>
      </w:pPr>
    </w:p>
    <w:p w:rsidR="00AD593A" w:rsidRPr="00570DEC" w:rsidRDefault="00AD593A" w:rsidP="00AD59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7" w:name="_Toc401576667"/>
      <w:r w:rsidRPr="00570DEC">
        <w:tab/>
      </w:r>
      <w:bookmarkStart w:id="28" w:name="_Toc417398639"/>
      <w:r w:rsidRPr="00570DEC">
        <w:t>1.1.7</w:t>
      </w:r>
      <w:r w:rsidRPr="00570DEC">
        <w:tab/>
      </w:r>
      <w:bookmarkEnd w:id="27"/>
      <w:r w:rsidRPr="00570DEC">
        <w:t>Участие в политической и общественной жизни</w:t>
      </w:r>
      <w:bookmarkEnd w:id="28"/>
    </w:p>
    <w:p w:rsidR="00AD593A" w:rsidRPr="00AD593A" w:rsidRDefault="00AD593A" w:rsidP="00AD593A">
      <w:pPr>
        <w:pStyle w:val="SingleTxt"/>
        <w:spacing w:after="0" w:line="120" w:lineRule="exact"/>
        <w:rPr>
          <w:bCs/>
          <w:color w:val="000000"/>
          <w:sz w:val="10"/>
        </w:rPr>
      </w:pPr>
    </w:p>
    <w:p w:rsidR="00AD593A" w:rsidRPr="00570DEC" w:rsidRDefault="00AD593A" w:rsidP="00AD593A">
      <w:pPr>
        <w:pStyle w:val="SingleTxt"/>
        <w:rPr>
          <w:color w:val="000000"/>
        </w:rPr>
      </w:pPr>
      <w:r w:rsidRPr="00570DEC">
        <w:rPr>
          <w:bCs/>
          <w:color w:val="000000"/>
        </w:rPr>
        <w:t>54.</w:t>
      </w:r>
      <w:r w:rsidRPr="00570DEC">
        <w:rPr>
          <w:bCs/>
          <w:color w:val="000000"/>
        </w:rPr>
        <w:tab/>
        <w:t>Государство-участник принимало различные меры, направленные на п</w:t>
      </w:r>
      <w:r w:rsidRPr="00570DEC">
        <w:rPr>
          <w:bCs/>
          <w:color w:val="000000"/>
        </w:rPr>
        <w:t>о</w:t>
      </w:r>
      <w:r w:rsidRPr="00570DEC">
        <w:rPr>
          <w:bCs/>
          <w:color w:val="000000"/>
        </w:rPr>
        <w:t>ощрение полноценного и равноправного участия женщин в процессе принятия решений во всех сферах общественной и профессиональной жизни</w:t>
      </w:r>
      <w:r>
        <w:rPr>
          <w:rStyle w:val="FootnoteReference"/>
          <w:bCs/>
          <w:color w:val="000000"/>
        </w:rPr>
        <w:footnoteReference w:id="55"/>
      </w:r>
      <w:r w:rsidRPr="00570DEC">
        <w:rPr>
          <w:bCs/>
          <w:color w:val="000000"/>
        </w:rPr>
        <w:t>. С этой целью государство-участник осуществило конституционные, законодательные, политические и административные меры, обеспечивающие участие женщин в политической и общественной жизни наравне с мужчинами</w:t>
      </w:r>
      <w:r w:rsidRPr="00570DEC">
        <w:rPr>
          <w:color w:val="000000"/>
        </w:rPr>
        <w:t>. В частности, в с</w:t>
      </w:r>
      <w:r w:rsidRPr="00570DEC">
        <w:rPr>
          <w:color w:val="000000"/>
        </w:rPr>
        <w:t>о</w:t>
      </w:r>
      <w:r w:rsidRPr="00570DEC">
        <w:rPr>
          <w:color w:val="000000"/>
        </w:rPr>
        <w:t>ответствии со статьей 66 (1) </w:t>
      </w:r>
      <w:r w:rsidRPr="00570DEC">
        <w:rPr>
          <w:color w:val="000000"/>
          <w:lang w:val="en-US"/>
        </w:rPr>
        <w:t>b</w:t>
      </w:r>
      <w:r w:rsidRPr="00570DEC">
        <w:rPr>
          <w:color w:val="000000"/>
        </w:rPr>
        <w:t>) Конституции Танзании (1977</w:t>
      </w:r>
      <w:r w:rsidRPr="00570DEC">
        <w:rPr>
          <w:color w:val="000000"/>
          <w:lang w:val="en-US"/>
        </w:rPr>
        <w:t> </w:t>
      </w:r>
      <w:r w:rsidRPr="00570DEC">
        <w:rPr>
          <w:color w:val="000000"/>
        </w:rPr>
        <w:t>год) женщины должны составлять как минимум 30</w:t>
      </w:r>
      <w:r w:rsidRPr="00570DEC">
        <w:rPr>
          <w:color w:val="000000"/>
          <w:lang w:val="en-US"/>
        </w:rPr>
        <w:t> </w:t>
      </w:r>
      <w:r w:rsidRPr="00570DEC">
        <w:rPr>
          <w:color w:val="000000"/>
        </w:rPr>
        <w:t>процентов общего числа избранных чл</w:t>
      </w:r>
      <w:r w:rsidRPr="00570DEC">
        <w:rPr>
          <w:color w:val="000000"/>
        </w:rPr>
        <w:t>е</w:t>
      </w:r>
      <w:r w:rsidRPr="00570DEC">
        <w:rPr>
          <w:color w:val="000000"/>
        </w:rPr>
        <w:t>нов парламента (Национального собрания) (ЧП). За отчетный период колич</w:t>
      </w:r>
      <w:r w:rsidRPr="00570DEC">
        <w:rPr>
          <w:color w:val="000000"/>
        </w:rPr>
        <w:t>е</w:t>
      </w:r>
      <w:r w:rsidRPr="00570DEC">
        <w:rPr>
          <w:color w:val="000000"/>
        </w:rPr>
        <w:t xml:space="preserve">ство специально выделенных мест для ЧП увеличилось с 48 в 2005 году до 102 в 2013 году; таким образом, соотношение между женщинами и мужчинами в парламенте составляет примерно 1 к 2. Данные, приведенные в </w:t>
      </w:r>
      <w:r w:rsidRPr="00570DEC">
        <w:rPr>
          <w:b/>
          <w:color w:val="000000"/>
        </w:rPr>
        <w:t>таблицах</w:t>
      </w:r>
      <w:r>
        <w:rPr>
          <w:b/>
          <w:color w:val="000000"/>
        </w:rPr>
        <w:t> </w:t>
      </w:r>
      <w:r w:rsidRPr="00570DEC">
        <w:rPr>
          <w:b/>
          <w:color w:val="000000"/>
        </w:rPr>
        <w:t>1</w:t>
      </w:r>
      <w:r w:rsidRPr="00570DEC">
        <w:rPr>
          <w:color w:val="000000"/>
        </w:rPr>
        <w:t xml:space="preserve"> и </w:t>
      </w:r>
      <w:r w:rsidRPr="00570DEC">
        <w:rPr>
          <w:b/>
          <w:color w:val="000000"/>
        </w:rPr>
        <w:t>3</w:t>
      </w:r>
      <w:r w:rsidRPr="00570DEC">
        <w:rPr>
          <w:color w:val="000000"/>
        </w:rPr>
        <w:t xml:space="preserve"> </w:t>
      </w:r>
      <w:r w:rsidRPr="00570DEC">
        <w:rPr>
          <w:b/>
          <w:color w:val="000000"/>
        </w:rPr>
        <w:t>приложения</w:t>
      </w:r>
      <w:r>
        <w:rPr>
          <w:b/>
          <w:color w:val="000000"/>
        </w:rPr>
        <w:t> </w:t>
      </w:r>
      <w:r w:rsidRPr="00570DEC">
        <w:rPr>
          <w:b/>
          <w:color w:val="000000"/>
        </w:rPr>
        <w:t>А</w:t>
      </w:r>
      <w:r w:rsidRPr="00570DEC">
        <w:rPr>
          <w:color w:val="000000"/>
        </w:rPr>
        <w:t xml:space="preserve">, свидетельствуют о значительном увеличении численности женщин в директивных органах. В таблице ниже сопоставляются данные о представительстве женщин в директивных органах Танзании в 2004 и 2013 годах. </w:t>
      </w:r>
    </w:p>
    <w:p w:rsidR="00AD593A" w:rsidRPr="00570DEC" w:rsidRDefault="00AD593A" w:rsidP="00AD593A">
      <w:pPr>
        <w:pStyle w:val="SingleTxt"/>
        <w:rPr>
          <w:color w:val="000000"/>
        </w:rPr>
      </w:pPr>
      <w:r w:rsidRPr="00570DEC">
        <w:rPr>
          <w:color w:val="000000"/>
        </w:rPr>
        <w:t>55.</w:t>
      </w:r>
      <w:r w:rsidRPr="00570DEC">
        <w:rPr>
          <w:color w:val="000000"/>
        </w:rPr>
        <w:tab/>
        <w:t>Вместе с тем, согласно статье 54 проекта конституции Объединенной Республики Танзания, каждая женщина имеет право принимать участие в в</w:t>
      </w:r>
      <w:r w:rsidRPr="00570DEC">
        <w:rPr>
          <w:color w:val="000000"/>
        </w:rPr>
        <w:t>ы</w:t>
      </w:r>
      <w:r w:rsidRPr="00570DEC">
        <w:rPr>
          <w:color w:val="000000"/>
        </w:rPr>
        <w:t>борах на всех политических уровнях без какой-либо дискриминации, а также имеет право быть назначенной на руководящий пост в правительстве.</w:t>
      </w:r>
    </w:p>
    <w:p w:rsidR="00AD593A" w:rsidRPr="00570DEC" w:rsidRDefault="00AD593A" w:rsidP="00AD593A">
      <w:pPr>
        <w:pStyle w:val="SingleTxt"/>
        <w:rPr>
          <w:color w:val="000000"/>
        </w:rPr>
      </w:pPr>
      <w:r w:rsidRPr="00570DEC">
        <w:rPr>
          <w:color w:val="000000"/>
        </w:rPr>
        <w:t>56.</w:t>
      </w:r>
      <w:r w:rsidRPr="00570DEC">
        <w:rPr>
          <w:color w:val="000000"/>
        </w:rPr>
        <w:tab/>
        <w:t xml:space="preserve">На материковой части Танзании государство-участник прилагало усилия к обеспечению увеличения численности женщин в местных советах в каждой области, как показано в </w:t>
      </w:r>
      <w:r w:rsidRPr="00570DEC">
        <w:rPr>
          <w:b/>
          <w:color w:val="000000"/>
        </w:rPr>
        <w:t>таблицах 1–3</w:t>
      </w:r>
      <w:r w:rsidRPr="00570DEC">
        <w:rPr>
          <w:color w:val="000000"/>
        </w:rPr>
        <w:t xml:space="preserve"> </w:t>
      </w:r>
      <w:r w:rsidRPr="00570DEC">
        <w:rPr>
          <w:b/>
          <w:color w:val="000000"/>
        </w:rPr>
        <w:t>приложения А</w:t>
      </w:r>
      <w:r w:rsidRPr="00570DEC">
        <w:rPr>
          <w:color w:val="000000"/>
        </w:rPr>
        <w:t>. В настоящее время пр</w:t>
      </w:r>
      <w:r w:rsidRPr="00570DEC">
        <w:rPr>
          <w:color w:val="000000"/>
        </w:rPr>
        <w:t>о</w:t>
      </w:r>
      <w:r w:rsidRPr="00570DEC">
        <w:rPr>
          <w:color w:val="000000"/>
        </w:rPr>
        <w:t>цедуры найма и отбора на государственную службу регламентируются след</w:t>
      </w:r>
      <w:r w:rsidRPr="00570DEC">
        <w:rPr>
          <w:color w:val="000000"/>
        </w:rPr>
        <w:t>у</w:t>
      </w:r>
      <w:r w:rsidRPr="00570DEC">
        <w:rPr>
          <w:color w:val="000000"/>
        </w:rPr>
        <w:t>ющими правовыми документами: Законом о государственной службе (2002 год)</w:t>
      </w:r>
      <w:r>
        <w:rPr>
          <w:rStyle w:val="FootnoteReference"/>
          <w:color w:val="000000"/>
        </w:rPr>
        <w:footnoteReference w:id="56"/>
      </w:r>
      <w:r w:rsidRPr="00570DEC">
        <w:rPr>
          <w:color w:val="000000"/>
        </w:rPr>
        <w:t>, Положением о государственной службе (2003 год), Штатным ра</w:t>
      </w:r>
      <w:r w:rsidRPr="00570DEC">
        <w:rPr>
          <w:color w:val="000000"/>
        </w:rPr>
        <w:t>с</w:t>
      </w:r>
      <w:r w:rsidRPr="00570DEC">
        <w:rPr>
          <w:color w:val="000000"/>
        </w:rPr>
        <w:t>писанием государственной службы (2003 год), Руководящими указаниями по трудоустройству, Штатным расписанием служб и циркулярами учреждений</w:t>
      </w:r>
      <w:r>
        <w:rPr>
          <w:rStyle w:val="FootnoteReference"/>
          <w:color w:val="000000"/>
        </w:rPr>
        <w:footnoteReference w:id="57"/>
      </w:r>
      <w:r w:rsidRPr="00570DEC">
        <w:rPr>
          <w:color w:val="000000"/>
        </w:rPr>
        <w:t>. Согласно правилу 4 Положения о государственной службе (2003 год) женщины получают преимущество в процессе найма и отбора, если мужчина и женщина, претендующие на должность, показывают одинаковые результаты при ко</w:t>
      </w:r>
      <w:r w:rsidRPr="00570DEC">
        <w:rPr>
          <w:color w:val="000000"/>
        </w:rPr>
        <w:t>н</w:t>
      </w:r>
      <w:r w:rsidRPr="00570DEC">
        <w:rPr>
          <w:color w:val="000000"/>
        </w:rPr>
        <w:t>курсном отборе: в этом случае, в целях увеличения числа женщин, участву</w:t>
      </w:r>
      <w:r w:rsidRPr="00570DEC">
        <w:rPr>
          <w:color w:val="000000"/>
        </w:rPr>
        <w:t>ю</w:t>
      </w:r>
      <w:r w:rsidRPr="00570DEC">
        <w:rPr>
          <w:color w:val="000000"/>
        </w:rPr>
        <w:t>щих в общественной жизни, на должность зачисляется женщина. В течение о</w:t>
      </w:r>
      <w:r w:rsidRPr="00570DEC">
        <w:rPr>
          <w:color w:val="000000"/>
        </w:rPr>
        <w:t>т</w:t>
      </w:r>
      <w:r w:rsidRPr="00570DEC">
        <w:rPr>
          <w:color w:val="000000"/>
        </w:rPr>
        <w:t xml:space="preserve">четного периода государство-участник продолжало применять эту норму. </w:t>
      </w:r>
    </w:p>
    <w:p w:rsidR="00AD593A" w:rsidRPr="00570DEC" w:rsidRDefault="00AD593A" w:rsidP="00AD593A">
      <w:pPr>
        <w:pStyle w:val="SingleTxt"/>
        <w:rPr>
          <w:color w:val="000000"/>
        </w:rPr>
      </w:pPr>
      <w:r w:rsidRPr="00570DEC">
        <w:rPr>
          <w:color w:val="000000"/>
        </w:rPr>
        <w:t>57.</w:t>
      </w:r>
      <w:r w:rsidRPr="00570DEC">
        <w:rPr>
          <w:color w:val="000000"/>
        </w:rPr>
        <w:tab/>
        <w:t>Тем не менее государство-участник все еще сталкивается с рядом препя</w:t>
      </w:r>
      <w:r w:rsidRPr="00570DEC">
        <w:rPr>
          <w:color w:val="000000"/>
        </w:rPr>
        <w:t>т</w:t>
      </w:r>
      <w:r w:rsidRPr="00570DEC">
        <w:rPr>
          <w:color w:val="000000"/>
        </w:rPr>
        <w:t>ствий в процессе достижении цели по уравниванию статуса женщин и мужчин в общественной и политической жизни. Одним из таких препятствий являются традиции и культурное наследие некоторых слоев общества в стране, которые низводят женщин до положения маргинализованной группы, поскольку многие женщины были лишены возможности получить образование, вследствие чего большинство из них не обладают достаточной квалификацией для занятия ра</w:t>
      </w:r>
      <w:r w:rsidRPr="00570DEC">
        <w:rPr>
          <w:color w:val="000000"/>
        </w:rPr>
        <w:t>з</w:t>
      </w:r>
      <w:r w:rsidRPr="00570DEC">
        <w:rPr>
          <w:color w:val="000000"/>
        </w:rPr>
        <w:t>личных постов на государственной службе. Чтобы преодолеть это препятствие, государство-участник начало проводить различные кампании по повышению осведомленности общественности, о чем будет подробнее сказано ниже.</w:t>
      </w:r>
    </w:p>
    <w:p w:rsidR="00AD593A" w:rsidRPr="00570DEC" w:rsidRDefault="00AD593A" w:rsidP="00AD593A">
      <w:pPr>
        <w:pStyle w:val="SingleTxt"/>
        <w:rPr>
          <w:color w:val="000000"/>
        </w:rPr>
      </w:pPr>
      <w:r w:rsidRPr="00570DEC">
        <w:rPr>
          <w:color w:val="000000"/>
        </w:rPr>
        <w:t>58.</w:t>
      </w:r>
      <w:r w:rsidRPr="00570DEC">
        <w:rPr>
          <w:color w:val="000000"/>
        </w:rPr>
        <w:tab/>
        <w:t xml:space="preserve">Что касается Занзибара, то, как показано в </w:t>
      </w:r>
      <w:r w:rsidRPr="00570DEC">
        <w:rPr>
          <w:b/>
          <w:color w:val="000000"/>
        </w:rPr>
        <w:t>таблице</w:t>
      </w:r>
      <w:r>
        <w:rPr>
          <w:b/>
          <w:color w:val="000000"/>
        </w:rPr>
        <w:t> </w:t>
      </w:r>
      <w:r w:rsidRPr="00570DEC">
        <w:rPr>
          <w:b/>
          <w:color w:val="000000"/>
        </w:rPr>
        <w:t>2</w:t>
      </w:r>
      <w:r w:rsidRPr="00570DEC">
        <w:rPr>
          <w:color w:val="000000"/>
        </w:rPr>
        <w:t xml:space="preserve"> </w:t>
      </w:r>
      <w:r w:rsidRPr="00570DEC">
        <w:rPr>
          <w:b/>
          <w:color w:val="000000"/>
        </w:rPr>
        <w:t>приложения</w:t>
      </w:r>
      <w:r>
        <w:rPr>
          <w:b/>
          <w:color w:val="000000"/>
        </w:rPr>
        <w:t> </w:t>
      </w:r>
      <w:r w:rsidRPr="00570DEC">
        <w:rPr>
          <w:b/>
          <w:color w:val="000000"/>
        </w:rPr>
        <w:t>А</w:t>
      </w:r>
      <w:r w:rsidRPr="00570DEC">
        <w:rPr>
          <w:color w:val="000000"/>
        </w:rPr>
        <w:t>, государство-участник выполнило полученную рекомендацию и приняло ко</w:t>
      </w:r>
      <w:r w:rsidRPr="00570DEC">
        <w:rPr>
          <w:color w:val="000000"/>
        </w:rPr>
        <w:t>н</w:t>
      </w:r>
      <w:r w:rsidRPr="00570DEC">
        <w:rPr>
          <w:color w:val="000000"/>
        </w:rPr>
        <w:t>кретные меры в виде законов, мер политики и программ, направленных на обеспечение изменения положения женщин и перехода от маргинализации женщин к партнерству, достоинству и равноправию. После пересмотра Ко</w:t>
      </w:r>
      <w:r w:rsidRPr="00570DEC">
        <w:rPr>
          <w:color w:val="000000"/>
        </w:rPr>
        <w:t>н</w:t>
      </w:r>
      <w:r w:rsidRPr="00570DEC">
        <w:rPr>
          <w:color w:val="000000"/>
        </w:rPr>
        <w:t>ституции За</w:t>
      </w:r>
      <w:r w:rsidRPr="00570DEC">
        <w:rPr>
          <w:color w:val="000000"/>
        </w:rPr>
        <w:t>н</w:t>
      </w:r>
      <w:r w:rsidRPr="00570DEC">
        <w:rPr>
          <w:color w:val="000000"/>
        </w:rPr>
        <w:t>зибара в 2003 году доля зарезервированных за женщинами мест в Палате представителей (ПП) выросла в период 2003–2009 годов до 30 процентов, и гендерное соотношение выглядит следующим образом: на о</w:t>
      </w:r>
      <w:r w:rsidRPr="00570DEC">
        <w:rPr>
          <w:color w:val="000000"/>
        </w:rPr>
        <w:t>д</w:t>
      </w:r>
      <w:r w:rsidRPr="00570DEC">
        <w:rPr>
          <w:color w:val="000000"/>
        </w:rPr>
        <w:t>ну женщину приходится примерно трое мужчин. В</w:t>
      </w:r>
      <w:r>
        <w:rPr>
          <w:color w:val="000000"/>
          <w:lang w:val="en-US"/>
        </w:rPr>
        <w:t> </w:t>
      </w:r>
      <w:r w:rsidRPr="00570DEC">
        <w:rPr>
          <w:color w:val="000000"/>
        </w:rPr>
        <w:t>соответствии с десятой п</w:t>
      </w:r>
      <w:r w:rsidRPr="00570DEC">
        <w:rPr>
          <w:color w:val="000000"/>
        </w:rPr>
        <w:t>о</w:t>
      </w:r>
      <w:r w:rsidRPr="00570DEC">
        <w:rPr>
          <w:color w:val="000000"/>
        </w:rPr>
        <w:t>правкой к Конституции Занзибара, принятой в 2010 году, доля женщин среди членов ПП увеличилась до 40 процентов. Кроме того, муниципальное упра</w:t>
      </w:r>
      <w:r w:rsidRPr="00570DEC">
        <w:rPr>
          <w:color w:val="000000"/>
        </w:rPr>
        <w:t>в</w:t>
      </w:r>
      <w:r w:rsidRPr="00570DEC">
        <w:rPr>
          <w:color w:val="000000"/>
        </w:rPr>
        <w:t>ление Занзибара также з</w:t>
      </w:r>
      <w:r w:rsidRPr="00570DEC">
        <w:rPr>
          <w:color w:val="000000"/>
        </w:rPr>
        <w:t>а</w:t>
      </w:r>
      <w:r w:rsidRPr="00570DEC">
        <w:rPr>
          <w:color w:val="000000"/>
        </w:rPr>
        <w:t>крепило за женщинами 30 процентов мест в местном совете, и в настоящее время 21 член местного совета из 141</w:t>
      </w:r>
      <w:r>
        <w:rPr>
          <w:color w:val="000000"/>
        </w:rPr>
        <w:t xml:space="preserve"> — </w:t>
      </w:r>
      <w:r w:rsidRPr="00570DEC">
        <w:rPr>
          <w:color w:val="000000"/>
        </w:rPr>
        <w:t>женщины. Что касается остальных категорий, то по сравнению с мужчинами женщины нед</w:t>
      </w:r>
      <w:r w:rsidRPr="00570DEC">
        <w:rPr>
          <w:color w:val="000000"/>
        </w:rPr>
        <w:t>о</w:t>
      </w:r>
      <w:r w:rsidRPr="00570DEC">
        <w:rPr>
          <w:color w:val="000000"/>
        </w:rPr>
        <w:t>статочно представлены на различных уровнях принятия решений в правител</w:t>
      </w:r>
      <w:r w:rsidRPr="00570DEC">
        <w:rPr>
          <w:color w:val="000000"/>
        </w:rPr>
        <w:t>ь</w:t>
      </w:r>
      <w:r w:rsidRPr="00570DEC">
        <w:rPr>
          <w:color w:val="000000"/>
        </w:rPr>
        <w:t>стве и НПО вплоть до общинного уровня (шехиа).</w:t>
      </w:r>
    </w:p>
    <w:p w:rsidR="00AD593A" w:rsidRPr="00570DEC" w:rsidRDefault="00AD593A" w:rsidP="00AD593A">
      <w:pPr>
        <w:pStyle w:val="SingleTxt"/>
        <w:rPr>
          <w:color w:val="000000"/>
        </w:rPr>
      </w:pPr>
      <w:r w:rsidRPr="00570DEC">
        <w:rPr>
          <w:color w:val="000000"/>
        </w:rPr>
        <w:t>59.</w:t>
      </w:r>
      <w:r w:rsidRPr="00570DEC">
        <w:rPr>
          <w:color w:val="000000"/>
        </w:rPr>
        <w:tab/>
        <w:t>Расширению участия женщин в ключевых политических структурах и процессах в государстве-участнике также способствует создание форумов для содействия решению важных для них проблем. В соответствии с Конституцией Занзибара ПП имеет право создавать постоянные комитеты в законодательном органе. Таким образом, был создан ряд комитетов, наиболее значимыми из к</w:t>
      </w:r>
      <w:r w:rsidRPr="00570DEC">
        <w:rPr>
          <w:color w:val="000000"/>
        </w:rPr>
        <w:t>о</w:t>
      </w:r>
      <w:r w:rsidRPr="00570DEC">
        <w:rPr>
          <w:color w:val="000000"/>
        </w:rPr>
        <w:t xml:space="preserve">торых являются Комитет по развитию женщин и социальному обеспечению и Комитет по вопросам Конституции и правам человека, в которых гендерные вопросы обсуждаются перед их вынесением на рассмотрение Палаты. Также была учреждена Ассоциация женщин – членов Палаты представителей. В 2010–2014 годах на Занзибаре отмечалось улучшение ситуации с участием женщин в процессах принятия решений. Например, как показано в </w:t>
      </w:r>
      <w:r w:rsidRPr="00570DEC">
        <w:rPr>
          <w:b/>
          <w:color w:val="000000"/>
        </w:rPr>
        <w:t>таблице</w:t>
      </w:r>
      <w:r>
        <w:rPr>
          <w:b/>
          <w:color w:val="000000"/>
        </w:rPr>
        <w:t> </w:t>
      </w:r>
      <w:r w:rsidRPr="00570DEC">
        <w:rPr>
          <w:b/>
          <w:color w:val="000000"/>
        </w:rPr>
        <w:t>2</w:t>
      </w:r>
      <w:r w:rsidRPr="00570DEC">
        <w:rPr>
          <w:color w:val="000000"/>
        </w:rPr>
        <w:t xml:space="preserve"> </w:t>
      </w:r>
      <w:r w:rsidRPr="00570DEC">
        <w:rPr>
          <w:b/>
          <w:color w:val="000000"/>
        </w:rPr>
        <w:t>приложения</w:t>
      </w:r>
      <w:r>
        <w:rPr>
          <w:b/>
          <w:color w:val="000000"/>
        </w:rPr>
        <w:t> </w:t>
      </w:r>
      <w:r w:rsidRPr="00570DEC">
        <w:rPr>
          <w:b/>
          <w:color w:val="000000"/>
        </w:rPr>
        <w:t>А</w:t>
      </w:r>
      <w:r w:rsidRPr="00570DEC">
        <w:rPr>
          <w:color w:val="000000"/>
        </w:rPr>
        <w:t>, женщины составляют 19 процентов общего числа министров (то есть четыре женщины занимают министерские посты) и 57 процентов о</w:t>
      </w:r>
      <w:r w:rsidRPr="00570DEC">
        <w:rPr>
          <w:color w:val="000000"/>
        </w:rPr>
        <w:t>б</w:t>
      </w:r>
      <w:r w:rsidRPr="00570DEC">
        <w:rPr>
          <w:color w:val="000000"/>
        </w:rPr>
        <w:t xml:space="preserve">щего числа заместителей министров (то есть четыре женщины занимают посты заместителей министров). </w:t>
      </w:r>
    </w:p>
    <w:p w:rsidR="00AD593A" w:rsidRPr="00570DEC" w:rsidRDefault="00AD593A" w:rsidP="00AD593A">
      <w:pPr>
        <w:pStyle w:val="SingleTxt"/>
        <w:rPr>
          <w:color w:val="000000"/>
        </w:rPr>
      </w:pPr>
      <w:r w:rsidRPr="00570DEC">
        <w:rPr>
          <w:color w:val="000000"/>
        </w:rPr>
        <w:t>60.</w:t>
      </w:r>
      <w:r w:rsidRPr="00570DEC">
        <w:rPr>
          <w:color w:val="000000"/>
        </w:rPr>
        <w:tab/>
        <w:t>Кроме того, женщины составляют 33 процента членов Палаты представ</w:t>
      </w:r>
      <w:r w:rsidRPr="00570DEC">
        <w:rPr>
          <w:color w:val="000000"/>
        </w:rPr>
        <w:t>и</w:t>
      </w:r>
      <w:r w:rsidRPr="00570DEC">
        <w:rPr>
          <w:color w:val="000000"/>
        </w:rPr>
        <w:t>телей, 33 процента судей Высокого суда Занзибара и 21 процент мировых с</w:t>
      </w:r>
      <w:r w:rsidRPr="00570DEC">
        <w:rPr>
          <w:color w:val="000000"/>
        </w:rPr>
        <w:t>у</w:t>
      </w:r>
      <w:r w:rsidRPr="00570DEC">
        <w:rPr>
          <w:color w:val="000000"/>
        </w:rPr>
        <w:t>дей Занзибара. На уровне министерств 25,8 процента из 93 руководителей о</w:t>
      </w:r>
      <w:r w:rsidRPr="00570DEC">
        <w:rPr>
          <w:color w:val="000000"/>
        </w:rPr>
        <w:t>т</w:t>
      </w:r>
      <w:r w:rsidRPr="00570DEC">
        <w:rPr>
          <w:color w:val="000000"/>
        </w:rPr>
        <w:t>раслевых управлений являются женщинами, также женщинами являются 17,6 процента из 17 главных секретарей. Кроме того, женщина также занимает пост одного из региональных комиссаров Занзибара (оставшиеся четыре поста региональных комиссаров занимают мужчины). Из десяти окружных комисс</w:t>
      </w:r>
      <w:r w:rsidRPr="00570DEC">
        <w:rPr>
          <w:color w:val="000000"/>
        </w:rPr>
        <w:t>а</w:t>
      </w:r>
      <w:r w:rsidRPr="00570DEC">
        <w:rPr>
          <w:color w:val="000000"/>
        </w:rPr>
        <w:t>ров 20 процентов также являются женщинами. На долю женщин приходится 8 процентов шеха (низшее звено администрации на Занзибаре) из 339. Среди чиновников, представляющих соответствующие правительственные министе</w:t>
      </w:r>
      <w:r w:rsidRPr="00570DEC">
        <w:rPr>
          <w:color w:val="000000"/>
        </w:rPr>
        <w:t>р</w:t>
      </w:r>
      <w:r w:rsidRPr="00570DEC">
        <w:rPr>
          <w:color w:val="000000"/>
        </w:rPr>
        <w:t>ства на острове Пемба, в общей сложности пять женщин и 11 мужчин. Они были назначены на эти должности в феврале 2012 года.</w:t>
      </w:r>
    </w:p>
    <w:p w:rsidR="00AD593A" w:rsidRPr="00570DEC" w:rsidRDefault="00AD593A" w:rsidP="00AD593A">
      <w:pPr>
        <w:pStyle w:val="SingleTxt"/>
        <w:rPr>
          <w:color w:val="000000"/>
        </w:rPr>
      </w:pPr>
      <w:r w:rsidRPr="00570DEC">
        <w:rPr>
          <w:color w:val="000000"/>
        </w:rPr>
        <w:t>61.</w:t>
      </w:r>
      <w:r w:rsidRPr="00570DEC">
        <w:rPr>
          <w:color w:val="000000"/>
        </w:rPr>
        <w:tab/>
        <w:t>В целях расширения участия молодых женщин в процессе принятия р</w:t>
      </w:r>
      <w:r w:rsidRPr="00570DEC">
        <w:rPr>
          <w:color w:val="000000"/>
        </w:rPr>
        <w:t>е</w:t>
      </w:r>
      <w:r w:rsidRPr="00570DEC">
        <w:rPr>
          <w:color w:val="000000"/>
        </w:rPr>
        <w:t>шений революционное правительство Занзибара создало Молодежный совет. В</w:t>
      </w:r>
      <w:r>
        <w:rPr>
          <w:color w:val="000000"/>
          <w:lang w:val="en-US"/>
        </w:rPr>
        <w:t> </w:t>
      </w:r>
      <w:r w:rsidRPr="00570DEC">
        <w:rPr>
          <w:color w:val="000000"/>
        </w:rPr>
        <w:t>соответствии с Законом о Молодежном совете 2014 года и регламентом к нему в деятельности Молодежного совета предусмотрен учет гендерных фа</w:t>
      </w:r>
      <w:r w:rsidRPr="00570DEC">
        <w:rPr>
          <w:color w:val="000000"/>
        </w:rPr>
        <w:t>к</w:t>
      </w:r>
      <w:r w:rsidRPr="00570DEC">
        <w:rPr>
          <w:color w:val="000000"/>
        </w:rPr>
        <w:t>торов в процессе назначения на должности, а также всесторонний учет генде</w:t>
      </w:r>
      <w:r w:rsidRPr="00570DEC">
        <w:rPr>
          <w:color w:val="000000"/>
        </w:rPr>
        <w:t>р</w:t>
      </w:r>
      <w:r w:rsidRPr="00570DEC">
        <w:rPr>
          <w:color w:val="000000"/>
        </w:rPr>
        <w:t>ных вопросов при проведении молодежных программ и мероприятий.</w:t>
      </w:r>
    </w:p>
    <w:p w:rsidR="00AD593A" w:rsidRPr="00570DEC" w:rsidRDefault="00AD593A" w:rsidP="00AD593A">
      <w:pPr>
        <w:pStyle w:val="SingleTxt"/>
        <w:rPr>
          <w:color w:val="000000"/>
        </w:rPr>
      </w:pPr>
      <w:r w:rsidRPr="00570DEC">
        <w:rPr>
          <w:color w:val="000000"/>
        </w:rPr>
        <w:t>62.</w:t>
      </w:r>
      <w:r w:rsidRPr="00570DEC">
        <w:rPr>
          <w:color w:val="000000"/>
        </w:rPr>
        <w:tab/>
        <w:t>В соответствии со статьей 4 Конституции государство-участник признает гендерный фактор многопрофильной проблемой. В связи с этим политика в о</w:t>
      </w:r>
      <w:r w:rsidRPr="00570DEC">
        <w:rPr>
          <w:color w:val="000000"/>
        </w:rPr>
        <w:t>т</w:t>
      </w:r>
      <w:r w:rsidRPr="00570DEC">
        <w:rPr>
          <w:color w:val="000000"/>
        </w:rPr>
        <w:t>ношении женщин и гендерного развития создает основу для всестороннего учета гендерных факторов при планировании, осуществлении, мониторинге и оценке широкого спектра вопросов, включая социоэкономические, культурные и политические процессы и практику. Гендерные вопросы как таковые получ</w:t>
      </w:r>
      <w:r w:rsidRPr="00570DEC">
        <w:rPr>
          <w:color w:val="000000"/>
        </w:rPr>
        <w:t>и</w:t>
      </w:r>
      <w:r w:rsidRPr="00570DEC">
        <w:rPr>
          <w:color w:val="000000"/>
        </w:rPr>
        <w:t>ли всестороннее освещение в следующих трех группах целей и направлений стратегий МКУКУТА </w:t>
      </w:r>
      <w:r w:rsidRPr="00570DEC">
        <w:rPr>
          <w:color w:val="000000"/>
          <w:lang w:val="en-US"/>
        </w:rPr>
        <w:t>II</w:t>
      </w:r>
      <w:r w:rsidRPr="00570DEC">
        <w:rPr>
          <w:color w:val="000000"/>
        </w:rPr>
        <w:t xml:space="preserve"> и МКУЗА </w:t>
      </w:r>
      <w:r w:rsidRPr="00570DEC">
        <w:rPr>
          <w:color w:val="000000"/>
          <w:lang w:val="en-US"/>
        </w:rPr>
        <w:t>II</w:t>
      </w:r>
      <w:r w:rsidRPr="00570DEC">
        <w:rPr>
          <w:color w:val="000000"/>
        </w:rPr>
        <w:t>: экономический рост и сокращение нищ</w:t>
      </w:r>
      <w:r w:rsidRPr="00570DEC">
        <w:rPr>
          <w:color w:val="000000"/>
        </w:rPr>
        <w:t>е</w:t>
      </w:r>
      <w:r w:rsidRPr="00570DEC">
        <w:rPr>
          <w:color w:val="000000"/>
        </w:rPr>
        <w:t>ты; социальное обеспечение и благосостояние; благое управление и наци</w:t>
      </w:r>
      <w:r w:rsidRPr="00570DEC">
        <w:rPr>
          <w:color w:val="000000"/>
        </w:rPr>
        <w:t>о</w:t>
      </w:r>
      <w:r w:rsidRPr="00570DEC">
        <w:rPr>
          <w:color w:val="000000"/>
        </w:rPr>
        <w:t>нальное единство. Таким образом, МКУЗА </w:t>
      </w:r>
      <w:r w:rsidRPr="00570DEC">
        <w:rPr>
          <w:color w:val="000000"/>
          <w:lang w:val="en-US"/>
        </w:rPr>
        <w:t>II</w:t>
      </w:r>
      <w:r w:rsidRPr="00570DEC">
        <w:rPr>
          <w:color w:val="000000"/>
        </w:rPr>
        <w:t xml:space="preserve"> и МКУКУТА </w:t>
      </w:r>
      <w:r w:rsidRPr="00570DEC">
        <w:rPr>
          <w:color w:val="000000"/>
          <w:lang w:val="en-US"/>
        </w:rPr>
        <w:t>II</w:t>
      </w:r>
      <w:r w:rsidRPr="00570DEC">
        <w:rPr>
          <w:color w:val="000000"/>
        </w:rPr>
        <w:t xml:space="preserve"> предусматривают участие всех заинтересованных сторон и отраслей, включая центральное пр</w:t>
      </w:r>
      <w:r w:rsidRPr="00570DEC">
        <w:rPr>
          <w:color w:val="000000"/>
        </w:rPr>
        <w:t>а</w:t>
      </w:r>
      <w:r w:rsidRPr="00570DEC">
        <w:rPr>
          <w:color w:val="000000"/>
        </w:rPr>
        <w:t>вительство, МВУ, региональные и местные органы власти, частный сектор, объединения работодателей и работников, партнеров в интересах развития и ОГО. На Занзибаре государство-участник также создало многопрофильные к</w:t>
      </w:r>
      <w:r w:rsidRPr="00570DEC">
        <w:rPr>
          <w:color w:val="000000"/>
        </w:rPr>
        <w:t>о</w:t>
      </w:r>
      <w:r w:rsidRPr="00570DEC">
        <w:rPr>
          <w:color w:val="000000"/>
        </w:rPr>
        <w:t>митеты во всех общественных секторах. Одной из основных отраслей деятел</w:t>
      </w:r>
      <w:r w:rsidRPr="00570DEC">
        <w:rPr>
          <w:color w:val="000000"/>
        </w:rPr>
        <w:t>ь</w:t>
      </w:r>
      <w:r w:rsidRPr="00570DEC">
        <w:rPr>
          <w:color w:val="000000"/>
        </w:rPr>
        <w:t>ности этих комитетов является обеспечение учета гендерного фактора в пол</w:t>
      </w:r>
      <w:r w:rsidRPr="00570DEC">
        <w:rPr>
          <w:color w:val="000000"/>
        </w:rPr>
        <w:t>и</w:t>
      </w:r>
      <w:r w:rsidRPr="00570DEC">
        <w:rPr>
          <w:color w:val="000000"/>
        </w:rPr>
        <w:t>тике, программах, планах и бюджете подведомственных им секторов.</w:t>
      </w:r>
    </w:p>
    <w:p w:rsidR="00AD593A" w:rsidRPr="00570DEC" w:rsidRDefault="00AD593A" w:rsidP="00AD593A">
      <w:pPr>
        <w:pStyle w:val="SingleTxt"/>
        <w:rPr>
          <w:color w:val="000000"/>
        </w:rPr>
      </w:pPr>
      <w:r w:rsidRPr="00570DEC">
        <w:rPr>
          <w:color w:val="000000"/>
        </w:rPr>
        <w:t>63.</w:t>
      </w:r>
      <w:r w:rsidRPr="00570DEC">
        <w:rPr>
          <w:color w:val="000000"/>
        </w:rPr>
        <w:tab/>
        <w:t>В основе вышеизложенной политики лежит конституционная норма, с</w:t>
      </w:r>
      <w:r w:rsidRPr="00570DEC">
        <w:rPr>
          <w:color w:val="000000"/>
        </w:rPr>
        <w:t>о</w:t>
      </w:r>
      <w:r w:rsidRPr="00570DEC">
        <w:rPr>
          <w:color w:val="000000"/>
        </w:rPr>
        <w:t>гласно которой доля женщин</w:t>
      </w:r>
      <w:r>
        <w:rPr>
          <w:color w:val="000000"/>
        </w:rPr>
        <w:t xml:space="preserve"> — </w:t>
      </w:r>
      <w:r w:rsidRPr="00570DEC">
        <w:rPr>
          <w:color w:val="000000"/>
        </w:rPr>
        <w:t>членов Палаты представителей Занзибара должна составлять 40 процентов общего числа избранных членов</w:t>
      </w:r>
      <w:r>
        <w:rPr>
          <w:rStyle w:val="FootnoteReference"/>
          <w:color w:val="000000"/>
        </w:rPr>
        <w:footnoteReference w:id="58"/>
      </w:r>
      <w:r w:rsidRPr="00570DEC">
        <w:rPr>
          <w:color w:val="000000"/>
        </w:rPr>
        <w:t>, а доля женщин</w:t>
      </w:r>
      <w:r>
        <w:rPr>
          <w:color w:val="000000"/>
        </w:rPr>
        <w:t xml:space="preserve"> — </w:t>
      </w:r>
      <w:r w:rsidRPr="00570DEC">
        <w:rPr>
          <w:color w:val="000000"/>
        </w:rPr>
        <w:t>членов Национального собрания Объединенной Республики Танз</w:t>
      </w:r>
      <w:r w:rsidRPr="00570DEC">
        <w:rPr>
          <w:color w:val="000000"/>
        </w:rPr>
        <w:t>а</w:t>
      </w:r>
      <w:r w:rsidRPr="00570DEC">
        <w:rPr>
          <w:color w:val="000000"/>
        </w:rPr>
        <w:t>ния должна составлять 30 процентов</w:t>
      </w:r>
      <w:r>
        <w:rPr>
          <w:rStyle w:val="FootnoteReference"/>
          <w:color w:val="000000"/>
        </w:rPr>
        <w:footnoteReference w:id="59"/>
      </w:r>
      <w:r w:rsidRPr="00570DEC">
        <w:rPr>
          <w:color w:val="000000"/>
        </w:rPr>
        <w:t>. Эта конституционная норма является временной специальной мерой, направленной на ускорение достижения раве</w:t>
      </w:r>
      <w:r w:rsidRPr="00570DEC">
        <w:rPr>
          <w:color w:val="000000"/>
        </w:rPr>
        <w:t>н</w:t>
      </w:r>
      <w:r w:rsidRPr="00570DEC">
        <w:rPr>
          <w:color w:val="000000"/>
        </w:rPr>
        <w:t xml:space="preserve">ства между мужчинами и женщинами в Палате представителей Занзибара и Национальном собрании Объединенной Республики Танзания. </w:t>
      </w:r>
    </w:p>
    <w:p w:rsidR="00AD593A" w:rsidRPr="00570DEC" w:rsidRDefault="00AD593A" w:rsidP="00AD593A">
      <w:pPr>
        <w:pStyle w:val="SingleTxt"/>
        <w:rPr>
          <w:color w:val="000000"/>
        </w:rPr>
      </w:pPr>
      <w:r w:rsidRPr="00570DEC">
        <w:rPr>
          <w:color w:val="000000"/>
        </w:rPr>
        <w:t>64.</w:t>
      </w:r>
      <w:r w:rsidRPr="00570DEC">
        <w:rPr>
          <w:color w:val="000000"/>
        </w:rPr>
        <w:tab/>
        <w:t>Государство-участник провело информационно-просветительские пр</w:t>
      </w:r>
      <w:r w:rsidRPr="00570DEC">
        <w:rPr>
          <w:color w:val="000000"/>
        </w:rPr>
        <w:t>о</w:t>
      </w:r>
      <w:r w:rsidRPr="00570DEC">
        <w:rPr>
          <w:color w:val="000000"/>
        </w:rPr>
        <w:t xml:space="preserve">граммы/мероприятия по разъяснению важности расширения участия женщин в принятии решений для всего общества и разработало адресные учебные и наставнические программы для женщин-кандидатов и женщин, избранных на официальные должности. </w:t>
      </w:r>
      <w:r w:rsidRPr="00570DEC">
        <w:rPr>
          <w:bCs/>
          <w:color w:val="000000"/>
        </w:rPr>
        <w:t>В частности, государство-участник силами Канцел</w:t>
      </w:r>
      <w:r w:rsidRPr="00570DEC">
        <w:rPr>
          <w:bCs/>
          <w:color w:val="000000"/>
        </w:rPr>
        <w:t>я</w:t>
      </w:r>
      <w:r w:rsidRPr="00570DEC">
        <w:rPr>
          <w:bCs/>
          <w:color w:val="000000"/>
        </w:rPr>
        <w:t>рии президента по вопросам управления государственных служб разработало наставнические программы для женщин, работающих на государственной службе, и в 2012 году в наставнической программе Канцелярии приняли уч</w:t>
      </w:r>
      <w:r w:rsidRPr="00570DEC">
        <w:rPr>
          <w:bCs/>
          <w:color w:val="000000"/>
        </w:rPr>
        <w:t>а</w:t>
      </w:r>
      <w:r w:rsidRPr="00570DEC">
        <w:rPr>
          <w:bCs/>
          <w:color w:val="000000"/>
        </w:rPr>
        <w:t>стие 55 женщин, занимающих различные должности на государственной слу</w:t>
      </w:r>
      <w:r w:rsidRPr="00570DEC">
        <w:rPr>
          <w:bCs/>
          <w:color w:val="000000"/>
        </w:rPr>
        <w:t>ж</w:t>
      </w:r>
      <w:r w:rsidRPr="00570DEC">
        <w:rPr>
          <w:bCs/>
          <w:color w:val="000000"/>
        </w:rPr>
        <w:t>бе</w:t>
      </w:r>
      <w:r w:rsidRPr="00570DEC">
        <w:rPr>
          <w:color w:val="000000"/>
        </w:rPr>
        <w:t>.</w:t>
      </w:r>
    </w:p>
    <w:p w:rsidR="00AD593A" w:rsidRPr="00570DEC" w:rsidRDefault="00AD593A" w:rsidP="00AD593A">
      <w:pPr>
        <w:pStyle w:val="SingleTxt"/>
        <w:rPr>
          <w:color w:val="000000"/>
        </w:rPr>
      </w:pPr>
      <w:r w:rsidRPr="00570DEC">
        <w:rPr>
          <w:color w:val="000000"/>
        </w:rPr>
        <w:t>65.</w:t>
      </w:r>
      <w:r w:rsidRPr="00570DEC">
        <w:rPr>
          <w:color w:val="000000"/>
        </w:rPr>
        <w:tab/>
        <w:t>Тем не менее одним из серьезных препятствий, встающих перед госуда</w:t>
      </w:r>
      <w:r w:rsidRPr="00570DEC">
        <w:rPr>
          <w:color w:val="000000"/>
        </w:rPr>
        <w:t>р</w:t>
      </w:r>
      <w:r w:rsidRPr="00570DEC">
        <w:rPr>
          <w:color w:val="000000"/>
        </w:rPr>
        <w:t>ством-участником при проведении кампаний по повышению осведомленности общественности и наращиванию потенциала женщин, является нехватка бю</w:t>
      </w:r>
      <w:r w:rsidRPr="00570DEC">
        <w:rPr>
          <w:color w:val="000000"/>
        </w:rPr>
        <w:t>д</w:t>
      </w:r>
      <w:r w:rsidRPr="00570DEC">
        <w:rPr>
          <w:color w:val="000000"/>
        </w:rPr>
        <w:t>жетных средств для дальнейшего расширения наставнических программ и з</w:t>
      </w:r>
      <w:r w:rsidRPr="00570DEC">
        <w:rPr>
          <w:color w:val="000000"/>
        </w:rPr>
        <w:t>а</w:t>
      </w:r>
      <w:r w:rsidRPr="00570DEC">
        <w:rPr>
          <w:color w:val="000000"/>
        </w:rPr>
        <w:t xml:space="preserve">нятости женщин. Государство-участник стремится уменьшить это препятствие и с этой целью ищет поддержку у международных организаций, учреждений ООН и ОГО, оказывающих содействие государству-участнику в этой области. </w:t>
      </w:r>
    </w:p>
    <w:p w:rsidR="00AD593A" w:rsidRPr="00570DEC" w:rsidRDefault="00AD593A" w:rsidP="00AD593A">
      <w:pPr>
        <w:pStyle w:val="SingleTxt"/>
        <w:rPr>
          <w:color w:val="000000"/>
        </w:rPr>
      </w:pPr>
      <w:r w:rsidRPr="00570DEC">
        <w:rPr>
          <w:color w:val="000000"/>
        </w:rPr>
        <w:t>66.</w:t>
      </w:r>
      <w:r w:rsidRPr="00570DEC">
        <w:rPr>
          <w:color w:val="000000"/>
        </w:rPr>
        <w:tab/>
        <w:t>Совместно с негосударственными субъектами, в частности с ОГО, гос</w:t>
      </w:r>
      <w:r w:rsidRPr="00570DEC">
        <w:rPr>
          <w:color w:val="000000"/>
        </w:rPr>
        <w:t>у</w:t>
      </w:r>
      <w:r w:rsidRPr="00570DEC">
        <w:rPr>
          <w:color w:val="000000"/>
        </w:rPr>
        <w:t>дарство-участник организует учебные программы для женщин, которые зан</w:t>
      </w:r>
      <w:r w:rsidRPr="00570DEC">
        <w:rPr>
          <w:color w:val="000000"/>
        </w:rPr>
        <w:t>и</w:t>
      </w:r>
      <w:r w:rsidRPr="00570DEC">
        <w:rPr>
          <w:color w:val="000000"/>
        </w:rPr>
        <w:t>мают или будут занимать руководящие должности, для приобретения ими навыков руководства и ведения переговоров</w:t>
      </w:r>
      <w:r w:rsidRPr="00570DEC">
        <w:rPr>
          <w:bCs/>
          <w:color w:val="000000"/>
        </w:rPr>
        <w:t>. В результате реализации прав</w:t>
      </w:r>
      <w:r w:rsidRPr="00570DEC">
        <w:rPr>
          <w:bCs/>
          <w:color w:val="000000"/>
        </w:rPr>
        <w:t>и</w:t>
      </w:r>
      <w:r w:rsidRPr="00570DEC">
        <w:rPr>
          <w:bCs/>
          <w:color w:val="000000"/>
        </w:rPr>
        <w:t>тельственных программ по осуществлению КЛДЖ и Факультативного прот</w:t>
      </w:r>
      <w:r w:rsidRPr="00570DEC">
        <w:rPr>
          <w:bCs/>
          <w:color w:val="000000"/>
        </w:rPr>
        <w:t>о</w:t>
      </w:r>
      <w:r w:rsidRPr="00570DEC">
        <w:rPr>
          <w:bCs/>
          <w:color w:val="000000"/>
        </w:rPr>
        <w:t xml:space="preserve">кола к ней, направленных на развитие навыков руководства и </w:t>
      </w:r>
      <w:r w:rsidRPr="00570DEC">
        <w:rPr>
          <w:color w:val="000000"/>
        </w:rPr>
        <w:t>ведения перег</w:t>
      </w:r>
      <w:r w:rsidRPr="00570DEC">
        <w:rPr>
          <w:color w:val="000000"/>
        </w:rPr>
        <w:t>о</w:t>
      </w:r>
      <w:r w:rsidRPr="00570DEC">
        <w:rPr>
          <w:color w:val="000000"/>
        </w:rPr>
        <w:t>воров</w:t>
      </w:r>
      <w:r w:rsidRPr="00570DEC">
        <w:rPr>
          <w:bCs/>
          <w:color w:val="000000"/>
        </w:rPr>
        <w:t xml:space="preserve"> у женщин, увеличилось представительство женщин на руководящих и высоких должностях в директивных органах</w:t>
      </w:r>
      <w:r w:rsidRPr="00570DEC">
        <w:rPr>
          <w:color w:val="000000"/>
        </w:rPr>
        <w:t>. Политика в области найма и управления и Регламент государственной службы 2009 года обязывают работ</w:t>
      </w:r>
      <w:r w:rsidRPr="00570DEC">
        <w:rPr>
          <w:color w:val="000000"/>
        </w:rPr>
        <w:t>о</w:t>
      </w:r>
      <w:r w:rsidRPr="00570DEC">
        <w:rPr>
          <w:color w:val="000000"/>
        </w:rPr>
        <w:t>дателей проводить обучение работников и повышать их потенциал, что стим</w:t>
      </w:r>
      <w:r w:rsidRPr="00570DEC">
        <w:rPr>
          <w:color w:val="000000"/>
        </w:rPr>
        <w:t>у</w:t>
      </w:r>
      <w:r w:rsidRPr="00570DEC">
        <w:rPr>
          <w:color w:val="000000"/>
        </w:rPr>
        <w:t>лирует большее число женщин к поступлению в высшие учебные заведения для получения дальнейшего образования. Кроме того, в рамках осуществля</w:t>
      </w:r>
      <w:r w:rsidRPr="00570DEC">
        <w:rPr>
          <w:color w:val="000000"/>
        </w:rPr>
        <w:t>е</w:t>
      </w:r>
      <w:r w:rsidRPr="00570DEC">
        <w:rPr>
          <w:color w:val="000000"/>
        </w:rPr>
        <w:t>мой государством-участником Программы реформирования сектора госуда</w:t>
      </w:r>
      <w:r w:rsidRPr="00570DEC">
        <w:rPr>
          <w:color w:val="000000"/>
        </w:rPr>
        <w:t>р</w:t>
      </w:r>
      <w:r w:rsidRPr="00570DEC">
        <w:rPr>
          <w:color w:val="000000"/>
        </w:rPr>
        <w:t>ственной службы (ПРСГС) женщины разных профессий (251 человек) прио</w:t>
      </w:r>
      <w:r w:rsidRPr="00570DEC">
        <w:rPr>
          <w:color w:val="000000"/>
        </w:rPr>
        <w:t>б</w:t>
      </w:r>
      <w:r w:rsidRPr="00570DEC">
        <w:rPr>
          <w:color w:val="000000"/>
        </w:rPr>
        <w:t>рели квалификацию, позволяющую занимать различные должности на гос</w:t>
      </w:r>
      <w:r w:rsidRPr="00570DEC">
        <w:rPr>
          <w:color w:val="000000"/>
        </w:rPr>
        <w:t>у</w:t>
      </w:r>
      <w:r w:rsidRPr="00570DEC">
        <w:rPr>
          <w:color w:val="000000"/>
        </w:rPr>
        <w:t>дарственной службе.</w:t>
      </w:r>
    </w:p>
    <w:p w:rsidR="00AD593A" w:rsidRPr="00570DEC" w:rsidRDefault="00AD593A" w:rsidP="00AD593A">
      <w:pPr>
        <w:pStyle w:val="SingleTxt"/>
        <w:rPr>
          <w:color w:val="000000"/>
        </w:rPr>
      </w:pPr>
      <w:r w:rsidRPr="00570DEC">
        <w:rPr>
          <w:color w:val="000000"/>
        </w:rPr>
        <w:t>67.</w:t>
      </w:r>
      <w:r w:rsidRPr="00570DEC">
        <w:rPr>
          <w:color w:val="000000"/>
        </w:rPr>
        <w:tab/>
        <w:t>Государство-участник стремится создать условия для обучения большего числа женщин в целях развития их потенциала и последующего выдвижения на руководящие должности, однако сталкивается при этом с рядом препя</w:t>
      </w:r>
      <w:r w:rsidRPr="00570DEC">
        <w:rPr>
          <w:color w:val="000000"/>
        </w:rPr>
        <w:t>т</w:t>
      </w:r>
      <w:r w:rsidRPr="00570DEC">
        <w:rPr>
          <w:color w:val="000000"/>
        </w:rPr>
        <w:t>ствий. Одним из этих препятствий является постоянная нехватка надлежащего и/или устойчивого финансирования, позволяющего многим женщинам пройти такое обучение. Еще одним препятствием является откровенное нежелание н</w:t>
      </w:r>
      <w:r w:rsidRPr="00570DEC">
        <w:rPr>
          <w:color w:val="000000"/>
        </w:rPr>
        <w:t>е</w:t>
      </w:r>
      <w:r w:rsidRPr="00570DEC">
        <w:rPr>
          <w:color w:val="000000"/>
        </w:rPr>
        <w:t>которых женщин-работниц посещать эти занятия, поскольку они, в частности, боятся испортить отношения со своими мужьями. Кроме того, многие женщ</w:t>
      </w:r>
      <w:r w:rsidRPr="00570DEC">
        <w:rPr>
          <w:color w:val="000000"/>
        </w:rPr>
        <w:t>и</w:t>
      </w:r>
      <w:r w:rsidRPr="00570DEC">
        <w:rPr>
          <w:color w:val="000000"/>
        </w:rPr>
        <w:t>ны, находящиеся на государственной службе, занимают низшие должности, где все еще нет возможностей для дальнейшего обучения. Тем не менее госуда</w:t>
      </w:r>
      <w:r w:rsidRPr="00570DEC">
        <w:rPr>
          <w:color w:val="000000"/>
        </w:rPr>
        <w:t>р</w:t>
      </w:r>
      <w:r w:rsidRPr="00570DEC">
        <w:rPr>
          <w:color w:val="000000"/>
        </w:rPr>
        <w:t>ство-участник стремится уменьшить эти препятствия, в частности за счет п</w:t>
      </w:r>
      <w:r w:rsidRPr="00570DEC">
        <w:rPr>
          <w:color w:val="000000"/>
        </w:rPr>
        <w:t>о</w:t>
      </w:r>
      <w:r w:rsidRPr="00570DEC">
        <w:rPr>
          <w:color w:val="000000"/>
        </w:rPr>
        <w:t>вышения осведомленности общественности о том, что женщины нуждаются в дальнейшем обучении. Оно также наладило сотрудничество с рядом партнеров в интересах развития, для того чтобы оказать поддержку большему числу женщин, стремящихся к дальнейшему обучению.</w:t>
      </w:r>
    </w:p>
    <w:p w:rsidR="00AD593A" w:rsidRDefault="00AD593A" w:rsidP="00AD593A">
      <w:pPr>
        <w:pStyle w:val="SingleTxt"/>
        <w:rPr>
          <w:color w:val="000000"/>
        </w:rPr>
      </w:pPr>
      <w:r w:rsidRPr="00570DEC">
        <w:rPr>
          <w:color w:val="000000"/>
        </w:rPr>
        <w:t>68.</w:t>
      </w:r>
      <w:r w:rsidRPr="00570DEC">
        <w:rPr>
          <w:color w:val="000000"/>
        </w:rPr>
        <w:tab/>
        <w:t>Государство-участник приняло ряд мер по повышению осведомленности об участии женщин в политической и общественной жизни. В частности, на Занзибаре значительное число женщин занимает должности высокопоставле</w:t>
      </w:r>
      <w:r w:rsidRPr="00570DEC">
        <w:rPr>
          <w:color w:val="000000"/>
        </w:rPr>
        <w:t>н</w:t>
      </w:r>
      <w:r w:rsidRPr="00570DEC">
        <w:rPr>
          <w:color w:val="000000"/>
        </w:rPr>
        <w:t>ных сотрудников в отраслевых министерствах и местной администрации. Ко</w:t>
      </w:r>
      <w:r w:rsidRPr="00570DEC">
        <w:rPr>
          <w:color w:val="000000"/>
        </w:rPr>
        <w:t>н</w:t>
      </w:r>
      <w:r w:rsidRPr="00570DEC">
        <w:rPr>
          <w:color w:val="000000"/>
        </w:rPr>
        <w:t>ституция Занзибара (с</w:t>
      </w:r>
      <w:r>
        <w:rPr>
          <w:color w:val="000000"/>
          <w:lang w:val="en-US"/>
        </w:rPr>
        <w:t> </w:t>
      </w:r>
      <w:r w:rsidRPr="00570DEC">
        <w:rPr>
          <w:color w:val="000000"/>
        </w:rPr>
        <w:t>поправками 2010 года) стремится обеспечить предст</w:t>
      </w:r>
      <w:r w:rsidRPr="00570DEC">
        <w:rPr>
          <w:color w:val="000000"/>
        </w:rPr>
        <w:t>а</w:t>
      </w:r>
      <w:r w:rsidRPr="00570DEC">
        <w:rPr>
          <w:color w:val="000000"/>
        </w:rPr>
        <w:t>вительство женщин в ключевых директивных органах. Статья 67 (1) пред</w:t>
      </w:r>
      <w:r w:rsidRPr="00570DEC">
        <w:rPr>
          <w:color w:val="000000"/>
        </w:rPr>
        <w:t>у</w:t>
      </w:r>
      <w:r w:rsidRPr="00570DEC">
        <w:rPr>
          <w:color w:val="000000"/>
        </w:rPr>
        <w:t>сматривает представительство женщин в них на уровне 40 процентов. Что к</w:t>
      </w:r>
      <w:r w:rsidRPr="00570DEC">
        <w:rPr>
          <w:color w:val="000000"/>
        </w:rPr>
        <w:t>а</w:t>
      </w:r>
      <w:r w:rsidRPr="00570DEC">
        <w:rPr>
          <w:color w:val="000000"/>
        </w:rPr>
        <w:t>сается мероприятий по повышению осведомленности о важности участия женщин в политической и общественной жизни на Занзибаре, то, как отмеч</w:t>
      </w:r>
      <w:r w:rsidRPr="00570DEC">
        <w:rPr>
          <w:color w:val="000000"/>
        </w:rPr>
        <w:t>а</w:t>
      </w:r>
      <w:r w:rsidRPr="00570DEC">
        <w:rPr>
          <w:color w:val="000000"/>
        </w:rPr>
        <w:t>ется, мероприятия по повышению осведомленности об участии женщин в пр</w:t>
      </w:r>
      <w:r w:rsidRPr="00570DEC">
        <w:rPr>
          <w:color w:val="000000"/>
        </w:rPr>
        <w:t>о</w:t>
      </w:r>
      <w:r w:rsidRPr="00570DEC">
        <w:rPr>
          <w:color w:val="000000"/>
        </w:rPr>
        <w:t>цессе принятия решений обычно касаются женщин-кандидатов и периодич</w:t>
      </w:r>
      <w:r w:rsidRPr="00570DEC">
        <w:rPr>
          <w:color w:val="000000"/>
        </w:rPr>
        <w:t>е</w:t>
      </w:r>
      <w:r w:rsidRPr="00570DEC">
        <w:rPr>
          <w:color w:val="000000"/>
        </w:rPr>
        <w:t>ски проводятся в связи с национальными выборами. Различные НПО и ОГО также проводят информационно-разъяснительные и учебные мероприятия для потенциальных лидеров и широкой общественности, чтобы стимулировать женщин к участию во всеобщих выборах.</w:t>
      </w:r>
      <w:r w:rsidRPr="00570DEC">
        <w:rPr>
          <w:bCs/>
          <w:color w:val="000000"/>
        </w:rPr>
        <w:t xml:space="preserve"> Например, в рамках инициативы ВЕЗА (четырехлетнего проекта, финансируемого ЕС и "Кэр Австрия" и ос</w:t>
      </w:r>
      <w:r w:rsidRPr="00570DEC">
        <w:rPr>
          <w:bCs/>
          <w:color w:val="000000"/>
        </w:rPr>
        <w:t>у</w:t>
      </w:r>
      <w:r w:rsidRPr="00570DEC">
        <w:rPr>
          <w:bCs/>
          <w:color w:val="000000"/>
        </w:rPr>
        <w:t>ществляемого "Кэр Танзания" и ТАЖСМИ совместно с Организацией кредит</w:t>
      </w:r>
      <w:r w:rsidRPr="00570DEC">
        <w:rPr>
          <w:bCs/>
          <w:color w:val="000000"/>
        </w:rPr>
        <w:t>о</w:t>
      </w:r>
      <w:r w:rsidRPr="00570DEC">
        <w:rPr>
          <w:bCs/>
          <w:color w:val="000000"/>
        </w:rPr>
        <w:t>вания и развития Джозани (ОКРД), Сберегательной и кредитной ассоциацией острова Пемба (СКАП), ФАВЕ и ЗАЖЮ)</w:t>
      </w:r>
      <w:r w:rsidRPr="00570DEC">
        <w:rPr>
          <w:color w:val="000000"/>
        </w:rPr>
        <w:t xml:space="preserve"> государство-участник организовало на Занзибаре обучение более 3533 женщин, в том числе по вопросам повыш</w:t>
      </w:r>
      <w:r w:rsidRPr="00570DEC">
        <w:rPr>
          <w:color w:val="000000"/>
        </w:rPr>
        <w:t>е</w:t>
      </w:r>
      <w:r w:rsidRPr="00570DEC">
        <w:rPr>
          <w:color w:val="000000"/>
        </w:rPr>
        <w:t>ния доходов и преодоления социальных, культурных и политических препя</w:t>
      </w:r>
      <w:r w:rsidRPr="00570DEC">
        <w:rPr>
          <w:color w:val="000000"/>
        </w:rPr>
        <w:t>т</w:t>
      </w:r>
      <w:r w:rsidRPr="00570DEC">
        <w:rPr>
          <w:color w:val="000000"/>
        </w:rPr>
        <w:t>ствий к расширению их прав и возможностей. На острове Пемба осуществл</w:t>
      </w:r>
      <w:r w:rsidRPr="00570DEC">
        <w:rPr>
          <w:color w:val="000000"/>
        </w:rPr>
        <w:t>я</w:t>
      </w:r>
      <w:r w:rsidRPr="00570DEC">
        <w:rPr>
          <w:color w:val="000000"/>
        </w:rPr>
        <w:t>ются программы "гражданского воспитания", которые призваны помочь же</w:t>
      </w:r>
      <w:r w:rsidRPr="00570DEC">
        <w:rPr>
          <w:color w:val="000000"/>
        </w:rPr>
        <w:t>н</w:t>
      </w:r>
      <w:r w:rsidRPr="00570DEC">
        <w:rPr>
          <w:color w:val="000000"/>
        </w:rPr>
        <w:t>щинам участвовать в политической и общественной жизни и реализуются с</w:t>
      </w:r>
      <w:r w:rsidRPr="00570DEC">
        <w:rPr>
          <w:color w:val="000000"/>
        </w:rPr>
        <w:t>и</w:t>
      </w:r>
      <w:r w:rsidRPr="00570DEC">
        <w:rPr>
          <w:color w:val="000000"/>
        </w:rPr>
        <w:t>лами следующих НПО: Организация по оказанию помощи на острове Пемба, UWAWEZA, АИЗ, Клуб по охране окружающей среды в Вето, SPWCR, "Сила молодежи в действии", АНПОЗ, Ассоциация организаций гражданского общ</w:t>
      </w:r>
      <w:r w:rsidRPr="00570DEC">
        <w:rPr>
          <w:color w:val="000000"/>
        </w:rPr>
        <w:t>е</w:t>
      </w:r>
      <w:r w:rsidRPr="00570DEC">
        <w:rPr>
          <w:color w:val="000000"/>
        </w:rPr>
        <w:t>ства на острове Пемба, ЦПУЗ и Молодежная организация по образованию в целях предупреждения СПИДа.</w:t>
      </w:r>
    </w:p>
    <w:p w:rsidR="00AD593A" w:rsidRPr="00AD593A" w:rsidRDefault="00AD593A" w:rsidP="00AD593A">
      <w:pPr>
        <w:pStyle w:val="SingleTxt"/>
        <w:spacing w:after="0" w:line="120" w:lineRule="exact"/>
        <w:rPr>
          <w:color w:val="000000"/>
          <w:sz w:val="10"/>
        </w:rPr>
      </w:pPr>
    </w:p>
    <w:p w:rsidR="00AD593A" w:rsidRPr="00570DEC" w:rsidRDefault="00AD593A" w:rsidP="00AD59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9" w:name="_Toc401576668"/>
      <w:r w:rsidRPr="00570DEC">
        <w:tab/>
      </w:r>
      <w:bookmarkStart w:id="30" w:name="_Toc417398640"/>
      <w:r w:rsidRPr="00570DEC">
        <w:t>1.1.8</w:t>
      </w:r>
      <w:r w:rsidRPr="00570DEC">
        <w:tab/>
      </w:r>
      <w:bookmarkEnd w:id="29"/>
      <w:r w:rsidRPr="00570DEC">
        <w:t>Гражданство</w:t>
      </w:r>
      <w:bookmarkEnd w:id="30"/>
    </w:p>
    <w:p w:rsidR="00AD593A" w:rsidRPr="00AD593A" w:rsidRDefault="00AD593A" w:rsidP="00AD593A">
      <w:pPr>
        <w:pStyle w:val="SingleTxt"/>
        <w:spacing w:after="0" w:line="120" w:lineRule="exact"/>
        <w:rPr>
          <w:bCs/>
          <w:color w:val="000000"/>
          <w:sz w:val="10"/>
        </w:rPr>
      </w:pPr>
    </w:p>
    <w:p w:rsidR="00AD593A" w:rsidRDefault="00AD593A" w:rsidP="00AD593A">
      <w:pPr>
        <w:pStyle w:val="SingleTxt"/>
        <w:rPr>
          <w:bCs/>
          <w:color w:val="000000"/>
        </w:rPr>
      </w:pPr>
      <w:r w:rsidRPr="00570DEC">
        <w:rPr>
          <w:bCs/>
          <w:color w:val="000000"/>
        </w:rPr>
        <w:t>69.</w:t>
      </w:r>
      <w:r w:rsidRPr="00570DEC">
        <w:rPr>
          <w:bCs/>
          <w:color w:val="000000"/>
        </w:rPr>
        <w:tab/>
        <w:t>Стремясь ускорить процесс оперативного принятия поправок к Закону о гражданстве (1995 год) в целях его приведения в полное соответствие со стат</w:t>
      </w:r>
      <w:r w:rsidRPr="00570DEC">
        <w:rPr>
          <w:bCs/>
          <w:color w:val="000000"/>
        </w:rPr>
        <w:t>ь</w:t>
      </w:r>
      <w:r w:rsidRPr="00570DEC">
        <w:rPr>
          <w:bCs/>
          <w:color w:val="000000"/>
        </w:rPr>
        <w:t>ей 9 Конвенции, государство-участник пересматривает Закон о гражданстве (1995 год) в соответствии с положениями проекта конституции. В Статье 68 (1)–(6) проекта конституции содержится предложение о пред</w:t>
      </w:r>
      <w:r w:rsidRPr="00570DEC">
        <w:rPr>
          <w:bCs/>
          <w:color w:val="000000"/>
        </w:rPr>
        <w:t>о</w:t>
      </w:r>
      <w:r w:rsidRPr="00570DEC">
        <w:rPr>
          <w:bCs/>
          <w:color w:val="000000"/>
        </w:rPr>
        <w:t>ставлении права подать заявление на получение гражданства любому жела</w:t>
      </w:r>
      <w:r w:rsidRPr="00570DEC">
        <w:rPr>
          <w:bCs/>
          <w:color w:val="000000"/>
        </w:rPr>
        <w:t>ю</w:t>
      </w:r>
      <w:r w:rsidRPr="00570DEC">
        <w:rPr>
          <w:bCs/>
          <w:color w:val="000000"/>
        </w:rPr>
        <w:t>щему сделать это лицу, состоящему в браке с гражданином Танзании в течение пяти лет. Это положение направлено на то, чтобы предоставить право подачи заявления на получение гражданства Танзании мужчинам и женщинам без к</w:t>
      </w:r>
      <w:r w:rsidRPr="00570DEC">
        <w:rPr>
          <w:bCs/>
          <w:color w:val="000000"/>
        </w:rPr>
        <w:t>а</w:t>
      </w:r>
      <w:r w:rsidRPr="00570DEC">
        <w:rPr>
          <w:bCs/>
          <w:color w:val="000000"/>
        </w:rPr>
        <w:t>кой-либо дискриминации. Кроме того, согласно пункту 3 статьи 68 любое л</w:t>
      </w:r>
      <w:r w:rsidRPr="00570DEC">
        <w:rPr>
          <w:bCs/>
          <w:color w:val="000000"/>
        </w:rPr>
        <w:t>и</w:t>
      </w:r>
      <w:r w:rsidRPr="00570DEC">
        <w:rPr>
          <w:bCs/>
          <w:color w:val="000000"/>
        </w:rPr>
        <w:t>цо, получившее танзанийское гражданство в соответствии с пунктом 2, сохр</w:t>
      </w:r>
      <w:r w:rsidRPr="00570DEC">
        <w:rPr>
          <w:bCs/>
          <w:color w:val="000000"/>
        </w:rPr>
        <w:t>а</w:t>
      </w:r>
      <w:r w:rsidRPr="00570DEC">
        <w:rPr>
          <w:bCs/>
          <w:color w:val="000000"/>
        </w:rPr>
        <w:t>няет гражданство даже после развода, если только он или она не решит отк</w:t>
      </w:r>
      <w:r w:rsidRPr="00570DEC">
        <w:rPr>
          <w:bCs/>
          <w:color w:val="000000"/>
        </w:rPr>
        <w:t>а</w:t>
      </w:r>
      <w:r w:rsidRPr="00570DEC">
        <w:rPr>
          <w:bCs/>
          <w:color w:val="000000"/>
        </w:rPr>
        <w:t>заться от гражданства</w:t>
      </w:r>
      <w:r>
        <w:rPr>
          <w:rStyle w:val="FootnoteReference"/>
          <w:bCs/>
          <w:color w:val="000000"/>
        </w:rPr>
        <w:footnoteReference w:id="60"/>
      </w:r>
      <w:r w:rsidRPr="00570DEC">
        <w:rPr>
          <w:bCs/>
          <w:color w:val="000000"/>
        </w:rPr>
        <w:t>.</w:t>
      </w:r>
    </w:p>
    <w:p w:rsidR="00AD593A" w:rsidRPr="00AD593A" w:rsidRDefault="00AD593A" w:rsidP="00AD593A">
      <w:pPr>
        <w:pStyle w:val="SingleTxt"/>
        <w:spacing w:after="0" w:line="120" w:lineRule="exact"/>
        <w:rPr>
          <w:color w:val="000000"/>
          <w:sz w:val="10"/>
        </w:rPr>
      </w:pPr>
    </w:p>
    <w:p w:rsidR="00AD593A" w:rsidRPr="00570DEC" w:rsidRDefault="00AD593A" w:rsidP="00AD59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1" w:name="_Toc401576669"/>
      <w:r w:rsidRPr="00570DEC">
        <w:tab/>
      </w:r>
      <w:bookmarkStart w:id="32" w:name="_Toc417398641"/>
      <w:r w:rsidRPr="00570DEC">
        <w:t>1.1.9</w:t>
      </w:r>
      <w:r w:rsidRPr="00570DEC">
        <w:tab/>
      </w:r>
      <w:bookmarkEnd w:id="31"/>
      <w:r w:rsidRPr="00570DEC">
        <w:t>Образование</w:t>
      </w:r>
      <w:bookmarkEnd w:id="32"/>
    </w:p>
    <w:p w:rsidR="00AD593A" w:rsidRPr="00AD593A" w:rsidRDefault="00AD593A" w:rsidP="00AD593A">
      <w:pPr>
        <w:pStyle w:val="SingleTxt"/>
        <w:spacing w:after="0" w:line="120" w:lineRule="exact"/>
        <w:rPr>
          <w:iCs/>
          <w:color w:val="000000"/>
          <w:sz w:val="10"/>
        </w:rPr>
      </w:pPr>
    </w:p>
    <w:p w:rsidR="00AD593A" w:rsidRPr="00570DEC" w:rsidRDefault="00AD593A" w:rsidP="00AD593A">
      <w:pPr>
        <w:pStyle w:val="SingleTxt"/>
        <w:rPr>
          <w:color w:val="000000"/>
        </w:rPr>
      </w:pPr>
      <w:r w:rsidRPr="00570DEC">
        <w:rPr>
          <w:iCs/>
          <w:color w:val="000000"/>
        </w:rPr>
        <w:t>70.</w:t>
      </w:r>
      <w:r w:rsidRPr="00570DEC">
        <w:rPr>
          <w:iCs/>
          <w:color w:val="000000"/>
        </w:rPr>
        <w:tab/>
        <w:t>В рамках осуществления Целей развития тысячелетия (ЦРТ), касающихся образования, государство-участник стремится расширить доступ женщин к о</w:t>
      </w:r>
      <w:r w:rsidRPr="00570DEC">
        <w:rPr>
          <w:iCs/>
          <w:color w:val="000000"/>
        </w:rPr>
        <w:t>б</w:t>
      </w:r>
      <w:r w:rsidRPr="00570DEC">
        <w:rPr>
          <w:iCs/>
          <w:color w:val="000000"/>
        </w:rPr>
        <w:t>разованию, профессиональной подготовке и трудоустройству. Исходя из этого, сфера образования признана одной из важнейших отраслей, включенных в программу "Большие результаты</w:t>
      </w:r>
      <w:r>
        <w:rPr>
          <w:iCs/>
          <w:color w:val="000000"/>
        </w:rPr>
        <w:t xml:space="preserve"> — </w:t>
      </w:r>
      <w:r w:rsidRPr="00570DEC">
        <w:rPr>
          <w:iCs/>
          <w:color w:val="000000"/>
        </w:rPr>
        <w:t>сегодня" (БРС), целью которой является достижение важных конкретных показателей в экономическом развитии стр</w:t>
      </w:r>
      <w:r w:rsidRPr="00570DEC">
        <w:rPr>
          <w:iCs/>
          <w:color w:val="000000"/>
        </w:rPr>
        <w:t>а</w:t>
      </w:r>
      <w:r w:rsidRPr="00570DEC">
        <w:rPr>
          <w:iCs/>
          <w:color w:val="000000"/>
        </w:rPr>
        <w:t>ны. Во многих областях или сферах образования и профессиональной подг</w:t>
      </w:r>
      <w:r w:rsidRPr="00570DEC">
        <w:rPr>
          <w:iCs/>
          <w:color w:val="000000"/>
        </w:rPr>
        <w:t>о</w:t>
      </w:r>
      <w:r w:rsidRPr="00570DEC">
        <w:rPr>
          <w:iCs/>
          <w:color w:val="000000"/>
        </w:rPr>
        <w:t>товки девочек и женщин наблюдаются значительные улучшения, однако они по-прежнему касаются лишь ограниченного круга вопросов. Гендерные разл</w:t>
      </w:r>
      <w:r w:rsidRPr="00570DEC">
        <w:rPr>
          <w:iCs/>
          <w:color w:val="000000"/>
        </w:rPr>
        <w:t>и</w:t>
      </w:r>
      <w:r w:rsidRPr="00570DEC">
        <w:rPr>
          <w:iCs/>
          <w:color w:val="000000"/>
        </w:rPr>
        <w:t>чия в образовании и профессиональной подготовке оказывают влияние на дальнейшую жизнь женщин и девочек, результатом чего является повышенная концентрация женщин в таких низкооплачиваемых и зачастую стереотипных сферах занятости, как медсестринское дело или образование, и в то же время их недостаточная представленность в науке, инженерном деле, информатике и других технических сферах</w:t>
      </w:r>
      <w:r w:rsidRPr="00570DEC">
        <w:rPr>
          <w:color w:val="000000"/>
        </w:rPr>
        <w:t xml:space="preserve">. </w:t>
      </w:r>
    </w:p>
    <w:p w:rsidR="00AD593A" w:rsidRPr="00570DEC" w:rsidRDefault="00AD593A" w:rsidP="00AD593A">
      <w:pPr>
        <w:pStyle w:val="SingleTxt"/>
        <w:rPr>
          <w:color w:val="000000"/>
        </w:rPr>
      </w:pPr>
      <w:r w:rsidRPr="00570DEC">
        <w:rPr>
          <w:bCs/>
          <w:color w:val="000000"/>
        </w:rPr>
        <w:t>71.</w:t>
      </w:r>
      <w:r w:rsidRPr="00570DEC">
        <w:rPr>
          <w:bCs/>
          <w:color w:val="000000"/>
        </w:rPr>
        <w:tab/>
        <w:t>В соответствии с рекомендацией Комитета государству-участнику более строго соблюдать статью 10 Конвенции и повышать информированность в о</w:t>
      </w:r>
      <w:r w:rsidRPr="00570DEC">
        <w:rPr>
          <w:bCs/>
          <w:color w:val="000000"/>
        </w:rPr>
        <w:t>б</w:t>
      </w:r>
      <w:r w:rsidRPr="00570DEC">
        <w:rPr>
          <w:bCs/>
          <w:color w:val="000000"/>
        </w:rPr>
        <w:t>ществе о важности образования в качестве одного из прав человека и основы для расширения возможностей и прав женщин, Политика в сфере образования и профессиональной подготовки 1995 года (действует на материковой части Танзании), пересмотренная и утвержденная в июне 2014 года, гарантирует д</w:t>
      </w:r>
      <w:r w:rsidRPr="00570DEC">
        <w:rPr>
          <w:bCs/>
          <w:color w:val="000000"/>
        </w:rPr>
        <w:t>е</w:t>
      </w:r>
      <w:r w:rsidRPr="00570DEC">
        <w:rPr>
          <w:bCs/>
          <w:color w:val="000000"/>
        </w:rPr>
        <w:t xml:space="preserve">вочкам и мальчикам, женщинам и мужчинам равный доступ к возможностям получения образования и профессиональной подготовки. </w:t>
      </w:r>
    </w:p>
    <w:p w:rsidR="00AD593A" w:rsidRPr="00570DEC" w:rsidRDefault="00AD593A" w:rsidP="00AD593A">
      <w:pPr>
        <w:pStyle w:val="SingleTxt"/>
        <w:rPr>
          <w:color w:val="000000"/>
        </w:rPr>
      </w:pPr>
      <w:r w:rsidRPr="00570DEC">
        <w:rPr>
          <w:color w:val="000000"/>
        </w:rPr>
        <w:t>72.</w:t>
      </w:r>
      <w:r w:rsidRPr="00570DEC">
        <w:rPr>
          <w:color w:val="000000"/>
        </w:rPr>
        <w:tab/>
        <w:t>Гендерный разрыв в области охвата девочек и мальчиков начальным обр</w:t>
      </w:r>
      <w:r w:rsidRPr="00570DEC">
        <w:rPr>
          <w:color w:val="000000"/>
        </w:rPr>
        <w:t>а</w:t>
      </w:r>
      <w:r w:rsidRPr="00570DEC">
        <w:rPr>
          <w:color w:val="000000"/>
        </w:rPr>
        <w:t>зованием на материковой части Танзании существенно сократился</w:t>
      </w:r>
      <w:r>
        <w:rPr>
          <w:rStyle w:val="FootnoteReference"/>
          <w:color w:val="000000"/>
        </w:rPr>
        <w:footnoteReference w:id="61"/>
      </w:r>
      <w:r w:rsidRPr="00570DEC">
        <w:rPr>
          <w:color w:val="000000"/>
        </w:rPr>
        <w:t>. Это пр</w:t>
      </w:r>
      <w:r w:rsidRPr="00570DEC">
        <w:rPr>
          <w:color w:val="000000"/>
        </w:rPr>
        <w:t>и</w:t>
      </w:r>
      <w:r w:rsidRPr="00570DEC">
        <w:rPr>
          <w:color w:val="000000"/>
        </w:rPr>
        <w:t>вело к увеличению числа женщин, получающих полное образование. Согласно данным МДОТ за 2010 год, 50 процентов женщин и 49 процентов мужчин п</w:t>
      </w:r>
      <w:r w:rsidRPr="00570DEC">
        <w:rPr>
          <w:color w:val="000000"/>
        </w:rPr>
        <w:t>о</w:t>
      </w:r>
      <w:r w:rsidRPr="00570DEC">
        <w:rPr>
          <w:color w:val="000000"/>
        </w:rPr>
        <w:t>лучили только полное начальное образование. Данный показатель среди му</w:t>
      </w:r>
      <w:r w:rsidRPr="00570DEC">
        <w:rPr>
          <w:color w:val="000000"/>
        </w:rPr>
        <w:t>ж</w:t>
      </w:r>
      <w:r w:rsidRPr="00570DEC">
        <w:rPr>
          <w:color w:val="000000"/>
        </w:rPr>
        <w:t xml:space="preserve">чин несколько уменьшился по сравнению с показателем МДОТ за 2004–2005 годы (52 процента) (НБС и </w:t>
      </w:r>
      <w:r w:rsidRPr="00570DEC">
        <w:rPr>
          <w:color w:val="000000"/>
          <w:lang w:val="en-US"/>
        </w:rPr>
        <w:t>ORC</w:t>
      </w:r>
      <w:r w:rsidRPr="00570DEC">
        <w:rPr>
          <w:color w:val="000000"/>
        </w:rPr>
        <w:t xml:space="preserve"> Macro, 2005 год)</w:t>
      </w:r>
      <w:r w:rsidRPr="00570DEC">
        <w:rPr>
          <w:bCs/>
          <w:color w:val="000000"/>
        </w:rPr>
        <w:t>. После введения в де</w:t>
      </w:r>
      <w:r w:rsidRPr="00570DEC">
        <w:rPr>
          <w:bCs/>
          <w:color w:val="000000"/>
        </w:rPr>
        <w:t>й</w:t>
      </w:r>
      <w:r w:rsidRPr="00570DEC">
        <w:rPr>
          <w:bCs/>
          <w:color w:val="000000"/>
        </w:rPr>
        <w:t>ствие программы дополнительного базового образования (ДБО) только в 2009 году образованием были охвачены 82 989 учеников: 35 989 девочек и 47 091 мальчик</w:t>
      </w:r>
      <w:r w:rsidRPr="00570DEC">
        <w:rPr>
          <w:color w:val="000000"/>
        </w:rPr>
        <w:t>. Данная программа направлена на сокращение числа детей, не посещающих школу. Число девушек, обучавшихся по программам среднего образования в области естественных наук, технологий, инженерного дела и м</w:t>
      </w:r>
      <w:r w:rsidRPr="00570DEC">
        <w:rPr>
          <w:color w:val="000000"/>
        </w:rPr>
        <w:t>а</w:t>
      </w:r>
      <w:r w:rsidRPr="00570DEC">
        <w:rPr>
          <w:color w:val="000000"/>
        </w:rPr>
        <w:t>тематики в университетах и университетских колледжах в 2008/09–2012/13 годах, увеличилось с 4615 в 2010 году до 8501 в 2014 </w:t>
      </w:r>
      <w:r w:rsidRPr="00570DEC">
        <w:rPr>
          <w:bCs/>
          <w:color w:val="000000"/>
        </w:rPr>
        <w:t>году.</w:t>
      </w:r>
      <w:r w:rsidRPr="00570DEC">
        <w:rPr>
          <w:color w:val="000000"/>
        </w:rPr>
        <w:t xml:space="preserve"> Сущ</w:t>
      </w:r>
      <w:r w:rsidRPr="00570DEC">
        <w:rPr>
          <w:color w:val="000000"/>
        </w:rPr>
        <w:t>е</w:t>
      </w:r>
      <w:r w:rsidRPr="00570DEC">
        <w:rPr>
          <w:color w:val="000000"/>
        </w:rPr>
        <w:t>ственно увеличилось число девушек, получавших образование в области ест</w:t>
      </w:r>
      <w:r w:rsidRPr="00570DEC">
        <w:rPr>
          <w:color w:val="000000"/>
        </w:rPr>
        <w:t>е</w:t>
      </w:r>
      <w:r w:rsidRPr="00570DEC">
        <w:rPr>
          <w:color w:val="000000"/>
        </w:rPr>
        <w:t>ственных наук,</w:t>
      </w:r>
      <w:r>
        <w:rPr>
          <w:color w:val="000000"/>
        </w:rPr>
        <w:t xml:space="preserve"> — </w:t>
      </w:r>
      <w:r w:rsidRPr="00570DEC">
        <w:rPr>
          <w:color w:val="000000"/>
        </w:rPr>
        <w:t>с 10 619 в 2008/09 году до 16 241 в 2012/13 году, что означ</w:t>
      </w:r>
      <w:r w:rsidRPr="00570DEC">
        <w:rPr>
          <w:color w:val="000000"/>
        </w:rPr>
        <w:t>а</w:t>
      </w:r>
      <w:r w:rsidRPr="00570DEC">
        <w:rPr>
          <w:color w:val="000000"/>
        </w:rPr>
        <w:t>ет рост на 52,94 процента. Тем не менее доля девушек в общем числе учащи</w:t>
      </w:r>
      <w:r w:rsidRPr="00570DEC">
        <w:rPr>
          <w:color w:val="000000"/>
        </w:rPr>
        <w:t>х</w:t>
      </w:r>
      <w:r w:rsidRPr="00570DEC">
        <w:rPr>
          <w:color w:val="000000"/>
        </w:rPr>
        <w:t>ся, получавших образование в области естественных наук в 2012/13 году, с</w:t>
      </w:r>
      <w:r w:rsidRPr="00570DEC">
        <w:rPr>
          <w:color w:val="000000"/>
        </w:rPr>
        <w:t>о</w:t>
      </w:r>
      <w:r w:rsidRPr="00570DEC">
        <w:rPr>
          <w:color w:val="000000"/>
        </w:rPr>
        <w:t>ставила всего лишь 31,33 процента. Число девушек, получавших образование в области гуманитарных наук, также увеличилось</w:t>
      </w:r>
      <w:r>
        <w:rPr>
          <w:color w:val="000000"/>
        </w:rPr>
        <w:t xml:space="preserve"> — </w:t>
      </w:r>
      <w:r w:rsidRPr="00570DEC">
        <w:rPr>
          <w:color w:val="000000"/>
        </w:rPr>
        <w:t>с 27</w:t>
      </w:r>
      <w:r w:rsidRPr="00570DEC">
        <w:rPr>
          <w:color w:val="000000"/>
          <w:lang w:val="en-US"/>
        </w:rPr>
        <w:t> </w:t>
      </w:r>
      <w:r w:rsidRPr="00570DEC">
        <w:rPr>
          <w:color w:val="000000"/>
        </w:rPr>
        <w:t>947 в 2008/09 году до 56</w:t>
      </w:r>
      <w:r w:rsidRPr="00570DEC">
        <w:rPr>
          <w:color w:val="000000"/>
          <w:lang w:val="en-US"/>
        </w:rPr>
        <w:t> </w:t>
      </w:r>
      <w:r w:rsidRPr="00570DEC">
        <w:rPr>
          <w:color w:val="000000"/>
        </w:rPr>
        <w:t xml:space="preserve">159 в 2012/13 году, что означает прирост на 100,95 процента; однако в 2012/13 году доля девушек в общем числе учащихся, получавших образование в области гуманитарных наук, составила всего лишь 37,65 процента. </w:t>
      </w:r>
    </w:p>
    <w:p w:rsidR="00AD593A" w:rsidRPr="00570DEC" w:rsidRDefault="00AD593A" w:rsidP="00AD593A">
      <w:pPr>
        <w:pStyle w:val="SingleTxt"/>
        <w:rPr>
          <w:color w:val="000000"/>
        </w:rPr>
      </w:pPr>
      <w:r w:rsidRPr="00570DEC">
        <w:rPr>
          <w:color w:val="000000"/>
        </w:rPr>
        <w:t>73.</w:t>
      </w:r>
      <w:r w:rsidRPr="00570DEC">
        <w:rPr>
          <w:color w:val="000000"/>
        </w:rPr>
        <w:tab/>
        <w:t>На Занзибаре государство-участник приняло меры, гарантирующие д</w:t>
      </w:r>
      <w:r w:rsidRPr="00570DEC">
        <w:rPr>
          <w:color w:val="000000"/>
        </w:rPr>
        <w:t>е</w:t>
      </w:r>
      <w:r w:rsidRPr="00570DEC">
        <w:rPr>
          <w:color w:val="000000"/>
        </w:rPr>
        <w:t>вочкам и женщинам равный доступ к образованию на всех уровнях, спосо</w:t>
      </w:r>
      <w:r w:rsidRPr="00570DEC">
        <w:rPr>
          <w:color w:val="000000"/>
        </w:rPr>
        <w:t>б</w:t>
      </w:r>
      <w:r w:rsidRPr="00570DEC">
        <w:rPr>
          <w:color w:val="000000"/>
        </w:rPr>
        <w:t>ствующие удержанию девочек в школе и расширяющие возможности реализ</w:t>
      </w:r>
      <w:r w:rsidRPr="00570DEC">
        <w:rPr>
          <w:color w:val="000000"/>
        </w:rPr>
        <w:t>а</w:t>
      </w:r>
      <w:r w:rsidRPr="00570DEC">
        <w:rPr>
          <w:color w:val="000000"/>
        </w:rPr>
        <w:t>ции программ возобновления учебы, с тем чтобы девушки могли после рожд</w:t>
      </w:r>
      <w:r w:rsidRPr="00570DEC">
        <w:rPr>
          <w:color w:val="000000"/>
        </w:rPr>
        <w:t>е</w:t>
      </w:r>
      <w:r w:rsidRPr="00570DEC">
        <w:rPr>
          <w:color w:val="000000"/>
        </w:rPr>
        <w:t>ния ребенка вернуться в занзибарские школы</w:t>
      </w:r>
      <w:r w:rsidRPr="00570DEC">
        <w:rPr>
          <w:bCs/>
          <w:color w:val="000000"/>
        </w:rPr>
        <w:t xml:space="preserve">. Коэффициент общего охвата начальным образованием в 2012/13 году вырос до 121,5 процента </w:t>
      </w:r>
      <w:r w:rsidRPr="00570DEC">
        <w:rPr>
          <w:color w:val="000000"/>
        </w:rPr>
        <w:t>(17 806 мальчиков и 17 843 девочек) по сравнению с 118,5 процента в 2011/12 году. Этот прирост отчасти свидетельствует об усилиях общин, прав</w:t>
      </w:r>
      <w:r w:rsidRPr="00570DEC">
        <w:rPr>
          <w:color w:val="000000"/>
        </w:rPr>
        <w:t>и</w:t>
      </w:r>
      <w:r w:rsidRPr="00570DEC">
        <w:rPr>
          <w:color w:val="000000"/>
        </w:rPr>
        <w:t>тельства и партнеров в области развития по строительству новых школ, обе</w:t>
      </w:r>
      <w:r w:rsidRPr="00570DEC">
        <w:rPr>
          <w:color w:val="000000"/>
        </w:rPr>
        <w:t>с</w:t>
      </w:r>
      <w:r w:rsidRPr="00570DEC">
        <w:rPr>
          <w:color w:val="000000"/>
        </w:rPr>
        <w:t>печению оборудованием и расширению штата учителей. Увеличение доступа к начальному образованию стало возможным благодаря инвестициям со стороны как государственного, так и частного сектора. В</w:t>
      </w:r>
      <w:r>
        <w:rPr>
          <w:color w:val="000000"/>
          <w:lang w:val="en-US"/>
        </w:rPr>
        <w:t> </w:t>
      </w:r>
      <w:r w:rsidRPr="00570DEC">
        <w:rPr>
          <w:color w:val="000000"/>
        </w:rPr>
        <w:t>2008/09 году, за год до начала осуществления МКУЗА II, начальное образование можно было получить в 232 государственных и 58 частных школах. К концу 2012/13 учебного года к</w:t>
      </w:r>
      <w:r w:rsidRPr="00570DEC">
        <w:rPr>
          <w:color w:val="000000"/>
        </w:rPr>
        <w:t>о</w:t>
      </w:r>
      <w:r w:rsidRPr="00570DEC">
        <w:rPr>
          <w:color w:val="000000"/>
        </w:rPr>
        <w:t>личество начальных школ выросло до 342, из них 263 школы были госуда</w:t>
      </w:r>
      <w:r w:rsidRPr="00570DEC">
        <w:rPr>
          <w:color w:val="000000"/>
        </w:rPr>
        <w:t>р</w:t>
      </w:r>
      <w:r w:rsidRPr="00570DEC">
        <w:rPr>
          <w:color w:val="000000"/>
        </w:rPr>
        <w:t>ственными, а 79</w:t>
      </w:r>
      <w:r>
        <w:rPr>
          <w:color w:val="000000"/>
        </w:rPr>
        <w:t xml:space="preserve"> — </w:t>
      </w:r>
      <w:r w:rsidRPr="00570DEC">
        <w:rPr>
          <w:color w:val="000000"/>
        </w:rPr>
        <w:t>частными. В 2012/13 году в этих школах обучалось в общей сложности 247 353 учащихся, и, таким образом, коэффициент охвата начал</w:t>
      </w:r>
      <w:r w:rsidRPr="00570DEC">
        <w:rPr>
          <w:color w:val="000000"/>
        </w:rPr>
        <w:t>ь</w:t>
      </w:r>
      <w:r w:rsidRPr="00570DEC">
        <w:rPr>
          <w:color w:val="000000"/>
        </w:rPr>
        <w:t xml:space="preserve">ным образованием увеличился до 124,4 процента по сравнению с 121,5 процента в 2011/12 году. </w:t>
      </w:r>
    </w:p>
    <w:p w:rsidR="00AD593A" w:rsidRPr="00570DEC" w:rsidRDefault="00AD593A" w:rsidP="00AD593A">
      <w:pPr>
        <w:pStyle w:val="SingleTxt"/>
        <w:rPr>
          <w:color w:val="000000"/>
        </w:rPr>
      </w:pPr>
      <w:r w:rsidRPr="00570DEC">
        <w:rPr>
          <w:color w:val="000000"/>
        </w:rPr>
        <w:t>74.</w:t>
      </w:r>
      <w:r w:rsidRPr="00570DEC">
        <w:rPr>
          <w:color w:val="000000"/>
        </w:rPr>
        <w:tab/>
        <w:t>В 2012 году на Занзибаре седьмой класс начальной школы закончили лишь 12 660 мальчиков и 13 652 девочки из зачисленных в свое время в первый класс 18 765 мальчиков и 17 900 девочек. Хотя существенное число учащихся прекратило обучение до получения полного начального образования, надо о</w:t>
      </w:r>
      <w:r w:rsidRPr="00570DEC">
        <w:rPr>
          <w:color w:val="000000"/>
        </w:rPr>
        <w:t>т</w:t>
      </w:r>
      <w:r w:rsidRPr="00570DEC">
        <w:rPr>
          <w:color w:val="000000"/>
        </w:rPr>
        <w:t>метить, что в целом девочки продемонстрировали несколько лучшие результ</w:t>
      </w:r>
      <w:r w:rsidRPr="00570DEC">
        <w:rPr>
          <w:color w:val="000000"/>
        </w:rPr>
        <w:t>а</w:t>
      </w:r>
      <w:r w:rsidRPr="00570DEC">
        <w:rPr>
          <w:color w:val="000000"/>
        </w:rPr>
        <w:t>ты при получении полного начального образования, чем мальчики. Из 25</w:t>
      </w:r>
      <w:r w:rsidRPr="00570DEC">
        <w:rPr>
          <w:color w:val="000000"/>
          <w:lang w:val="en-US"/>
        </w:rPr>
        <w:t> </w:t>
      </w:r>
      <w:r w:rsidRPr="00570DEC">
        <w:rPr>
          <w:color w:val="000000"/>
        </w:rPr>
        <w:t>385 учащихся, сдававших выпускные экзамены по окончании седьмого класса начальной школы в 2013 году, в среднюю школу поступили лишь 1438 учащихся, в том числе 696 девочек. Кроме того, в классы для особоод</w:t>
      </w:r>
      <w:r w:rsidRPr="00570DEC">
        <w:rPr>
          <w:color w:val="000000"/>
        </w:rPr>
        <w:t>а</w:t>
      </w:r>
      <w:r w:rsidRPr="00570DEC">
        <w:rPr>
          <w:color w:val="000000"/>
        </w:rPr>
        <w:t>ренных детей был принят 91 учащийся, в том числе 40 девочек. В 2009/10 году уровень грамотности достиг 82,3 процента. В 2012/13 году на Занзибаре было реализовано несколько инициатив в области борьбы с неграмотностью</w:t>
      </w:r>
      <w:r>
        <w:rPr>
          <w:color w:val="000000"/>
        </w:rPr>
        <w:t xml:space="preserve"> — </w:t>
      </w:r>
      <w:r w:rsidRPr="00570DEC">
        <w:rPr>
          <w:color w:val="000000"/>
        </w:rPr>
        <w:t>в частности, правительство оказало поддержку в создании учебных курсов для взрослых учащихся. В 2012/13 году в сельских и городских районах островов Унгуджа и Пемба было открыто десять новых учебных курсов для взрослых учащихся. В результате количество учебных курсов для взрослых учащихся достигло 57, а численность обучающихся составила 6492 человека (5689 женщин и 803 мужчины). В 2011/12 году в центрах образования и на учебных курсах для взрослых учащихся обучались 6910 взрослых учащихся: 6048 женщин и 862 мужчины. При обследовании 6029 учащихся (5240 женщин) выяснилось, что 444 учащихся (в том числе 362 женщины) в</w:t>
      </w:r>
      <w:r w:rsidRPr="00570DEC">
        <w:rPr>
          <w:color w:val="000000"/>
        </w:rPr>
        <w:t>ы</w:t>
      </w:r>
      <w:r w:rsidRPr="00570DEC">
        <w:rPr>
          <w:color w:val="000000"/>
        </w:rPr>
        <w:t>учились грамоте (Годовой отчет об осуществлении стратегии МКУЗА за 2013 год).</w:t>
      </w:r>
    </w:p>
    <w:p w:rsidR="00AD593A" w:rsidRPr="00570DEC" w:rsidRDefault="00AD593A" w:rsidP="00AD593A">
      <w:pPr>
        <w:pStyle w:val="SingleTxt"/>
        <w:rPr>
          <w:color w:val="000000"/>
        </w:rPr>
      </w:pPr>
      <w:r w:rsidRPr="00570DEC">
        <w:rPr>
          <w:color w:val="000000"/>
        </w:rPr>
        <w:t>75.</w:t>
      </w:r>
      <w:r w:rsidRPr="00570DEC">
        <w:rPr>
          <w:color w:val="000000"/>
        </w:rPr>
        <w:tab/>
        <w:t>В 2014/15 году в общей сложности 1286 студентов и 1372 студентки п</w:t>
      </w:r>
      <w:r w:rsidRPr="00570DEC">
        <w:rPr>
          <w:color w:val="000000"/>
        </w:rPr>
        <w:t>о</w:t>
      </w:r>
      <w:r w:rsidRPr="00570DEC">
        <w:rPr>
          <w:color w:val="000000"/>
        </w:rPr>
        <w:t>лучили займы от Совета по выдаче займов на получение высшего образования (СЗВО). Благодаря этим кредитам у них появилась возможность получить высшее образование по различным дисциплинам в высших учебных заведен</w:t>
      </w:r>
      <w:r w:rsidRPr="00570DEC">
        <w:rPr>
          <w:color w:val="000000"/>
        </w:rPr>
        <w:t>и</w:t>
      </w:r>
      <w:r w:rsidRPr="00570DEC">
        <w:rPr>
          <w:color w:val="000000"/>
        </w:rPr>
        <w:t>ях в Танзании (на материковой части Танзании и Занзибаре). По состоянию на 2011/12 год в педагогическом колледже по программам, предполагающим п</w:t>
      </w:r>
      <w:r w:rsidRPr="00570DEC">
        <w:rPr>
          <w:color w:val="000000"/>
        </w:rPr>
        <w:t>о</w:t>
      </w:r>
      <w:r w:rsidRPr="00570DEC">
        <w:rPr>
          <w:color w:val="000000"/>
        </w:rPr>
        <w:t>лучение диплома либо свидетельства, обучался в общей сложности 461 студент. По состоянию на 31 декабря 2013 года число женщин-преподавательниц в государственных высших учебных заведениях</w:t>
      </w:r>
      <w:r>
        <w:rPr>
          <w:rStyle w:val="FootnoteReference"/>
          <w:color w:val="000000"/>
        </w:rPr>
        <w:footnoteReference w:id="62"/>
      </w:r>
      <w:r w:rsidRPr="00570DEC">
        <w:rPr>
          <w:color w:val="000000"/>
        </w:rPr>
        <w:t xml:space="preserve"> составл</w:t>
      </w:r>
      <w:r w:rsidRPr="00570DEC">
        <w:rPr>
          <w:color w:val="000000"/>
        </w:rPr>
        <w:t>я</w:t>
      </w:r>
      <w:r w:rsidRPr="00570DEC">
        <w:rPr>
          <w:color w:val="000000"/>
        </w:rPr>
        <w:t>ло 2577 человек, в то время как число мужчин-преподавателей – 5467 человек. Кроме того, увеличилось число дипломированных учителей, получивших о</w:t>
      </w:r>
      <w:r w:rsidRPr="00570DEC">
        <w:rPr>
          <w:color w:val="000000"/>
        </w:rPr>
        <w:t>б</w:t>
      </w:r>
      <w:r w:rsidRPr="00570DEC">
        <w:rPr>
          <w:color w:val="000000"/>
        </w:rPr>
        <w:t xml:space="preserve">разование университетского уровня. В 2009/10 году общее число выпускников составляло 282 человека, а в 2010/11 году оно достигло 327 человек. </w:t>
      </w:r>
    </w:p>
    <w:p w:rsidR="00AD593A" w:rsidRPr="00570DEC" w:rsidRDefault="00AD593A" w:rsidP="00AD593A">
      <w:pPr>
        <w:pStyle w:val="SingleTxt"/>
        <w:rPr>
          <w:i/>
          <w:iCs/>
          <w:color w:val="000000"/>
        </w:rPr>
      </w:pPr>
      <w:r w:rsidRPr="00570DEC">
        <w:rPr>
          <w:color w:val="000000"/>
        </w:rPr>
        <w:t>76.</w:t>
      </w:r>
      <w:r w:rsidRPr="00570DEC">
        <w:rPr>
          <w:color w:val="000000"/>
        </w:rPr>
        <w:tab/>
        <w:t>Министерство образования и профессионального обучения (МОПО) ра</w:t>
      </w:r>
      <w:r w:rsidRPr="00570DEC">
        <w:rPr>
          <w:color w:val="000000"/>
        </w:rPr>
        <w:t>з</w:t>
      </w:r>
      <w:r w:rsidRPr="00570DEC">
        <w:rPr>
          <w:color w:val="000000"/>
        </w:rPr>
        <w:t>работало Среднесрочный стратегический план образования в области прав ч</w:t>
      </w:r>
      <w:r w:rsidRPr="00570DEC">
        <w:rPr>
          <w:color w:val="000000"/>
        </w:rPr>
        <w:t>е</w:t>
      </w:r>
      <w:r w:rsidRPr="00570DEC">
        <w:rPr>
          <w:color w:val="000000"/>
        </w:rPr>
        <w:t>ловека на 2011/12</w:t>
      </w:r>
      <w:r>
        <w:rPr>
          <w:color w:val="000000"/>
        </w:rPr>
        <w:t xml:space="preserve"> — </w:t>
      </w:r>
      <w:r w:rsidRPr="00570DEC">
        <w:rPr>
          <w:color w:val="000000"/>
        </w:rPr>
        <w:t>2015/16 годы, с тем чтобы выполнить обязательства пр</w:t>
      </w:r>
      <w:r w:rsidRPr="00570DEC">
        <w:rPr>
          <w:color w:val="000000"/>
        </w:rPr>
        <w:t>а</w:t>
      </w:r>
      <w:r w:rsidRPr="00570DEC">
        <w:rPr>
          <w:color w:val="000000"/>
        </w:rPr>
        <w:t>вительства по реализации стремлений, обозначенных в концепции развития Танзании до 2025 года и МКУКУТА, а также по достижению целей и задач "Образования для всех" (ОДВ). На Занзибаре МОПО реализует Политику гос</w:t>
      </w:r>
      <w:r w:rsidRPr="00570DEC">
        <w:rPr>
          <w:color w:val="000000"/>
        </w:rPr>
        <w:t>у</w:t>
      </w:r>
      <w:r w:rsidRPr="00570DEC">
        <w:rPr>
          <w:color w:val="000000"/>
        </w:rPr>
        <w:t>дарства-участника в сфере образования (2006 год), направленную на соде</w:t>
      </w:r>
      <w:r w:rsidRPr="00570DEC">
        <w:rPr>
          <w:color w:val="000000"/>
        </w:rPr>
        <w:t>й</w:t>
      </w:r>
      <w:r w:rsidRPr="00570DEC">
        <w:rPr>
          <w:color w:val="000000"/>
        </w:rPr>
        <w:t>ствие равноправию мужчин и женщин на всех уровнях образования и на предоставление возможностей продолжения образования вступившим в брак учащимся, беременным девочкам и молодым матерям</w:t>
      </w:r>
      <w:r w:rsidRPr="00570DEC">
        <w:rPr>
          <w:i/>
          <w:iCs/>
          <w:color w:val="000000"/>
        </w:rPr>
        <w:t>.</w:t>
      </w:r>
    </w:p>
    <w:p w:rsidR="00AD593A" w:rsidRPr="00570DEC" w:rsidRDefault="00AD593A" w:rsidP="00AD593A">
      <w:pPr>
        <w:pStyle w:val="SingleTxt"/>
        <w:rPr>
          <w:color w:val="000000"/>
        </w:rPr>
      </w:pPr>
      <w:r w:rsidRPr="00570DEC">
        <w:rPr>
          <w:bCs/>
          <w:color w:val="000000"/>
        </w:rPr>
        <w:t>77.</w:t>
      </w:r>
      <w:r w:rsidRPr="00570DEC">
        <w:rPr>
          <w:bCs/>
          <w:color w:val="000000"/>
        </w:rPr>
        <w:tab/>
        <w:t>В соответствии с рекомендацией Комитета государству-участнику выд</w:t>
      </w:r>
      <w:r w:rsidRPr="00570DEC">
        <w:rPr>
          <w:bCs/>
          <w:color w:val="000000"/>
        </w:rPr>
        <w:t>е</w:t>
      </w:r>
      <w:r w:rsidRPr="00570DEC">
        <w:rPr>
          <w:bCs/>
          <w:color w:val="000000"/>
        </w:rPr>
        <w:t>лить необходимые бюджетные ассигнования для осуществления различных проектов и программ, государство-участник выделило из имеющихся средств достаточные бюджетные ассигнования на образование и профессиональное обучение, прием на работу и удержание квалифицированных учителей в горо</w:t>
      </w:r>
      <w:r w:rsidRPr="00570DEC">
        <w:rPr>
          <w:bCs/>
          <w:color w:val="000000"/>
        </w:rPr>
        <w:t>д</w:t>
      </w:r>
      <w:r w:rsidRPr="00570DEC">
        <w:rPr>
          <w:bCs/>
          <w:color w:val="000000"/>
        </w:rPr>
        <w:t>ских и сельских районах, повышение показателей перехода девочек из класса в класс, проведение политики возвращения в школу и программы ДБО</w:t>
      </w:r>
      <w:r w:rsidRPr="00570DEC">
        <w:rPr>
          <w:color w:val="000000"/>
        </w:rPr>
        <w:t>. Доля бюджетных ассигнований, выделяемых на среднее образование, увеличилась с 12,5 процента в 2007/08 году до 20,4 процента в 2011/12 году. Доля бюджетных ассигнований, выделяемых на профессионально-техническое и высшее образ</w:t>
      </w:r>
      <w:r w:rsidRPr="00570DEC">
        <w:rPr>
          <w:color w:val="000000"/>
        </w:rPr>
        <w:t>о</w:t>
      </w:r>
      <w:r w:rsidRPr="00570DEC">
        <w:rPr>
          <w:color w:val="000000"/>
        </w:rPr>
        <w:t>вание, увеличилась с 21,9 процента в 2007/08 году до 27,2 процента в 2011/12 году (источник</w:t>
      </w:r>
      <w:r>
        <w:rPr>
          <w:color w:val="000000"/>
        </w:rPr>
        <w:t xml:space="preserve"> — </w:t>
      </w:r>
      <w:r w:rsidRPr="00570DEC">
        <w:rPr>
          <w:color w:val="000000"/>
        </w:rPr>
        <w:t>BEST 2011)72. Кроме того, "однозначной зависим</w:t>
      </w:r>
      <w:r w:rsidRPr="00570DEC">
        <w:rPr>
          <w:color w:val="000000"/>
        </w:rPr>
        <w:t>о</w:t>
      </w:r>
      <w:r w:rsidRPr="00570DEC">
        <w:rPr>
          <w:color w:val="000000"/>
        </w:rPr>
        <w:t>сти между возрастом и уровнем грамотности среди женщин и мужчин не с</w:t>
      </w:r>
      <w:r w:rsidRPr="00570DEC">
        <w:rPr>
          <w:color w:val="000000"/>
        </w:rPr>
        <w:t>у</w:t>
      </w:r>
      <w:r w:rsidRPr="00570DEC">
        <w:rPr>
          <w:color w:val="000000"/>
        </w:rPr>
        <w:t>ществует"</w:t>
      </w:r>
      <w:r>
        <w:rPr>
          <w:rStyle w:val="FootnoteReference"/>
          <w:color w:val="000000"/>
        </w:rPr>
        <w:footnoteReference w:id="63"/>
      </w:r>
      <w:r w:rsidRPr="00570DEC">
        <w:rPr>
          <w:color w:val="000000"/>
        </w:rPr>
        <w:t>. Уровни грамотности среди женщин и мужчин в городских рай</w:t>
      </w:r>
      <w:r w:rsidRPr="00570DEC">
        <w:rPr>
          <w:color w:val="000000"/>
        </w:rPr>
        <w:t>о</w:t>
      </w:r>
      <w:r w:rsidRPr="00570DEC">
        <w:rPr>
          <w:color w:val="000000"/>
        </w:rPr>
        <w:t>нах составляют "соответственно 88 процентов и 94 процента, в то время как в сельских районах они достигают соответственно 66 процентов и 78 проце</w:t>
      </w:r>
      <w:r w:rsidRPr="00570DEC">
        <w:rPr>
          <w:color w:val="000000"/>
        </w:rPr>
        <w:t>н</w:t>
      </w:r>
      <w:r w:rsidRPr="00570DEC">
        <w:rPr>
          <w:color w:val="000000"/>
        </w:rPr>
        <w:t>тов".</w:t>
      </w:r>
    </w:p>
    <w:p w:rsidR="00AD593A" w:rsidRPr="00570DEC" w:rsidRDefault="00AD593A" w:rsidP="00AD593A">
      <w:pPr>
        <w:pStyle w:val="SingleTxt"/>
        <w:rPr>
          <w:bCs/>
          <w:color w:val="000000"/>
        </w:rPr>
      </w:pPr>
      <w:r w:rsidRPr="00570DEC">
        <w:rPr>
          <w:bCs/>
          <w:color w:val="000000"/>
        </w:rPr>
        <w:t>78.</w:t>
      </w:r>
      <w:r w:rsidRPr="00570DEC">
        <w:rPr>
          <w:bCs/>
          <w:color w:val="000000"/>
        </w:rPr>
        <w:tab/>
        <w:t>В рамках реализации описанных выше инициатив государство-участник столкнулось с рядом проблем, в том числе:</w:t>
      </w:r>
    </w:p>
    <w:p w:rsidR="00AD593A" w:rsidRPr="00570DEC" w:rsidRDefault="00AD593A" w:rsidP="00AD593A">
      <w:pPr>
        <w:pStyle w:val="SingleTxt"/>
        <w:rPr>
          <w:b/>
          <w:bCs/>
        </w:rPr>
      </w:pPr>
      <w:r w:rsidRPr="006605A0">
        <w:tab/>
      </w:r>
      <w:r w:rsidRPr="00570DEC">
        <w:rPr>
          <w:lang w:val="en-US"/>
        </w:rPr>
        <w:t>a</w:t>
      </w:r>
      <w:r w:rsidRPr="00570DEC">
        <w:t>)</w:t>
      </w:r>
      <w:r w:rsidRPr="00570DEC">
        <w:tab/>
        <w:t xml:space="preserve">количество школ быстро росло, следовательно, вновь принятые на работу учителя нуждаются в дополнительном </w:t>
      </w:r>
      <w:r w:rsidRPr="002C5F69">
        <w:t>обучении</w:t>
      </w:r>
      <w:r w:rsidRPr="00570DEC">
        <w:t xml:space="preserve"> применению педагог</w:t>
      </w:r>
      <w:r w:rsidRPr="00570DEC">
        <w:t>и</w:t>
      </w:r>
      <w:r w:rsidRPr="00570DEC">
        <w:t>ческой модели, учитывающей гендерные аспекты, и учету гендерной пробл</w:t>
      </w:r>
      <w:r w:rsidRPr="00570DEC">
        <w:t>е</w:t>
      </w:r>
      <w:r w:rsidRPr="00570DEC">
        <w:t xml:space="preserve">матики в образовании; </w:t>
      </w:r>
    </w:p>
    <w:p w:rsidR="00AD593A" w:rsidRPr="00570DEC" w:rsidRDefault="00AD593A" w:rsidP="00AD593A">
      <w:pPr>
        <w:pStyle w:val="SingleTxt"/>
      </w:pPr>
      <w:r w:rsidRPr="006605A0">
        <w:tab/>
      </w:r>
      <w:r w:rsidRPr="00570DEC">
        <w:rPr>
          <w:lang w:val="en-US"/>
        </w:rPr>
        <w:t>b</w:t>
      </w:r>
      <w:r w:rsidRPr="00570DEC">
        <w:t>)</w:t>
      </w:r>
      <w:r w:rsidRPr="00570DEC">
        <w:tab/>
        <w:t>ввиду быстрого роста численности учащихся и количества школ требуется больше квалифицированных преподавателей естественных наук и математики; а также</w:t>
      </w:r>
    </w:p>
    <w:p w:rsidR="00AD593A" w:rsidRPr="00570DEC" w:rsidRDefault="00AD593A" w:rsidP="00AD593A">
      <w:pPr>
        <w:pStyle w:val="SingleTxt"/>
      </w:pPr>
      <w:r w:rsidRPr="006605A0">
        <w:tab/>
      </w:r>
      <w:r w:rsidRPr="00570DEC">
        <w:rPr>
          <w:lang w:val="en-US"/>
        </w:rPr>
        <w:t>c</w:t>
      </w:r>
      <w:r w:rsidRPr="00570DEC">
        <w:t>)</w:t>
      </w:r>
      <w:r w:rsidRPr="00570DEC">
        <w:tab/>
        <w:t>необходимо уделить больше внимания недостаточности бю</w:t>
      </w:r>
      <w:r w:rsidRPr="00570DEC">
        <w:t>д</w:t>
      </w:r>
      <w:r w:rsidRPr="00570DEC">
        <w:t xml:space="preserve">жетных ассигнований, выделяемых на осуществление гендерных проектов и программ в сфере образования. </w:t>
      </w:r>
    </w:p>
    <w:p w:rsidR="00AD593A" w:rsidRPr="00570DEC" w:rsidRDefault="00AD593A" w:rsidP="00AD593A">
      <w:pPr>
        <w:pStyle w:val="SingleTxt"/>
        <w:rPr>
          <w:color w:val="000000"/>
        </w:rPr>
      </w:pPr>
      <w:r w:rsidRPr="00570DEC">
        <w:rPr>
          <w:color w:val="000000"/>
        </w:rPr>
        <w:t>79.</w:t>
      </w:r>
      <w:r w:rsidRPr="00570DEC">
        <w:rPr>
          <w:color w:val="000000"/>
        </w:rPr>
        <w:tab/>
        <w:t>В целях ликвидации диспропорций, выявленных в рамках обследований, МОПО разработало стратегии</w:t>
      </w:r>
      <w:r>
        <w:rPr>
          <w:rStyle w:val="FootnoteReference"/>
          <w:color w:val="000000"/>
        </w:rPr>
        <w:footnoteReference w:id="64"/>
      </w:r>
      <w:r w:rsidRPr="00570DEC">
        <w:rPr>
          <w:color w:val="000000"/>
        </w:rPr>
        <w:t>, предусматривающие следующие задачи: ст</w:t>
      </w:r>
      <w:r w:rsidRPr="00570DEC">
        <w:rPr>
          <w:color w:val="000000"/>
        </w:rPr>
        <w:t>и</w:t>
      </w:r>
      <w:r w:rsidRPr="00570DEC">
        <w:rPr>
          <w:color w:val="000000"/>
        </w:rPr>
        <w:t>мулировать родителей вкладывать средства в образование своих дочерей и меньше загружать их работой по дому; установить связи с другими организ</w:t>
      </w:r>
      <w:r w:rsidRPr="00570DEC">
        <w:rPr>
          <w:color w:val="000000"/>
        </w:rPr>
        <w:t>а</w:t>
      </w:r>
      <w:r w:rsidRPr="00570DEC">
        <w:rPr>
          <w:color w:val="000000"/>
        </w:rPr>
        <w:t>циями, способствующими образованию девочек; расширить сеть средних школ для сокращения расстояния от мест проживания учащихся; создать специал</w:t>
      </w:r>
      <w:r w:rsidRPr="00570DEC">
        <w:rPr>
          <w:color w:val="000000"/>
        </w:rPr>
        <w:t>ь</w:t>
      </w:r>
      <w:r w:rsidRPr="00570DEC">
        <w:rPr>
          <w:color w:val="000000"/>
        </w:rPr>
        <w:t>ные классы с естественно-научным уклоном только для девочек; разработать инструмент гендерного анализа для оценки ситуации с гендерным равноправ</w:t>
      </w:r>
      <w:r w:rsidRPr="00570DEC">
        <w:rPr>
          <w:color w:val="000000"/>
        </w:rPr>
        <w:t>и</w:t>
      </w:r>
      <w:r w:rsidRPr="00570DEC">
        <w:rPr>
          <w:color w:val="000000"/>
        </w:rPr>
        <w:t>ем и равенством</w:t>
      </w:r>
      <w:r w:rsidRPr="00570DEC">
        <w:rPr>
          <w:i/>
          <w:iCs/>
          <w:color w:val="000000"/>
        </w:rPr>
        <w:t>.</w:t>
      </w:r>
    </w:p>
    <w:p w:rsidR="00AD593A" w:rsidRPr="00570DEC" w:rsidRDefault="00AD593A" w:rsidP="00AD593A">
      <w:pPr>
        <w:pStyle w:val="SingleTxt"/>
        <w:rPr>
          <w:color w:val="000000"/>
        </w:rPr>
      </w:pPr>
      <w:r w:rsidRPr="00570DEC">
        <w:rPr>
          <w:iCs/>
          <w:color w:val="000000"/>
        </w:rPr>
        <w:t>80.</w:t>
      </w:r>
      <w:r w:rsidRPr="00570DEC">
        <w:rPr>
          <w:iCs/>
          <w:color w:val="000000"/>
        </w:rPr>
        <w:tab/>
        <w:t>Кроме того, на программном уровне государство-участник осуществило на Занзибаре следующие мероприятия, касающиеся гендерных вопросов</w:t>
      </w:r>
      <w:r w:rsidRPr="00570DEC">
        <w:rPr>
          <w:color w:val="000000"/>
        </w:rPr>
        <w:t>:</w:t>
      </w:r>
    </w:p>
    <w:p w:rsidR="00AD593A" w:rsidRPr="00570DEC" w:rsidRDefault="00AD593A" w:rsidP="00AD593A">
      <w:pPr>
        <w:pStyle w:val="SingleTxt"/>
      </w:pPr>
      <w:r w:rsidRPr="006605A0">
        <w:tab/>
      </w:r>
      <w:r w:rsidRPr="00570DEC">
        <w:rPr>
          <w:lang w:val="en-US"/>
        </w:rPr>
        <w:t>a</w:t>
      </w:r>
      <w:r w:rsidRPr="00570DEC">
        <w:t>)</w:t>
      </w:r>
      <w:r w:rsidRPr="00570DEC">
        <w:tab/>
        <w:t>благодаря введению обучения основам безопасности жизнедеятел</w:t>
      </w:r>
      <w:r w:rsidRPr="00570DEC">
        <w:t>ь</w:t>
      </w:r>
      <w:r w:rsidRPr="00570DEC">
        <w:t xml:space="preserve">ности сократилось количество </w:t>
      </w:r>
      <w:r w:rsidRPr="002C5F69">
        <w:t>ранних</w:t>
      </w:r>
      <w:r w:rsidRPr="00570DEC">
        <w:t xml:space="preserve"> беременностей и ранних браков; дево</w:t>
      </w:r>
      <w:r w:rsidRPr="00570DEC">
        <w:t>ч</w:t>
      </w:r>
      <w:r w:rsidRPr="00570DEC">
        <w:t>ки обрели чувство собственного достоинства; уменьшилось количество случ</w:t>
      </w:r>
      <w:r w:rsidRPr="00570DEC">
        <w:t>а</w:t>
      </w:r>
      <w:r w:rsidRPr="00570DEC">
        <w:t>ев насилия в отношении девочек; девочки научились контролю над своими т</w:t>
      </w:r>
      <w:r w:rsidRPr="00570DEC">
        <w:t>е</w:t>
      </w:r>
      <w:r w:rsidRPr="00570DEC">
        <w:t>лами; расширилось участие девочек в жизни общества и улучшилось исполн</w:t>
      </w:r>
      <w:r w:rsidRPr="00570DEC">
        <w:t>е</w:t>
      </w:r>
      <w:r w:rsidRPr="00570DEC">
        <w:t xml:space="preserve">ние девочками своих обязанностей; </w:t>
      </w:r>
    </w:p>
    <w:p w:rsidR="00AD593A" w:rsidRPr="00570DEC" w:rsidRDefault="00AD593A" w:rsidP="00AD593A">
      <w:pPr>
        <w:pStyle w:val="SingleTxt"/>
      </w:pPr>
      <w:r w:rsidRPr="006605A0">
        <w:tab/>
      </w:r>
      <w:r w:rsidRPr="00570DEC">
        <w:rPr>
          <w:lang w:val="en-US"/>
        </w:rPr>
        <w:t>b</w:t>
      </w:r>
      <w:r w:rsidRPr="00570DEC">
        <w:t>)</w:t>
      </w:r>
      <w:r w:rsidRPr="00570DEC">
        <w:tab/>
        <w:t xml:space="preserve">гендерные вопросы нашли отражение в нормативно-правовой базе благодаря принятию нового Закона об образовании, защищающего девочек от замужества до </w:t>
      </w:r>
      <w:r w:rsidRPr="002C5F69">
        <w:t>получения</w:t>
      </w:r>
      <w:r w:rsidRPr="00570DEC">
        <w:t xml:space="preserve"> полного основного образования, а также защища</w:t>
      </w:r>
      <w:r w:rsidRPr="00570DEC">
        <w:t>ю</w:t>
      </w:r>
      <w:r w:rsidRPr="00570DEC">
        <w:t>щего их от практики сексуальных надругательств. Благодаря поправке, внесе</w:t>
      </w:r>
      <w:r w:rsidRPr="00570DEC">
        <w:t>н</w:t>
      </w:r>
      <w:r w:rsidRPr="00570DEC">
        <w:t>ной в 2005 году в Закон о защите детей незамужних женщин и родит</w:t>
      </w:r>
      <w:r w:rsidRPr="00570DEC">
        <w:t>е</w:t>
      </w:r>
      <w:r w:rsidRPr="00570DEC">
        <w:t>лей-одиночек 1985 года, и созданию Центра альтернативного обучения девочки п</w:t>
      </w:r>
      <w:r w:rsidRPr="00570DEC">
        <w:t>о</w:t>
      </w:r>
      <w:r w:rsidRPr="00570DEC">
        <w:t>лучили возможность продолжить обучение после рождения ребенка;</w:t>
      </w:r>
    </w:p>
    <w:p w:rsidR="00AD593A" w:rsidRPr="00570DEC" w:rsidRDefault="00AD593A" w:rsidP="00AD593A">
      <w:pPr>
        <w:pStyle w:val="SingleTxt"/>
        <w:rPr>
          <w:i/>
          <w:iCs/>
        </w:rPr>
      </w:pPr>
      <w:r w:rsidRPr="006605A0">
        <w:tab/>
      </w:r>
      <w:r w:rsidRPr="00570DEC">
        <w:rPr>
          <w:lang w:val="en-US"/>
        </w:rPr>
        <w:t>c</w:t>
      </w:r>
      <w:r w:rsidRPr="00570DEC">
        <w:t>)</w:t>
      </w:r>
      <w:r w:rsidRPr="00570DEC">
        <w:tab/>
        <w:t xml:space="preserve">на Занзибаре МОПО реализует Политику государства-участника в сфере образования (2006 год), </w:t>
      </w:r>
      <w:r w:rsidRPr="002C5F69">
        <w:t>направленную</w:t>
      </w:r>
      <w:r w:rsidRPr="00570DEC">
        <w:t xml:space="preserve"> на содействие равноправию му</w:t>
      </w:r>
      <w:r w:rsidRPr="00570DEC">
        <w:t>ж</w:t>
      </w:r>
      <w:r w:rsidRPr="00570DEC">
        <w:t>чин и женщин на всех уровнях образования и на предоставление возможностей продолжения образования вступившим в брак учащимся, беременным дево</w:t>
      </w:r>
      <w:r w:rsidRPr="00570DEC">
        <w:t>ч</w:t>
      </w:r>
      <w:r w:rsidRPr="00570DEC">
        <w:t>кам и молодым матерям.</w:t>
      </w:r>
    </w:p>
    <w:p w:rsidR="00AD593A" w:rsidRPr="00570DEC" w:rsidRDefault="00AD593A" w:rsidP="00AD593A">
      <w:pPr>
        <w:pStyle w:val="SingleTxt"/>
        <w:rPr>
          <w:color w:val="000000"/>
        </w:rPr>
      </w:pPr>
      <w:r w:rsidRPr="00570DEC">
        <w:rPr>
          <w:color w:val="000000"/>
        </w:rPr>
        <w:t>81.</w:t>
      </w:r>
      <w:r w:rsidRPr="00570DEC">
        <w:rPr>
          <w:color w:val="000000"/>
        </w:rPr>
        <w:tab/>
        <w:t>Благодаря реализации вышеупомянутых инициатив государство-участник достигло на Занзибаре следующих успехов: по состоянию на 2010 год более 96 директоров школ, 192 школьных учителя и консультанта, а также 50 членов общин прошли профессиональную подготовку в области гендерных аспектов в образовании и повысили свою осведомленность о значении образования для девочек; кроме того, в средней школе имени Бен Беллы на острове Унгуджа и в средней школе имени Фиделя Кастро на острове Пемба были созданы спец</w:t>
      </w:r>
      <w:r w:rsidRPr="00570DEC">
        <w:rPr>
          <w:color w:val="000000"/>
        </w:rPr>
        <w:t>и</w:t>
      </w:r>
      <w:r w:rsidRPr="00570DEC">
        <w:rPr>
          <w:color w:val="000000"/>
        </w:rPr>
        <w:t>альные классы для девочек с естественно-научным уклоном. Среди других д</w:t>
      </w:r>
      <w:r w:rsidRPr="00570DEC">
        <w:rPr>
          <w:color w:val="000000"/>
        </w:rPr>
        <w:t>о</w:t>
      </w:r>
      <w:r w:rsidRPr="00570DEC">
        <w:rPr>
          <w:color w:val="000000"/>
        </w:rPr>
        <w:t>стижений</w:t>
      </w:r>
      <w:r>
        <w:rPr>
          <w:color w:val="000000"/>
        </w:rPr>
        <w:t xml:space="preserve"> — </w:t>
      </w:r>
      <w:r w:rsidRPr="00570DEC">
        <w:rPr>
          <w:color w:val="000000"/>
        </w:rPr>
        <w:t>включение гендерных программ и учебных курсов в СПР бю</w:t>
      </w:r>
      <w:r w:rsidRPr="00570DEC">
        <w:rPr>
          <w:color w:val="000000"/>
        </w:rPr>
        <w:t>д</w:t>
      </w:r>
      <w:r w:rsidRPr="00570DEC">
        <w:rPr>
          <w:color w:val="000000"/>
        </w:rPr>
        <w:t>жетного плана МОПО на 2011/12 год, а также подготовка 520 учителей ест</w:t>
      </w:r>
      <w:r w:rsidRPr="00570DEC">
        <w:rPr>
          <w:color w:val="000000"/>
        </w:rPr>
        <w:t>е</w:t>
      </w:r>
      <w:r w:rsidRPr="00570DEC">
        <w:rPr>
          <w:color w:val="000000"/>
        </w:rPr>
        <w:t>ственных наук и математики по состоянию на 2010 год</w:t>
      </w:r>
      <w:r>
        <w:rPr>
          <w:rStyle w:val="FootnoteReference"/>
          <w:color w:val="000000"/>
        </w:rPr>
        <w:footnoteReference w:id="65"/>
      </w:r>
      <w:r w:rsidRPr="00570DEC">
        <w:rPr>
          <w:color w:val="000000"/>
        </w:rPr>
        <w:t>. Кроме того, на За</w:t>
      </w:r>
      <w:r w:rsidRPr="00570DEC">
        <w:rPr>
          <w:color w:val="000000"/>
        </w:rPr>
        <w:t>н</w:t>
      </w:r>
      <w:r w:rsidRPr="00570DEC">
        <w:rPr>
          <w:color w:val="000000"/>
        </w:rPr>
        <w:t>зибаре выросла численность дипломированных учителей, получивших образ</w:t>
      </w:r>
      <w:r w:rsidRPr="00570DEC">
        <w:rPr>
          <w:color w:val="000000"/>
        </w:rPr>
        <w:t>о</w:t>
      </w:r>
      <w:r w:rsidRPr="00570DEC">
        <w:rPr>
          <w:color w:val="000000"/>
        </w:rPr>
        <w:t>вание университетского уровня. В</w:t>
      </w:r>
      <w:r>
        <w:rPr>
          <w:color w:val="000000"/>
          <w:lang w:val="en-US"/>
        </w:rPr>
        <w:t> </w:t>
      </w:r>
      <w:r w:rsidRPr="00570DEC">
        <w:rPr>
          <w:color w:val="000000"/>
        </w:rPr>
        <w:t>2009/10 году общее число выпускников с</w:t>
      </w:r>
      <w:r w:rsidRPr="00570DEC">
        <w:rPr>
          <w:color w:val="000000"/>
        </w:rPr>
        <w:t>о</w:t>
      </w:r>
      <w:r w:rsidRPr="00570DEC">
        <w:rPr>
          <w:color w:val="000000"/>
        </w:rPr>
        <w:t xml:space="preserve">ставляло 282 человека, а в 2010/11 году оно достигло 327 человек. </w:t>
      </w:r>
    </w:p>
    <w:p w:rsidR="00AD593A" w:rsidRPr="00570DEC" w:rsidRDefault="00AD593A" w:rsidP="00D404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3" w:name="_Toc401576670"/>
      <w:r w:rsidRPr="00570DEC">
        <w:tab/>
      </w:r>
      <w:bookmarkStart w:id="34" w:name="_Toc417398642"/>
      <w:bookmarkEnd w:id="33"/>
      <w:r w:rsidRPr="00570DEC">
        <w:t>1.2.0</w:t>
      </w:r>
      <w:r w:rsidRPr="00570DEC">
        <w:tab/>
        <w:t>Занятость</w:t>
      </w:r>
      <w:bookmarkEnd w:id="34"/>
      <w:r w:rsidRPr="00570DEC">
        <w:t xml:space="preserve"> </w:t>
      </w:r>
    </w:p>
    <w:p w:rsidR="00D4044F" w:rsidRPr="00D4044F" w:rsidRDefault="00D4044F" w:rsidP="00D4044F">
      <w:pPr>
        <w:pStyle w:val="SingleTxt"/>
        <w:spacing w:after="0" w:line="120" w:lineRule="exact"/>
        <w:rPr>
          <w:color w:val="000000"/>
          <w:sz w:val="10"/>
        </w:rPr>
      </w:pPr>
    </w:p>
    <w:p w:rsidR="00AD593A" w:rsidRPr="00570DEC" w:rsidRDefault="00AD593A" w:rsidP="00AD593A">
      <w:pPr>
        <w:pStyle w:val="SingleTxt"/>
        <w:rPr>
          <w:color w:val="000000"/>
        </w:rPr>
      </w:pPr>
      <w:r w:rsidRPr="00570DEC">
        <w:rPr>
          <w:color w:val="000000"/>
        </w:rPr>
        <w:t>82.</w:t>
      </w:r>
      <w:r w:rsidRPr="00570DEC">
        <w:rPr>
          <w:color w:val="000000"/>
        </w:rPr>
        <w:tab/>
        <w:t>Согласно предыдущей рекомендаци</w:t>
      </w:r>
      <w:r>
        <w:rPr>
          <w:color w:val="000000"/>
        </w:rPr>
        <w:t>и</w:t>
      </w:r>
      <w:r w:rsidRPr="00570DEC">
        <w:rPr>
          <w:color w:val="000000"/>
        </w:rPr>
        <w:t xml:space="preserve"> Комитета по обеспечению равных возможностей для женщин и мужчин на рынке труда в соответствии со стат</w:t>
      </w:r>
      <w:r w:rsidRPr="00570DEC">
        <w:rPr>
          <w:color w:val="000000"/>
        </w:rPr>
        <w:t>ь</w:t>
      </w:r>
      <w:r w:rsidRPr="00570DEC">
        <w:rPr>
          <w:color w:val="000000"/>
        </w:rPr>
        <w:t>ей 11 Конвенции государство-участник приняло необходимые меры для того, чтобы законодательство, касающееся занятости, продолжало применяться и соблюдаться в государственном и частном секторах. В связи с этим госуда</w:t>
      </w:r>
      <w:r w:rsidRPr="00570DEC">
        <w:rPr>
          <w:color w:val="000000"/>
        </w:rPr>
        <w:t>р</w:t>
      </w:r>
      <w:r w:rsidRPr="00570DEC">
        <w:rPr>
          <w:color w:val="000000"/>
        </w:rPr>
        <w:t>ство-участник отменило ряд законов о труде, противоречивших междунаро</w:t>
      </w:r>
      <w:r w:rsidRPr="00570DEC">
        <w:rPr>
          <w:color w:val="000000"/>
        </w:rPr>
        <w:t>д</w:t>
      </w:r>
      <w:r w:rsidRPr="00570DEC">
        <w:rPr>
          <w:color w:val="000000"/>
        </w:rPr>
        <w:t>ным правовым нормам. В стране действует новое законодательство о труде, соответствующее международным трудовым нормам и обеспечивающее в ц</w:t>
      </w:r>
      <w:r w:rsidRPr="00570DEC">
        <w:rPr>
          <w:color w:val="000000"/>
        </w:rPr>
        <w:t>е</w:t>
      </w:r>
      <w:r w:rsidRPr="00570DEC">
        <w:rPr>
          <w:color w:val="000000"/>
        </w:rPr>
        <w:t>лом мужчинам и женщинам равные возможности доступа к занятости. В государстве-участнике применяется целый ряд законодательных актов о тр</w:t>
      </w:r>
      <w:r w:rsidRPr="00570DEC">
        <w:rPr>
          <w:color w:val="000000"/>
        </w:rPr>
        <w:t>у</w:t>
      </w:r>
      <w:r w:rsidRPr="00570DEC">
        <w:rPr>
          <w:color w:val="000000"/>
        </w:rPr>
        <w:t>де</w:t>
      </w:r>
      <w:r w:rsidR="00D4044F">
        <w:rPr>
          <w:rStyle w:val="FootnoteReference"/>
          <w:color w:val="000000"/>
        </w:rPr>
        <w:footnoteReference w:id="66"/>
      </w:r>
      <w:r w:rsidRPr="00570DEC">
        <w:rPr>
          <w:color w:val="000000"/>
        </w:rPr>
        <w:t xml:space="preserve">. </w:t>
      </w:r>
    </w:p>
    <w:p w:rsidR="00AD593A" w:rsidRPr="00570DEC" w:rsidRDefault="00AD593A" w:rsidP="00AD593A">
      <w:pPr>
        <w:pStyle w:val="SingleTxt"/>
        <w:rPr>
          <w:color w:val="000000"/>
        </w:rPr>
      </w:pPr>
      <w:r w:rsidRPr="00570DEC">
        <w:rPr>
          <w:color w:val="000000"/>
        </w:rPr>
        <w:t>83.</w:t>
      </w:r>
      <w:r w:rsidRPr="00570DEC">
        <w:rPr>
          <w:color w:val="000000"/>
        </w:rPr>
        <w:tab/>
        <w:t>На материковой части Танзании государство-участник продолжало обе</w:t>
      </w:r>
      <w:r w:rsidRPr="00570DEC">
        <w:rPr>
          <w:color w:val="000000"/>
        </w:rPr>
        <w:t>с</w:t>
      </w:r>
      <w:r w:rsidRPr="00570DEC">
        <w:rPr>
          <w:color w:val="000000"/>
        </w:rPr>
        <w:t>печивать соблюдение Закона о занятости и трудовых отношениях (ЗЗТО), кот</w:t>
      </w:r>
      <w:r w:rsidRPr="00570DEC">
        <w:rPr>
          <w:color w:val="000000"/>
        </w:rPr>
        <w:t>о</w:t>
      </w:r>
      <w:r w:rsidRPr="00570DEC">
        <w:rPr>
          <w:color w:val="000000"/>
        </w:rPr>
        <w:t>рый, в частности, предусматривает равенство возможностей</w:t>
      </w:r>
      <w:r w:rsidR="00D4044F">
        <w:rPr>
          <w:rStyle w:val="FootnoteReference"/>
          <w:color w:val="000000"/>
        </w:rPr>
        <w:footnoteReference w:id="67"/>
      </w:r>
      <w:r w:rsidR="00D4044F" w:rsidRPr="00D4044F">
        <w:rPr>
          <w:color w:val="000000"/>
        </w:rPr>
        <w:t>.</w:t>
      </w:r>
      <w:r w:rsidRPr="00570DEC">
        <w:rPr>
          <w:color w:val="000000"/>
          <w:vertAlign w:val="superscript"/>
        </w:rPr>
        <w:t>.</w:t>
      </w:r>
      <w:r w:rsidRPr="00570DEC">
        <w:rPr>
          <w:color w:val="000000"/>
        </w:rPr>
        <w:t xml:space="preserve"> В принципе данный Закон предусматривает уголовную ответственность за дискриминацию в вопросах труда в соответствии с пунктом 7 статьи 7</w:t>
      </w:r>
      <w:r w:rsidR="00D4044F">
        <w:rPr>
          <w:rStyle w:val="FootnoteReference"/>
          <w:color w:val="000000"/>
        </w:rPr>
        <w:footnoteReference w:id="68"/>
      </w:r>
      <w:r w:rsidRPr="00570DEC">
        <w:rPr>
          <w:color w:val="000000"/>
        </w:rPr>
        <w:t>. При рассмотрении д</w:t>
      </w:r>
      <w:r w:rsidRPr="00570DEC">
        <w:rPr>
          <w:color w:val="000000"/>
        </w:rPr>
        <w:t>е</w:t>
      </w:r>
      <w:r w:rsidRPr="00570DEC">
        <w:rPr>
          <w:color w:val="000000"/>
        </w:rPr>
        <w:t>ла "Систи Патрик Кесси и 2 других против директора компании China Paper"</w:t>
      </w:r>
      <w:r w:rsidR="00D4044F">
        <w:rPr>
          <w:rStyle w:val="FootnoteReference"/>
          <w:color w:val="000000"/>
        </w:rPr>
        <w:footnoteReference w:id="69"/>
      </w:r>
      <w:r w:rsidRPr="00570DEC">
        <w:rPr>
          <w:color w:val="000000"/>
        </w:rPr>
        <w:t xml:space="preserve"> суд по трудовым спорам постановил, что работодатель, осуществляющий ди</w:t>
      </w:r>
      <w:r w:rsidRPr="00570DEC">
        <w:rPr>
          <w:color w:val="000000"/>
        </w:rPr>
        <w:t>с</w:t>
      </w:r>
      <w:r w:rsidRPr="00570DEC">
        <w:rPr>
          <w:color w:val="000000"/>
        </w:rPr>
        <w:t>криминацию работника в нарушение положений пунктов 4 и 5 статьи 7 ЗЗТО, виновен в совершении правонарушения</w:t>
      </w:r>
      <w:r w:rsidR="00D4044F">
        <w:rPr>
          <w:rStyle w:val="FootnoteReference"/>
          <w:color w:val="000000"/>
        </w:rPr>
        <w:footnoteReference w:id="70"/>
      </w:r>
      <w:r w:rsidRPr="00570DEC">
        <w:rPr>
          <w:color w:val="000000"/>
        </w:rPr>
        <w:t>.</w:t>
      </w:r>
    </w:p>
    <w:p w:rsidR="00AD593A" w:rsidRPr="00570DEC" w:rsidRDefault="00AD593A" w:rsidP="00AD593A">
      <w:pPr>
        <w:pStyle w:val="SingleTxt"/>
        <w:rPr>
          <w:color w:val="000000"/>
        </w:rPr>
      </w:pPr>
      <w:r w:rsidRPr="00570DEC">
        <w:rPr>
          <w:color w:val="000000"/>
        </w:rPr>
        <w:t>84.</w:t>
      </w:r>
      <w:r w:rsidRPr="00570DEC">
        <w:rPr>
          <w:color w:val="000000"/>
        </w:rPr>
        <w:tab/>
        <w:t>В 2011 году государство-участник через Министерство труда и занятости приступило к осуществлению проекта "Лучше меньше, да лучше" в рамках р</w:t>
      </w:r>
      <w:r w:rsidRPr="00570DEC">
        <w:rPr>
          <w:color w:val="000000"/>
        </w:rPr>
        <w:t>е</w:t>
      </w:r>
      <w:r w:rsidRPr="00570DEC">
        <w:rPr>
          <w:color w:val="000000"/>
        </w:rPr>
        <w:t>ализации Национальной политики в области занятости (2008 год) на материк</w:t>
      </w:r>
      <w:r w:rsidRPr="00570DEC">
        <w:rPr>
          <w:color w:val="000000"/>
        </w:rPr>
        <w:t>о</w:t>
      </w:r>
      <w:r w:rsidRPr="00570DEC">
        <w:rPr>
          <w:color w:val="000000"/>
        </w:rPr>
        <w:t>вой части Танзании под эгидой Европейского союза и в сотрудничестве с т</w:t>
      </w:r>
      <w:r w:rsidRPr="00570DEC">
        <w:rPr>
          <w:color w:val="000000"/>
        </w:rPr>
        <w:t>а</w:t>
      </w:r>
      <w:r w:rsidRPr="00570DEC">
        <w:rPr>
          <w:color w:val="000000"/>
        </w:rPr>
        <w:t>кими заинтересованными сторонами, как Система комплексной реабилитации на базе общин в Танзании (CCBRT), CEFA (итальянская НПО) и Radar Development. В</w:t>
      </w:r>
      <w:r>
        <w:rPr>
          <w:color w:val="000000"/>
          <w:lang w:val="en-US"/>
        </w:rPr>
        <w:t> </w:t>
      </w:r>
      <w:r w:rsidRPr="00570DEC">
        <w:rPr>
          <w:color w:val="000000"/>
        </w:rPr>
        <w:t>рамках этого проекта в общей сложности 308 человек с огр</w:t>
      </w:r>
      <w:r w:rsidRPr="00570DEC">
        <w:rPr>
          <w:color w:val="000000"/>
        </w:rPr>
        <w:t>а</w:t>
      </w:r>
      <w:r w:rsidRPr="00570DEC">
        <w:rPr>
          <w:color w:val="000000"/>
        </w:rPr>
        <w:t>ниченными возможностями прошли обучение и получили профессионально-техническое образование в области плотницкого дела, кулинарии, портняжного дела и изящных искусств. Благодаря этому обучению 145 слушателей получ</w:t>
      </w:r>
      <w:r w:rsidRPr="00570DEC">
        <w:rPr>
          <w:color w:val="000000"/>
        </w:rPr>
        <w:t>и</w:t>
      </w:r>
      <w:r w:rsidRPr="00570DEC">
        <w:rPr>
          <w:color w:val="000000"/>
        </w:rPr>
        <w:t>ли работу по найму на различных предприятиях, а 163</w:t>
      </w:r>
      <w:r w:rsidR="00D4044F">
        <w:rPr>
          <w:color w:val="000000"/>
        </w:rPr>
        <w:t xml:space="preserve"> — </w:t>
      </w:r>
      <w:r w:rsidRPr="00570DEC">
        <w:rPr>
          <w:color w:val="000000"/>
        </w:rPr>
        <w:t>возможность сам</w:t>
      </w:r>
      <w:r w:rsidRPr="00570DEC">
        <w:rPr>
          <w:color w:val="000000"/>
        </w:rPr>
        <w:t>о</w:t>
      </w:r>
      <w:r w:rsidRPr="00570DEC">
        <w:rPr>
          <w:color w:val="000000"/>
        </w:rPr>
        <w:t xml:space="preserve">стоятельной занятости. </w:t>
      </w:r>
    </w:p>
    <w:p w:rsidR="00AD593A" w:rsidRPr="00570DEC" w:rsidRDefault="00AD593A" w:rsidP="00AD593A">
      <w:pPr>
        <w:pStyle w:val="SingleTxt"/>
        <w:rPr>
          <w:color w:val="000000"/>
        </w:rPr>
      </w:pPr>
      <w:r w:rsidRPr="00570DEC">
        <w:rPr>
          <w:color w:val="000000"/>
        </w:rPr>
        <w:t>85.</w:t>
      </w:r>
      <w:r w:rsidRPr="00570DEC">
        <w:rPr>
          <w:color w:val="000000"/>
        </w:rPr>
        <w:tab/>
        <w:t>Наряду с вышеупомянутыми законами о труде, в 2009 году на Занзибаре была разработана Политика в области занятости, направленная на упрочение гарантий равных возможностей для мужчин и женщин, расширение их прав и возможностей на работу по найму и развитие самостоятельной занятости, на предоставление мужчинам и женщинам возможностей занятости, соверше</w:t>
      </w:r>
      <w:r w:rsidRPr="00570DEC">
        <w:rPr>
          <w:color w:val="000000"/>
        </w:rPr>
        <w:t>н</w:t>
      </w:r>
      <w:r w:rsidRPr="00570DEC">
        <w:rPr>
          <w:color w:val="000000"/>
        </w:rPr>
        <w:t>ствования навыков и получения дохода на основе равенства с учетом особе</w:t>
      </w:r>
      <w:r w:rsidRPr="00570DEC">
        <w:rPr>
          <w:color w:val="000000"/>
        </w:rPr>
        <w:t>н</w:t>
      </w:r>
      <w:r w:rsidRPr="00570DEC">
        <w:rPr>
          <w:color w:val="000000"/>
        </w:rPr>
        <w:t>ностей положения таких уязвимых групп населения, как женщины, молодежь и люди с ограниченными возможностями, на содействие реализации стратегий расширения занятости с целью достижения экономической выгоды и недоп</w:t>
      </w:r>
      <w:r w:rsidRPr="00570DEC">
        <w:rPr>
          <w:color w:val="000000"/>
        </w:rPr>
        <w:t>у</w:t>
      </w:r>
      <w:r w:rsidRPr="00570DEC">
        <w:rPr>
          <w:color w:val="000000"/>
        </w:rPr>
        <w:t>щения неравенства, а также на защиту основных прав и льгот трудящихся, предусмотренных трудовым законодательством Занзибара и международными трудовыми нормами.</w:t>
      </w:r>
    </w:p>
    <w:p w:rsidR="00AD593A" w:rsidRPr="00570DEC" w:rsidRDefault="00AD593A" w:rsidP="00AD593A">
      <w:pPr>
        <w:pStyle w:val="SingleTxt"/>
        <w:rPr>
          <w:color w:val="000000"/>
        </w:rPr>
      </w:pPr>
      <w:r w:rsidRPr="00570DEC">
        <w:rPr>
          <w:color w:val="000000"/>
        </w:rPr>
        <w:t>86.</w:t>
      </w:r>
      <w:r w:rsidRPr="00570DEC">
        <w:rPr>
          <w:color w:val="000000"/>
        </w:rPr>
        <w:tab/>
        <w:t>Государство-участник выполнило рекомендации Комитета по созданию нормативно-правовой базы для неформального сектора с целью обеспечения доступа женщин к социальной защите и благам. Занятость является связу</w:t>
      </w:r>
      <w:r w:rsidRPr="00570DEC">
        <w:rPr>
          <w:color w:val="000000"/>
        </w:rPr>
        <w:t>ю</w:t>
      </w:r>
      <w:r w:rsidRPr="00570DEC">
        <w:rPr>
          <w:color w:val="000000"/>
        </w:rPr>
        <w:t>щим звеном между экономическим ростом и сокращением масштабов нищеты по доходу. Согласно ДНРЛР (2009 год), в период 2001–2006 годов ежегодно с</w:t>
      </w:r>
      <w:r w:rsidRPr="00570DEC">
        <w:rPr>
          <w:color w:val="000000"/>
        </w:rPr>
        <w:t>о</w:t>
      </w:r>
      <w:r w:rsidRPr="00570DEC">
        <w:rPr>
          <w:color w:val="000000"/>
        </w:rPr>
        <w:t>здавалось 630 000 новых рабочих мест, в основном в неформальном секторе, что совпадает с темпами роста рабочей силы. Однако большое значение для объяснения застоя в уровнях нищеты имеет качество создаваемых рабочих мест. Уровень безработицы среди молодежи в возрасте 15 лет и старше сниж</w:t>
      </w:r>
      <w:r w:rsidRPr="00570DEC">
        <w:rPr>
          <w:color w:val="000000"/>
        </w:rPr>
        <w:t>а</w:t>
      </w:r>
      <w:r w:rsidRPr="00570DEC">
        <w:rPr>
          <w:color w:val="000000"/>
        </w:rPr>
        <w:t>ется медленно, с 12,9 процента в 2006 году (КОРС) до 11,7 процента в 2007 году (ОБДХ). Уровень безработицы среди молодежи (в возрасте от 18 до 34 лет) в 2006 году составлял 13,4 процента (КОРС 2006 года). Наивысший уровень безработицы наблюдался среди девушек, составляя примерно 15,4 процента по сравнению с 14,3 процента среди юношей (КОРС 2006 года). Кроме того, доля женщин среди работающих по найму составляла 24,7 процента, среди неоплачиваемых помощников</w:t>
      </w:r>
      <w:r w:rsidR="00D4044F">
        <w:rPr>
          <w:color w:val="000000"/>
        </w:rPr>
        <w:t xml:space="preserve"> — </w:t>
      </w:r>
      <w:r w:rsidRPr="00570DEC">
        <w:rPr>
          <w:color w:val="000000"/>
        </w:rPr>
        <w:t>42,3 процента, среди з</w:t>
      </w:r>
      <w:r w:rsidRPr="00570DEC">
        <w:rPr>
          <w:color w:val="000000"/>
        </w:rPr>
        <w:t>а</w:t>
      </w:r>
      <w:r w:rsidRPr="00570DEC">
        <w:rPr>
          <w:color w:val="000000"/>
        </w:rPr>
        <w:t>нятых в сельском хозяйстве</w:t>
      </w:r>
      <w:r w:rsidR="00D4044F">
        <w:rPr>
          <w:color w:val="000000"/>
        </w:rPr>
        <w:t xml:space="preserve"> — </w:t>
      </w:r>
      <w:r w:rsidRPr="00570DEC">
        <w:rPr>
          <w:color w:val="000000"/>
        </w:rPr>
        <w:t>53,9 процента, и лишь 20 процентов − среди с</w:t>
      </w:r>
      <w:r w:rsidRPr="00570DEC">
        <w:rPr>
          <w:color w:val="000000"/>
        </w:rPr>
        <w:t>а</w:t>
      </w:r>
      <w:r w:rsidRPr="00570DEC">
        <w:rPr>
          <w:color w:val="000000"/>
        </w:rPr>
        <w:t>мозанятых лиц; кроме того, уровень безработицы среди женщин был выше, чем у мужчин, за исключением сельских районов. В Дар-эс-Саламе уровень безраб</w:t>
      </w:r>
      <w:r w:rsidRPr="00570DEC">
        <w:rPr>
          <w:color w:val="000000"/>
        </w:rPr>
        <w:t>о</w:t>
      </w:r>
      <w:r w:rsidRPr="00570DEC">
        <w:rPr>
          <w:color w:val="000000"/>
        </w:rPr>
        <w:t>тицы среди женщин составлял в 2006 году 40,3 процента по сравнению с 19,2 процента среди мужчин. На Занзибаре уровень безработицы составлял, согласно ОБДХ 2009–2010 годов, 4,4 процента, а уровень безработицы среди молодежи</w:t>
      </w:r>
      <w:r w:rsidR="00D4044F">
        <w:rPr>
          <w:color w:val="000000"/>
        </w:rPr>
        <w:t xml:space="preserve"> — </w:t>
      </w:r>
      <w:r w:rsidRPr="00570DEC">
        <w:rPr>
          <w:color w:val="000000"/>
        </w:rPr>
        <w:t>17,1 процента.</w:t>
      </w:r>
    </w:p>
    <w:p w:rsidR="00AD593A" w:rsidRPr="00570DEC" w:rsidRDefault="00AD593A" w:rsidP="00AD593A">
      <w:pPr>
        <w:pStyle w:val="SingleTxt"/>
        <w:rPr>
          <w:color w:val="000000"/>
        </w:rPr>
      </w:pPr>
      <w:r w:rsidRPr="00570DEC">
        <w:rPr>
          <w:color w:val="000000"/>
        </w:rPr>
        <w:t>87.</w:t>
      </w:r>
      <w:r w:rsidRPr="00570DEC">
        <w:rPr>
          <w:color w:val="000000"/>
        </w:rPr>
        <w:tab/>
        <w:t>Государство-участник разработало и проводит в жизнь политику и зак</w:t>
      </w:r>
      <w:r w:rsidRPr="00570DEC">
        <w:rPr>
          <w:color w:val="000000"/>
        </w:rPr>
        <w:t>о</w:t>
      </w:r>
      <w:r w:rsidRPr="00570DEC">
        <w:rPr>
          <w:color w:val="000000"/>
        </w:rPr>
        <w:t>нодательство, благоприятствующие предоставлению женщинам доступа к с</w:t>
      </w:r>
      <w:r w:rsidRPr="00570DEC">
        <w:rPr>
          <w:color w:val="000000"/>
        </w:rPr>
        <w:t>о</w:t>
      </w:r>
      <w:r w:rsidRPr="00570DEC">
        <w:rPr>
          <w:color w:val="000000"/>
        </w:rPr>
        <w:t>циальной защите в сфере занятости. Политика в области социальной защиты Занзибара (2014 год) призвана обеспечить социальную защищенность труд</w:t>
      </w:r>
      <w:r w:rsidRPr="00570DEC">
        <w:rPr>
          <w:color w:val="000000"/>
        </w:rPr>
        <w:t>я</w:t>
      </w:r>
      <w:r w:rsidRPr="00570DEC">
        <w:rPr>
          <w:color w:val="000000"/>
        </w:rPr>
        <w:t>щихся взрослых, которые во многих случаях не защищены от утраты источн</w:t>
      </w:r>
      <w:r w:rsidRPr="00570DEC">
        <w:rPr>
          <w:color w:val="000000"/>
        </w:rPr>
        <w:t>и</w:t>
      </w:r>
      <w:r w:rsidRPr="00570DEC">
        <w:rPr>
          <w:color w:val="000000"/>
        </w:rPr>
        <w:t>ка своего дохода. В частности, в рамках данной политики правительство взяло на себя обязательство "сотрудничать с Занзибарским фондом социального обеспечения (ЗФСО) с целью расширения доступа к социальному обеспеч</w:t>
      </w:r>
      <w:r w:rsidRPr="00570DEC">
        <w:rPr>
          <w:color w:val="000000"/>
        </w:rPr>
        <w:t>е</w:t>
      </w:r>
      <w:r w:rsidRPr="00570DEC">
        <w:rPr>
          <w:color w:val="000000"/>
        </w:rPr>
        <w:t>нию, а также к его преимуществам и реальным выгодам" посредством "поо</w:t>
      </w:r>
      <w:r w:rsidRPr="00570DEC">
        <w:rPr>
          <w:color w:val="000000"/>
        </w:rPr>
        <w:t>щ</w:t>
      </w:r>
      <w:r w:rsidRPr="00570DEC">
        <w:rPr>
          <w:color w:val="000000"/>
        </w:rPr>
        <w:t>рения расширения охвата социальным обеспечением самозанятых и неофиц</w:t>
      </w:r>
      <w:r w:rsidRPr="00570DEC">
        <w:rPr>
          <w:color w:val="000000"/>
        </w:rPr>
        <w:t>и</w:t>
      </w:r>
      <w:r w:rsidRPr="00570DEC">
        <w:rPr>
          <w:color w:val="000000"/>
        </w:rPr>
        <w:t>ально занятых работников, имеющих устойчивые денежные поступления". О</w:t>
      </w:r>
      <w:r w:rsidRPr="00570DEC">
        <w:rPr>
          <w:color w:val="000000"/>
        </w:rPr>
        <w:t>с</w:t>
      </w:r>
      <w:r w:rsidRPr="00570DEC">
        <w:rPr>
          <w:color w:val="000000"/>
        </w:rPr>
        <w:t>новным показателем продвижения этой стратегии является политическое зая</w:t>
      </w:r>
      <w:r w:rsidRPr="00570DEC">
        <w:rPr>
          <w:color w:val="000000"/>
        </w:rPr>
        <w:t>в</w:t>
      </w:r>
      <w:r w:rsidRPr="00570DEC">
        <w:rPr>
          <w:color w:val="000000"/>
        </w:rPr>
        <w:t xml:space="preserve">ление о запрете дискриминации женщин в сфере занятости. </w:t>
      </w:r>
    </w:p>
    <w:p w:rsidR="00AD593A" w:rsidRPr="00570DEC" w:rsidRDefault="00AD593A" w:rsidP="00AD593A">
      <w:pPr>
        <w:pStyle w:val="SingleTxt"/>
        <w:rPr>
          <w:color w:val="000000"/>
        </w:rPr>
      </w:pPr>
      <w:r w:rsidRPr="00570DEC">
        <w:rPr>
          <w:color w:val="000000"/>
        </w:rPr>
        <w:t>88.</w:t>
      </w:r>
      <w:r w:rsidRPr="00570DEC">
        <w:rPr>
          <w:color w:val="000000"/>
        </w:rPr>
        <w:tab/>
        <w:t>Одной из целей стратегии сокращения масштабов нищеты на Занзибаре МКУЗА II (2010–2015 годы) является "совершенствование социальной защиты и социального обеспечения малоимущих и социально уязвимых групп насел</w:t>
      </w:r>
      <w:r w:rsidRPr="00570DEC">
        <w:rPr>
          <w:color w:val="000000"/>
        </w:rPr>
        <w:t>е</w:t>
      </w:r>
      <w:r w:rsidRPr="00570DEC">
        <w:rPr>
          <w:color w:val="000000"/>
        </w:rPr>
        <w:t>ния". Правительство провело исследование проблем нищеты, уязвимости и с</w:t>
      </w:r>
      <w:r w:rsidRPr="00570DEC">
        <w:rPr>
          <w:color w:val="000000"/>
        </w:rPr>
        <w:t>о</w:t>
      </w:r>
      <w:r w:rsidRPr="00570DEC">
        <w:rPr>
          <w:color w:val="000000"/>
        </w:rPr>
        <w:t>циальной защиты на Занзибаре (2012 год). Целью данного исследования явл</w:t>
      </w:r>
      <w:r w:rsidRPr="00570DEC">
        <w:rPr>
          <w:color w:val="000000"/>
        </w:rPr>
        <w:t>я</w:t>
      </w:r>
      <w:r w:rsidRPr="00570DEC">
        <w:rPr>
          <w:color w:val="000000"/>
        </w:rPr>
        <w:t>ется активизация усилий по упрочению социальной защиты на Занзибаре и устранению имеющихся в этой сфере пробелов. Оно также поможет понять положение различных уязвимых групп населения и рекомендовать более э</w:t>
      </w:r>
      <w:r w:rsidRPr="00570DEC">
        <w:rPr>
          <w:color w:val="000000"/>
        </w:rPr>
        <w:t>ф</w:t>
      </w:r>
      <w:r w:rsidRPr="00570DEC">
        <w:rPr>
          <w:color w:val="000000"/>
        </w:rPr>
        <w:t>фективные стратегии преодоления проблем, с которыми они могут столкнут</w:t>
      </w:r>
      <w:r w:rsidRPr="00570DEC">
        <w:rPr>
          <w:color w:val="000000"/>
        </w:rPr>
        <w:t>ь</w:t>
      </w:r>
      <w:r w:rsidRPr="00570DEC">
        <w:rPr>
          <w:color w:val="000000"/>
        </w:rPr>
        <w:t>ся. Результаты исследования служат источником фактологической информации и были использованы для разработки Политики в области социальной защиты (2014 год).</w:t>
      </w:r>
    </w:p>
    <w:p w:rsidR="00AD593A" w:rsidRPr="00570DEC" w:rsidRDefault="00AD593A" w:rsidP="00AD593A">
      <w:pPr>
        <w:pStyle w:val="SingleTxt"/>
        <w:rPr>
          <w:color w:val="000000"/>
        </w:rPr>
      </w:pPr>
      <w:r w:rsidRPr="00570DEC">
        <w:rPr>
          <w:color w:val="000000"/>
        </w:rPr>
        <w:t>89.</w:t>
      </w:r>
      <w:r w:rsidRPr="00570DEC">
        <w:rPr>
          <w:color w:val="000000"/>
        </w:rPr>
        <w:tab/>
        <w:t>Государство-участник обеспечивает мужчинам и женщинам равные во</w:t>
      </w:r>
      <w:r w:rsidRPr="00570DEC">
        <w:rPr>
          <w:color w:val="000000"/>
        </w:rPr>
        <w:t>з</w:t>
      </w:r>
      <w:r w:rsidRPr="00570DEC">
        <w:rPr>
          <w:color w:val="000000"/>
        </w:rPr>
        <w:t>можности в сфере занятости. В Законе о занятости и трудовых отношениях (2004 год) был сделан особый акцент на равенстве между мужчинами и женщинами в сфере занятости. Закон обязал работодателей разработать и применять политику в области занятости, предусматривающую, в частности, создание на предприятиях надежного фундамента равенства в сфере занятости на рынке труда.</w:t>
      </w:r>
    </w:p>
    <w:p w:rsidR="00AD593A" w:rsidRPr="00570DEC" w:rsidRDefault="00AD593A" w:rsidP="00AD593A">
      <w:pPr>
        <w:pStyle w:val="SingleTxt"/>
        <w:rPr>
          <w:bCs/>
          <w:color w:val="000000"/>
        </w:rPr>
      </w:pPr>
      <w:r w:rsidRPr="00570DEC">
        <w:rPr>
          <w:color w:val="000000"/>
        </w:rPr>
        <w:t>90.</w:t>
      </w:r>
      <w:r w:rsidRPr="00570DEC">
        <w:rPr>
          <w:color w:val="000000"/>
        </w:rPr>
        <w:tab/>
        <w:t>Чтобы обеспечить женщинам, занятым как в государственном, так и в частном секторе, возможность участвовать в трудовой деятельности свободно и наравне с мужчинами, трудовое законодательство дает им возможность во</w:t>
      </w:r>
      <w:r w:rsidRPr="00570DEC">
        <w:rPr>
          <w:color w:val="000000"/>
        </w:rPr>
        <w:t>с</w:t>
      </w:r>
      <w:r w:rsidRPr="00570DEC">
        <w:rPr>
          <w:color w:val="000000"/>
        </w:rPr>
        <w:t>пользоваться как своим правом на труд, так и отпуском по беременности и р</w:t>
      </w:r>
      <w:r w:rsidRPr="00570DEC">
        <w:rPr>
          <w:color w:val="000000"/>
        </w:rPr>
        <w:t>о</w:t>
      </w:r>
      <w:r w:rsidRPr="00570DEC">
        <w:rPr>
          <w:color w:val="000000"/>
        </w:rPr>
        <w:t>дам и отпуском в связи с рождением ребенка. Право работающих по найму женщин на отпуск по беременности и родам надлежащим образом гарантир</w:t>
      </w:r>
      <w:r w:rsidRPr="00570DEC">
        <w:rPr>
          <w:color w:val="000000"/>
        </w:rPr>
        <w:t>у</w:t>
      </w:r>
      <w:r w:rsidRPr="00570DEC">
        <w:rPr>
          <w:color w:val="000000"/>
        </w:rPr>
        <w:t>ется трудовым законодательством</w:t>
      </w:r>
      <w:r w:rsidR="00D4044F">
        <w:rPr>
          <w:rStyle w:val="FootnoteReference"/>
          <w:color w:val="000000"/>
        </w:rPr>
        <w:footnoteReference w:id="71"/>
      </w:r>
      <w:r w:rsidRPr="00570DEC">
        <w:rPr>
          <w:color w:val="000000"/>
        </w:rPr>
        <w:t>.</w:t>
      </w:r>
    </w:p>
    <w:p w:rsidR="00AD593A" w:rsidRPr="00570DEC" w:rsidRDefault="00AD593A" w:rsidP="00AD593A">
      <w:pPr>
        <w:pStyle w:val="SingleTxt"/>
        <w:rPr>
          <w:color w:val="000000"/>
        </w:rPr>
      </w:pPr>
      <w:r w:rsidRPr="00570DEC">
        <w:rPr>
          <w:color w:val="000000"/>
        </w:rPr>
        <w:t>91.</w:t>
      </w:r>
      <w:r w:rsidRPr="00570DEC">
        <w:rPr>
          <w:color w:val="000000"/>
        </w:rPr>
        <w:tab/>
        <w:t>В процессе претворения трудовой политики и законодательства в жизнь государство-участник приняло ряд мер с целью обеспечения женщинам и му</w:t>
      </w:r>
      <w:r w:rsidRPr="00570DEC">
        <w:rPr>
          <w:color w:val="000000"/>
        </w:rPr>
        <w:t>ж</w:t>
      </w:r>
      <w:r w:rsidRPr="00570DEC">
        <w:rPr>
          <w:color w:val="000000"/>
        </w:rPr>
        <w:t>чинам равных возможностей на рынке труда. В частности, государство-участник издало специальные руководства и директивы, направленные на упрощение и расширение возможностей трудоустройства в системе госуда</w:t>
      </w:r>
      <w:r w:rsidRPr="00570DEC">
        <w:rPr>
          <w:color w:val="000000"/>
        </w:rPr>
        <w:t>р</w:t>
      </w:r>
      <w:r w:rsidRPr="00570DEC">
        <w:rPr>
          <w:color w:val="000000"/>
        </w:rPr>
        <w:t>ственной службы, а также в местных органах власти (МОВ). По состоянию на декабрь 2013 года было создано в общей сложности 208</w:t>
      </w:r>
      <w:r w:rsidRPr="00570DEC">
        <w:rPr>
          <w:color w:val="000000"/>
          <w:lang w:val="en-US"/>
        </w:rPr>
        <w:t> </w:t>
      </w:r>
      <w:r w:rsidRPr="00570DEC">
        <w:rPr>
          <w:color w:val="000000"/>
        </w:rPr>
        <w:t>681 рабочее место с</w:t>
      </w:r>
      <w:r w:rsidRPr="00570DEC">
        <w:rPr>
          <w:color w:val="000000"/>
        </w:rPr>
        <w:t>и</w:t>
      </w:r>
      <w:r w:rsidRPr="00570DEC">
        <w:rPr>
          <w:color w:val="000000"/>
        </w:rPr>
        <w:t>лами различных отраслей и проектов в государственном секторе, таких как Танзанийский фонд социальных действий (ТФСД) (50 246), Организация по развитию мелких предприятий (СИДО) (2436), проекты дорожного строител</w:t>
      </w:r>
      <w:r w:rsidRPr="00570DEC">
        <w:rPr>
          <w:color w:val="000000"/>
        </w:rPr>
        <w:t>ь</w:t>
      </w:r>
      <w:r w:rsidRPr="00570DEC">
        <w:rPr>
          <w:color w:val="000000"/>
        </w:rPr>
        <w:t>ства (1033), отрасль связи (86 702), Инвестиционный центр Танзании (ИЦТ) (59 010) и специальные экономические и производственные зоны (СЭПЗ) (9254).</w:t>
      </w:r>
    </w:p>
    <w:p w:rsidR="00AD593A" w:rsidRPr="00570DEC" w:rsidRDefault="00AD593A" w:rsidP="00AD593A">
      <w:pPr>
        <w:pStyle w:val="SingleTxt"/>
        <w:rPr>
          <w:color w:val="000000"/>
        </w:rPr>
      </w:pPr>
      <w:r w:rsidRPr="00570DEC">
        <w:rPr>
          <w:color w:val="000000"/>
        </w:rPr>
        <w:t>92.</w:t>
      </w:r>
      <w:r w:rsidRPr="00570DEC">
        <w:rPr>
          <w:color w:val="000000"/>
        </w:rPr>
        <w:tab/>
        <w:t>Следует отметить, что государство-участник, как и многие развивающи</w:t>
      </w:r>
      <w:r w:rsidRPr="00570DEC">
        <w:rPr>
          <w:color w:val="000000"/>
        </w:rPr>
        <w:t>е</w:t>
      </w:r>
      <w:r w:rsidRPr="00570DEC">
        <w:rPr>
          <w:color w:val="000000"/>
        </w:rPr>
        <w:t>ся страны, является аграрной страной; это означает, что основная доля рабочих мест приходится на сельскохозяйственный сектор. Так, в сельском хозяйстве заняты 69 процентов женщин и 62 процента мужчин</w:t>
      </w:r>
      <w:r w:rsidR="00C47801">
        <w:rPr>
          <w:rStyle w:val="FootnoteReference"/>
          <w:color w:val="000000"/>
        </w:rPr>
        <w:footnoteReference w:id="72"/>
      </w:r>
      <w:r w:rsidRPr="00570DEC">
        <w:rPr>
          <w:color w:val="000000"/>
        </w:rPr>
        <w:t>. Эта доля ниже зафи</w:t>
      </w:r>
      <w:r w:rsidRPr="00570DEC">
        <w:rPr>
          <w:color w:val="000000"/>
        </w:rPr>
        <w:t>к</w:t>
      </w:r>
      <w:r w:rsidRPr="00570DEC">
        <w:rPr>
          <w:color w:val="000000"/>
        </w:rPr>
        <w:t>сированной в МДОТ 2004–2005 годов, когда в сельском хозяйстве были заняты 78 процентов женщин и 71 процент мужчин. Возрастает значимость неквал</w:t>
      </w:r>
      <w:r w:rsidRPr="00570DEC">
        <w:rPr>
          <w:color w:val="000000"/>
        </w:rPr>
        <w:t>и</w:t>
      </w:r>
      <w:r w:rsidRPr="00570DEC">
        <w:rPr>
          <w:color w:val="000000"/>
        </w:rPr>
        <w:t>фицированного ручного труда, которым заняты 17 процентов женщин и 13 процентов мужчин. Должности специалистов, техников и управленцев з</w:t>
      </w:r>
      <w:r w:rsidRPr="00570DEC">
        <w:rPr>
          <w:color w:val="000000"/>
        </w:rPr>
        <w:t>а</w:t>
      </w:r>
      <w:r w:rsidRPr="00570DEC">
        <w:rPr>
          <w:color w:val="000000"/>
        </w:rPr>
        <w:t>нимают только 3 процента женщин и 5 процентов мужчин. На практике больше всего шансов занять должности специалистов, техников и управленцев у же</w:t>
      </w:r>
      <w:r w:rsidRPr="00570DEC">
        <w:rPr>
          <w:color w:val="000000"/>
        </w:rPr>
        <w:t>н</w:t>
      </w:r>
      <w:r w:rsidRPr="00570DEC">
        <w:rPr>
          <w:color w:val="000000"/>
        </w:rPr>
        <w:t>щин и мужчин, имеющих как минимум незаконченное среднее образование. Кроме того, в МДОТ 2010 года была отмечена тесная связь места постоянного проживания и рода занятий. Например, в то время как большинство сельских мужчин и женщин были заняты в сельском хозяйстве, городские жители чаще занимались квалифицированным и неквалифицированным трудом.</w:t>
      </w:r>
    </w:p>
    <w:p w:rsidR="00AD593A" w:rsidRPr="00570DEC" w:rsidRDefault="00AD593A" w:rsidP="00AD593A">
      <w:pPr>
        <w:pStyle w:val="SingleTxt"/>
        <w:rPr>
          <w:color w:val="000000"/>
        </w:rPr>
      </w:pPr>
      <w:r w:rsidRPr="00570DEC">
        <w:rPr>
          <w:color w:val="000000"/>
        </w:rPr>
        <w:t>93.</w:t>
      </w:r>
      <w:r w:rsidRPr="00570DEC">
        <w:rPr>
          <w:color w:val="000000"/>
        </w:rPr>
        <w:tab/>
        <w:t>Занятость в государстве-участнике зависит от места проживания; у р</w:t>
      </w:r>
      <w:r w:rsidRPr="00570DEC">
        <w:rPr>
          <w:color w:val="000000"/>
        </w:rPr>
        <w:t>е</w:t>
      </w:r>
      <w:r w:rsidRPr="00570DEC">
        <w:rPr>
          <w:color w:val="000000"/>
        </w:rPr>
        <w:t>спондентов из сельских районов вероятность работы по найму выше, чем у проживающих в городах</w:t>
      </w:r>
      <w:r w:rsidRPr="00C47801">
        <w:rPr>
          <w:rStyle w:val="FootnoteReference"/>
        </w:rPr>
        <w:footnoteReference w:id="73"/>
      </w:r>
      <w:r w:rsidRPr="00C47801">
        <w:rPr>
          <w:rStyle w:val="FootnoteReference"/>
        </w:rPr>
        <w:t xml:space="preserve">. </w:t>
      </w:r>
      <w:r w:rsidRPr="00570DEC">
        <w:rPr>
          <w:color w:val="000000"/>
        </w:rPr>
        <w:t>Например, 85 процентов женщин в сельских рай</w:t>
      </w:r>
      <w:r w:rsidRPr="00570DEC">
        <w:rPr>
          <w:color w:val="000000"/>
        </w:rPr>
        <w:t>о</w:t>
      </w:r>
      <w:r w:rsidRPr="00570DEC">
        <w:rPr>
          <w:color w:val="000000"/>
        </w:rPr>
        <w:t>нах работали по найму на протяжении 12 месяцев, предшествовавших обсл</w:t>
      </w:r>
      <w:r w:rsidRPr="00570DEC">
        <w:rPr>
          <w:color w:val="000000"/>
        </w:rPr>
        <w:t>е</w:t>
      </w:r>
      <w:r w:rsidRPr="00570DEC">
        <w:rPr>
          <w:color w:val="000000"/>
        </w:rPr>
        <w:t>дованию, по сравнению с 69 процентами женщин в городских районах. Наименьшая вероятность работы по найму отмечена у женщин и мужчин с наивысшим уровнем образования и из наиболее богатых домохозяйств. Соо</w:t>
      </w:r>
      <w:r w:rsidRPr="00570DEC">
        <w:rPr>
          <w:color w:val="000000"/>
        </w:rPr>
        <w:t>т</w:t>
      </w:r>
      <w:r w:rsidRPr="00570DEC">
        <w:rPr>
          <w:color w:val="000000"/>
        </w:rPr>
        <w:t>ветственно, каждая пятая женщина (20 процентов) и 15 процентов мужчин не работали по найму на протяжении 12</w:t>
      </w:r>
      <w:r>
        <w:rPr>
          <w:color w:val="000000"/>
          <w:lang w:val="en-US"/>
        </w:rPr>
        <w:t> </w:t>
      </w:r>
      <w:r w:rsidRPr="00570DEC">
        <w:rPr>
          <w:color w:val="000000"/>
        </w:rPr>
        <w:t>месяцев, предшествовавших обследов</w:t>
      </w:r>
      <w:r w:rsidRPr="00570DEC">
        <w:rPr>
          <w:color w:val="000000"/>
        </w:rPr>
        <w:t>а</w:t>
      </w:r>
      <w:r w:rsidRPr="00570DEC">
        <w:rPr>
          <w:color w:val="000000"/>
        </w:rPr>
        <w:t>нию</w:t>
      </w:r>
      <w:r w:rsidRPr="00C47801">
        <w:rPr>
          <w:rStyle w:val="FootnoteReference"/>
        </w:rPr>
        <w:footnoteReference w:id="74"/>
      </w:r>
      <w:r w:rsidRPr="00C47801">
        <w:rPr>
          <w:rStyle w:val="FootnoteReference"/>
        </w:rPr>
        <w:t xml:space="preserve">. </w:t>
      </w:r>
      <w:r w:rsidRPr="00570DEC">
        <w:rPr>
          <w:color w:val="000000"/>
        </w:rPr>
        <w:t>Необходимо отметить, что в МДОТ 2004–2005 годов этот показатель с</w:t>
      </w:r>
      <w:r w:rsidRPr="00570DEC">
        <w:rPr>
          <w:color w:val="000000"/>
        </w:rPr>
        <w:t>о</w:t>
      </w:r>
      <w:r w:rsidRPr="00570DEC">
        <w:rPr>
          <w:color w:val="000000"/>
        </w:rPr>
        <w:t>ставил 17 процентов как у женщин, так и у мужчин</w:t>
      </w:r>
      <w:r w:rsidRPr="00C47801">
        <w:rPr>
          <w:rStyle w:val="FootnoteReference"/>
        </w:rPr>
        <w:footnoteReference w:id="75"/>
      </w:r>
      <w:r w:rsidRPr="00C47801">
        <w:rPr>
          <w:rStyle w:val="FootnoteReference"/>
        </w:rPr>
        <w:t>.</w:t>
      </w:r>
    </w:p>
    <w:p w:rsidR="00AD593A" w:rsidRPr="00570DEC" w:rsidRDefault="00AD593A" w:rsidP="00AD593A">
      <w:pPr>
        <w:pStyle w:val="SingleTxt"/>
        <w:rPr>
          <w:color w:val="000000"/>
        </w:rPr>
      </w:pPr>
      <w:r w:rsidRPr="00570DEC">
        <w:rPr>
          <w:color w:val="000000"/>
        </w:rPr>
        <w:t>94.</w:t>
      </w:r>
      <w:r w:rsidRPr="00570DEC">
        <w:rPr>
          <w:color w:val="000000"/>
        </w:rPr>
        <w:tab/>
        <w:t>Следует отметить, что государство-участник, как и многие развивающи</w:t>
      </w:r>
      <w:r w:rsidRPr="00570DEC">
        <w:rPr>
          <w:color w:val="000000"/>
        </w:rPr>
        <w:t>е</w:t>
      </w:r>
      <w:r w:rsidRPr="00570DEC">
        <w:rPr>
          <w:color w:val="000000"/>
        </w:rPr>
        <w:t>ся страны, является аграрной страной; это означает, что основная доля рабочих мест приходится на сельскохозяйственный сектор. Так, в сельском хозяйстве заняты 69 процентов женщин и 62 процента мужчин</w:t>
      </w:r>
      <w:r w:rsidRPr="00C47801">
        <w:rPr>
          <w:rStyle w:val="FootnoteReference"/>
        </w:rPr>
        <w:footnoteReference w:id="76"/>
      </w:r>
      <w:r w:rsidRPr="00C47801">
        <w:rPr>
          <w:rStyle w:val="FootnoteReference"/>
        </w:rPr>
        <w:t xml:space="preserve">. </w:t>
      </w:r>
      <w:r w:rsidRPr="00570DEC">
        <w:rPr>
          <w:color w:val="000000"/>
        </w:rPr>
        <w:t>Эта доля ниже зафикс</w:t>
      </w:r>
      <w:r w:rsidRPr="00570DEC">
        <w:rPr>
          <w:color w:val="000000"/>
        </w:rPr>
        <w:t>и</w:t>
      </w:r>
      <w:r w:rsidRPr="00570DEC">
        <w:rPr>
          <w:color w:val="000000"/>
        </w:rPr>
        <w:t>рованной в МДОТ 2004–2005 годов, когда в сельском хозяйстве были заняты 78 процентов женщин и 71 процент мужчин. Возрастает значимость неквал</w:t>
      </w:r>
      <w:r w:rsidRPr="00570DEC">
        <w:rPr>
          <w:color w:val="000000"/>
        </w:rPr>
        <w:t>и</w:t>
      </w:r>
      <w:r w:rsidRPr="00570DEC">
        <w:rPr>
          <w:color w:val="000000"/>
        </w:rPr>
        <w:t>фицированного ручного труда, "которым заняты 17 процентов женщин и 13 процентов мужчин"</w:t>
      </w:r>
      <w:r w:rsidRPr="00C47801">
        <w:rPr>
          <w:rStyle w:val="FootnoteReference"/>
        </w:rPr>
        <w:footnoteReference w:id="77"/>
      </w:r>
      <w:r w:rsidRPr="00C47801">
        <w:rPr>
          <w:rStyle w:val="FootnoteReference"/>
        </w:rPr>
        <w:t xml:space="preserve">. </w:t>
      </w:r>
      <w:r w:rsidRPr="00570DEC">
        <w:rPr>
          <w:color w:val="000000"/>
        </w:rPr>
        <w:t>Должности специалистов, техников и управленцев занимают только 3 процента женщин и 5 процентов мужчин</w:t>
      </w:r>
      <w:r w:rsidRPr="00C47801">
        <w:rPr>
          <w:rStyle w:val="FootnoteReference"/>
        </w:rPr>
        <w:footnoteReference w:id="78"/>
      </w:r>
      <w:r w:rsidRPr="00C47801">
        <w:rPr>
          <w:rStyle w:val="FootnoteReference"/>
        </w:rPr>
        <w:t xml:space="preserve">. </w:t>
      </w:r>
      <w:r w:rsidRPr="00570DEC">
        <w:rPr>
          <w:color w:val="000000"/>
        </w:rPr>
        <w:t>На практике больше всего шансов занять должности специалистов, техников и управленцев у женщин и мужчин, имеющих как минимум незаконченное среднее образов</w:t>
      </w:r>
      <w:r w:rsidRPr="00570DEC">
        <w:rPr>
          <w:color w:val="000000"/>
        </w:rPr>
        <w:t>а</w:t>
      </w:r>
      <w:r w:rsidRPr="00570DEC">
        <w:rPr>
          <w:color w:val="000000"/>
        </w:rPr>
        <w:t>ние. Кроме того, в МДОТ 2010 года была отмечена тесная связь места пост</w:t>
      </w:r>
      <w:r w:rsidRPr="00570DEC">
        <w:rPr>
          <w:color w:val="000000"/>
        </w:rPr>
        <w:t>о</w:t>
      </w:r>
      <w:r w:rsidRPr="00570DEC">
        <w:rPr>
          <w:color w:val="000000"/>
        </w:rPr>
        <w:t>янного проживания и рода занятий. Например, в то время как большинство сельских мужчин и женщин были заняты в сельском хозяйстве, городские ж</w:t>
      </w:r>
      <w:r w:rsidRPr="00570DEC">
        <w:rPr>
          <w:color w:val="000000"/>
        </w:rPr>
        <w:t>и</w:t>
      </w:r>
      <w:r w:rsidRPr="00570DEC">
        <w:rPr>
          <w:color w:val="000000"/>
        </w:rPr>
        <w:t xml:space="preserve">тели чаще занимались квалифицированным и неквалифицированным трудом. </w:t>
      </w:r>
    </w:p>
    <w:p w:rsidR="00AD593A" w:rsidRPr="00570DEC" w:rsidRDefault="00AD593A" w:rsidP="00AD593A">
      <w:pPr>
        <w:pStyle w:val="SingleTxt"/>
        <w:rPr>
          <w:color w:val="000000"/>
        </w:rPr>
      </w:pPr>
      <w:r w:rsidRPr="00570DEC">
        <w:rPr>
          <w:color w:val="000000"/>
        </w:rPr>
        <w:t>95.</w:t>
      </w:r>
      <w:r w:rsidRPr="00570DEC">
        <w:rPr>
          <w:color w:val="000000"/>
        </w:rPr>
        <w:tab/>
        <w:t>На Занзибаре государство-участник обеспечивает мужчинам и женщинам равные возможности в области занятости. Для закрепления ориентации на эту цель дискриминация женщин в области занятости запрещается как Политикой Занзибара в области занятости, так и Законом о занятости. В частности, ст</w:t>
      </w:r>
      <w:r w:rsidRPr="00570DEC">
        <w:rPr>
          <w:color w:val="000000"/>
        </w:rPr>
        <w:t>а</w:t>
      </w:r>
      <w:r w:rsidRPr="00570DEC">
        <w:rPr>
          <w:color w:val="000000"/>
        </w:rPr>
        <w:t xml:space="preserve">тья 10 (1) а) Закона о занятости обязывает работодателей в государственном секторе содействовать обеспечению равных возможностей на рабочих местах и искоренять дискриминацию </w:t>
      </w:r>
      <w:r w:rsidRPr="00570DEC">
        <w:rPr>
          <w:color w:val="000000"/>
          <w:szCs w:val="17"/>
        </w:rPr>
        <w:t>в политике и практике в области занятости</w:t>
      </w:r>
      <w:r w:rsidRPr="00570DEC">
        <w:rPr>
          <w:color w:val="000000"/>
        </w:rPr>
        <w:t>. В свою очередь, Политика Занзибара в области занятости требует принятия ко</w:t>
      </w:r>
      <w:r w:rsidRPr="00570DEC">
        <w:rPr>
          <w:color w:val="000000"/>
        </w:rPr>
        <w:t>н</w:t>
      </w:r>
      <w:r w:rsidRPr="00570DEC">
        <w:rPr>
          <w:color w:val="000000"/>
        </w:rPr>
        <w:t>кретных мер, направленных на повышение уровня образования и квалифик</w:t>
      </w:r>
      <w:r w:rsidRPr="00570DEC">
        <w:rPr>
          <w:color w:val="000000"/>
        </w:rPr>
        <w:t>а</w:t>
      </w:r>
      <w:r w:rsidRPr="00570DEC">
        <w:rPr>
          <w:color w:val="000000"/>
        </w:rPr>
        <w:t>ции женщин, чтобы дать им возможность на равных конкурировать с коллег</w:t>
      </w:r>
      <w:r w:rsidRPr="00570DEC">
        <w:rPr>
          <w:color w:val="000000"/>
        </w:rPr>
        <w:t>а</w:t>
      </w:r>
      <w:r w:rsidRPr="00570DEC">
        <w:rPr>
          <w:color w:val="000000"/>
        </w:rPr>
        <w:t>ми-мужчинами на рынке труда</w:t>
      </w:r>
      <w:r w:rsidR="00C47801">
        <w:rPr>
          <w:rStyle w:val="FootnoteReference"/>
          <w:color w:val="000000"/>
        </w:rPr>
        <w:footnoteReference w:id="79"/>
      </w:r>
      <w:r w:rsidR="00C47801" w:rsidRPr="00C47801">
        <w:rPr>
          <w:color w:val="000000"/>
        </w:rPr>
        <w:t xml:space="preserve">. </w:t>
      </w:r>
      <w:r w:rsidRPr="00570DEC">
        <w:rPr>
          <w:color w:val="000000"/>
        </w:rPr>
        <w:t>В Политике Занзибара в области занятости закреплены следующие политические стратегии: расширение</w:t>
      </w:r>
      <w:r w:rsidRPr="00570DEC">
        <w:rPr>
          <w:rFonts w:eastAsia="MS Mincho"/>
          <w:color w:val="000000"/>
          <w:kern w:val="0"/>
          <w:lang w:eastAsia="ru-RU"/>
        </w:rPr>
        <w:t xml:space="preserve"> </w:t>
      </w:r>
      <w:r w:rsidRPr="00570DEC">
        <w:rPr>
          <w:color w:val="000000"/>
        </w:rPr>
        <w:t>информационно-пропагандистской и консультационной деятельности в интересах обеспечения качественного образования для женщин и девочек, а также включение в школьную программу, с учетом потребностей рынка труда, курса основ же</w:t>
      </w:r>
      <w:r w:rsidRPr="00570DEC">
        <w:rPr>
          <w:color w:val="000000"/>
        </w:rPr>
        <w:t>н</w:t>
      </w:r>
      <w:r w:rsidRPr="00570DEC">
        <w:rPr>
          <w:color w:val="000000"/>
        </w:rPr>
        <w:t>ского предпринимательства.</w:t>
      </w:r>
    </w:p>
    <w:p w:rsidR="00AD593A" w:rsidRPr="00570DEC" w:rsidRDefault="00AD593A" w:rsidP="00AD593A">
      <w:pPr>
        <w:pStyle w:val="SingleTxt"/>
        <w:rPr>
          <w:color w:val="000000"/>
        </w:rPr>
      </w:pPr>
      <w:r w:rsidRPr="00570DEC">
        <w:rPr>
          <w:color w:val="000000"/>
        </w:rPr>
        <w:t>96.</w:t>
      </w:r>
      <w:r w:rsidRPr="00570DEC">
        <w:rPr>
          <w:color w:val="000000"/>
        </w:rPr>
        <w:tab/>
        <w:t>Стремясь надлежащим образом расширить права и возможности женщин-предпринимателей, государство-участник координирует под эгидой Министе</w:t>
      </w:r>
      <w:r w:rsidRPr="00570DEC">
        <w:rPr>
          <w:color w:val="000000"/>
        </w:rPr>
        <w:t>р</w:t>
      </w:r>
      <w:r w:rsidRPr="00570DEC">
        <w:rPr>
          <w:color w:val="000000"/>
        </w:rPr>
        <w:t>ства труда и занятости (МТЗ) наращивание потенциала примерно 87 мелких предпринимателей, в том числе 66 женщин и 21 мужчины, проживающих как на материковой части Танзании, так и на Занзибаре. Благодаря такому наращ</w:t>
      </w:r>
      <w:r w:rsidRPr="00570DEC">
        <w:rPr>
          <w:color w:val="000000"/>
        </w:rPr>
        <w:t>и</w:t>
      </w:r>
      <w:r w:rsidRPr="00570DEC">
        <w:rPr>
          <w:color w:val="000000"/>
        </w:rPr>
        <w:t>ванию потенциала эти мелкие предприниматели получили возможность р</w:t>
      </w:r>
      <w:r w:rsidRPr="00570DEC">
        <w:rPr>
          <w:color w:val="000000"/>
        </w:rPr>
        <w:t>е</w:t>
      </w:r>
      <w:r w:rsidRPr="00570DEC">
        <w:rPr>
          <w:color w:val="000000"/>
        </w:rPr>
        <w:t>зультативного участия в 13-й Восточно-Африканской выставке-ярмарке "Джуа Кали/Нгуву Кази", которая состоялась в Бужумбуре, Бурунди, 2–9 декабря 2012 года. Благодаря этой выставке мелкие предприниматели имеют возмо</w:t>
      </w:r>
      <w:r w:rsidRPr="00570DEC">
        <w:rPr>
          <w:color w:val="000000"/>
        </w:rPr>
        <w:t>ж</w:t>
      </w:r>
      <w:r w:rsidRPr="00570DEC">
        <w:rPr>
          <w:color w:val="000000"/>
        </w:rPr>
        <w:t>ность реализовывать свою продукцию на всей территории Восточной Африки.</w:t>
      </w:r>
    </w:p>
    <w:p w:rsidR="00AD593A" w:rsidRPr="00570DEC" w:rsidRDefault="00AD593A" w:rsidP="00AD593A">
      <w:pPr>
        <w:pStyle w:val="SingleTxt"/>
        <w:rPr>
          <w:color w:val="000000"/>
        </w:rPr>
      </w:pPr>
      <w:r w:rsidRPr="00570DEC">
        <w:rPr>
          <w:color w:val="000000"/>
        </w:rPr>
        <w:t>97.</w:t>
      </w:r>
      <w:r w:rsidRPr="00570DEC">
        <w:rPr>
          <w:color w:val="000000"/>
        </w:rPr>
        <w:tab/>
        <w:t>Кроме того, Политика в области занятости, осуществляемая как на материковой части Танзании, так на Занзибаре, направлена на содействие женщинам-предпринимателям. Политика лежит в основе специальных мер, призванных помочь женщинам в их становлении в качестве компетентных предпринимателей, конкурентоспособных на рынке труда. Ее стратегической целью является организация женщин в социально-экономическом плане и ра</w:t>
      </w:r>
      <w:r w:rsidRPr="00570DEC">
        <w:rPr>
          <w:color w:val="000000"/>
        </w:rPr>
        <w:t>с</w:t>
      </w:r>
      <w:r w:rsidRPr="00570DEC">
        <w:rPr>
          <w:color w:val="000000"/>
        </w:rPr>
        <w:t>ширение их прав и возможностей для получения ими экономической выг</w:t>
      </w:r>
      <w:r w:rsidRPr="00570DEC">
        <w:rPr>
          <w:color w:val="000000"/>
        </w:rPr>
        <w:t>о</w:t>
      </w:r>
      <w:r w:rsidRPr="00570DEC">
        <w:rPr>
          <w:color w:val="000000"/>
        </w:rPr>
        <w:t>ды/прибыли, а также создание системы профессиональной подготовки для женщин-предпринимателей. Государство-участник силами Министерства, о</w:t>
      </w:r>
      <w:r w:rsidRPr="00570DEC">
        <w:rPr>
          <w:color w:val="000000"/>
        </w:rPr>
        <w:t>т</w:t>
      </w:r>
      <w:r w:rsidRPr="00570DEC">
        <w:rPr>
          <w:color w:val="000000"/>
        </w:rPr>
        <w:t>ветственного за расширение прав и возможностей, разрабатывает политику расширения прав и возможностей и закон о кооперации, а также политику ра</w:t>
      </w:r>
      <w:r w:rsidRPr="00570DEC">
        <w:rPr>
          <w:color w:val="000000"/>
        </w:rPr>
        <w:t>з</w:t>
      </w:r>
      <w:r w:rsidRPr="00570DEC">
        <w:rPr>
          <w:color w:val="000000"/>
        </w:rPr>
        <w:t>вития кооперации 2014 года, в которых уделяется особое внимание предпр</w:t>
      </w:r>
      <w:r w:rsidRPr="00570DEC">
        <w:rPr>
          <w:color w:val="000000"/>
        </w:rPr>
        <w:t>и</w:t>
      </w:r>
      <w:r w:rsidRPr="00570DEC">
        <w:rPr>
          <w:color w:val="000000"/>
        </w:rPr>
        <w:t>нимательству вкупе с изменением образа мышления людей, призванным ор</w:t>
      </w:r>
      <w:r w:rsidRPr="00570DEC">
        <w:rPr>
          <w:color w:val="000000"/>
        </w:rPr>
        <w:t>и</w:t>
      </w:r>
      <w:r w:rsidRPr="00570DEC">
        <w:rPr>
          <w:color w:val="000000"/>
        </w:rPr>
        <w:t>ентировать их на расширение прав и возможностей и на предпринимательство.</w:t>
      </w:r>
    </w:p>
    <w:p w:rsidR="00AD593A" w:rsidRPr="00570DEC" w:rsidRDefault="00AD593A" w:rsidP="00AD593A">
      <w:pPr>
        <w:pStyle w:val="SingleTxt"/>
        <w:rPr>
          <w:color w:val="000000"/>
        </w:rPr>
      </w:pPr>
      <w:r w:rsidRPr="00570DEC">
        <w:rPr>
          <w:color w:val="000000"/>
        </w:rPr>
        <w:t>98.</w:t>
      </w:r>
      <w:r w:rsidRPr="00570DEC">
        <w:rPr>
          <w:color w:val="000000"/>
        </w:rPr>
        <w:tab/>
        <w:t>Стремясь обеспечить совершенствование навыков предпринимательства у женщин, государство-участник в сотрудничестве с негосударственными структурами организовало в период 2008–2014 годов обучение 2140 женщин предпринимательству. Приобретенные навыки позволили им улучшить кач</w:t>
      </w:r>
      <w:r w:rsidRPr="00570DEC">
        <w:rPr>
          <w:color w:val="000000"/>
        </w:rPr>
        <w:t>е</w:t>
      </w:r>
      <w:r w:rsidRPr="00570DEC">
        <w:rPr>
          <w:color w:val="000000"/>
        </w:rPr>
        <w:t>ство своей продукции и получить доступ к внутреннему и внешнему рынку.</w:t>
      </w:r>
    </w:p>
    <w:p w:rsidR="00AD593A" w:rsidRPr="00570DEC" w:rsidRDefault="00AD593A" w:rsidP="00AD593A">
      <w:pPr>
        <w:pStyle w:val="SingleTxt"/>
        <w:rPr>
          <w:color w:val="000000"/>
          <w:vertAlign w:val="superscript"/>
        </w:rPr>
      </w:pPr>
      <w:bookmarkStart w:id="35" w:name="_Toc401575336"/>
      <w:r w:rsidRPr="00570DEC">
        <w:rPr>
          <w:color w:val="000000"/>
        </w:rPr>
        <w:t>99.</w:t>
      </w:r>
      <w:r w:rsidRPr="00570DEC">
        <w:rPr>
          <w:color w:val="000000"/>
        </w:rPr>
        <w:tab/>
        <w:t>Государство-участник предприняло ряд мер по надлежащему расширению прав и возможностей женщин, участвующих в трудовой деятельности, позв</w:t>
      </w:r>
      <w:r w:rsidRPr="00570DEC">
        <w:rPr>
          <w:color w:val="000000"/>
        </w:rPr>
        <w:t>о</w:t>
      </w:r>
      <w:r w:rsidRPr="00570DEC">
        <w:rPr>
          <w:color w:val="000000"/>
        </w:rPr>
        <w:t>ляющему им эффективно работать на равных с мужчинами. В частности, на Занзибаре в 2010 году был учрежден специальный Департамент расширения экономических прав и возможностей, а на материковой части функционирует Танзанийский совет по расширению экономических прав и возможностей; оба они призваны расширить экономические права и возможности женщин. Кроме того, политика в области занятости, осуществляемая как на материковой части страны, так и на Занзибаре, направлена на расширение прав и возможностей женщин в неформальном, государственном и частном секторах в целях расш</w:t>
      </w:r>
      <w:r w:rsidRPr="00570DEC">
        <w:rPr>
          <w:color w:val="000000"/>
        </w:rPr>
        <w:t>и</w:t>
      </w:r>
      <w:r w:rsidRPr="00570DEC">
        <w:rPr>
          <w:color w:val="000000"/>
        </w:rPr>
        <w:t>рения доступности достойной работы и повышения производительности труда. Эта политика предусматривает следующие основные направления деятельн</w:t>
      </w:r>
      <w:r w:rsidRPr="00570DEC">
        <w:rPr>
          <w:color w:val="000000"/>
        </w:rPr>
        <w:t>о</w:t>
      </w:r>
      <w:r w:rsidRPr="00570DEC">
        <w:rPr>
          <w:color w:val="000000"/>
        </w:rPr>
        <w:t>сти: создание информационного центра рынка труда для мужчин и женщин, а также сбор и предоставление дезагрегированной по признаку пола статистич</w:t>
      </w:r>
      <w:r w:rsidRPr="00570DEC">
        <w:rPr>
          <w:color w:val="000000"/>
        </w:rPr>
        <w:t>е</w:t>
      </w:r>
      <w:r w:rsidRPr="00570DEC">
        <w:rPr>
          <w:color w:val="000000"/>
        </w:rPr>
        <w:t>ской информации о рынке труда с целью расширения возможностей для же</w:t>
      </w:r>
      <w:r w:rsidRPr="00570DEC">
        <w:rPr>
          <w:color w:val="000000"/>
        </w:rPr>
        <w:t>н</w:t>
      </w:r>
      <w:r w:rsidRPr="00570DEC">
        <w:rPr>
          <w:color w:val="000000"/>
        </w:rPr>
        <w:t>щин на рынке труда и решения возникающих у них при этом проблем</w:t>
      </w:r>
      <w:r w:rsidR="00C47801">
        <w:rPr>
          <w:rStyle w:val="FootnoteReference"/>
          <w:color w:val="000000"/>
        </w:rPr>
        <w:footnoteReference w:id="80"/>
      </w:r>
      <w:r w:rsidRPr="00570DEC">
        <w:rPr>
          <w:color w:val="000000"/>
        </w:rPr>
        <w:t>.</w:t>
      </w:r>
      <w:bookmarkEnd w:id="35"/>
    </w:p>
    <w:p w:rsidR="00AD593A" w:rsidRPr="00570DEC" w:rsidRDefault="00AD593A" w:rsidP="00AD593A">
      <w:pPr>
        <w:pStyle w:val="SingleTxt"/>
        <w:rPr>
          <w:color w:val="000000"/>
        </w:rPr>
      </w:pPr>
      <w:r w:rsidRPr="00570DEC">
        <w:rPr>
          <w:color w:val="000000"/>
        </w:rPr>
        <w:t>100.</w:t>
      </w:r>
      <w:r w:rsidRPr="00570DEC">
        <w:rPr>
          <w:color w:val="000000"/>
        </w:rPr>
        <w:tab/>
        <w:t>На материковой части государство-участник гарантирует женщинам пр</w:t>
      </w:r>
      <w:r w:rsidRPr="00570DEC">
        <w:rPr>
          <w:color w:val="000000"/>
        </w:rPr>
        <w:t>а</w:t>
      </w:r>
      <w:r w:rsidRPr="00570DEC">
        <w:rPr>
          <w:color w:val="000000"/>
        </w:rPr>
        <w:t>во на равную оплату за равный труд и таким образом запрещает дискримин</w:t>
      </w:r>
      <w:r w:rsidRPr="00570DEC">
        <w:rPr>
          <w:color w:val="000000"/>
        </w:rPr>
        <w:t>а</w:t>
      </w:r>
      <w:r w:rsidRPr="00570DEC">
        <w:rPr>
          <w:color w:val="000000"/>
        </w:rPr>
        <w:t>цию женщин в сфере занятости. Чтобы обеспечить эффективное и беспр</w:t>
      </w:r>
      <w:r w:rsidRPr="00570DEC">
        <w:rPr>
          <w:color w:val="000000"/>
        </w:rPr>
        <w:t>и</w:t>
      </w:r>
      <w:r w:rsidRPr="00570DEC">
        <w:rPr>
          <w:color w:val="000000"/>
        </w:rPr>
        <w:t>страстное применение этой нормы, государство-участник создало механизмы рассмотрения жалоб путем учреждения комиссии или комиссий по вопросам заработной платы. В связи с этим министр, ведающий вопросами труда, может создать комиссию по вопросам заработной платы в отношении любого сектора "для изучения заработной платы и условий трудового договора в любом сект</w:t>
      </w:r>
      <w:r w:rsidRPr="00570DEC">
        <w:rPr>
          <w:color w:val="000000"/>
        </w:rPr>
        <w:t>о</w:t>
      </w:r>
      <w:r w:rsidRPr="00570DEC">
        <w:rPr>
          <w:color w:val="000000"/>
        </w:rPr>
        <w:t>ре и сфере и представления министру своих выводов и рекомендаций"</w:t>
      </w:r>
      <w:r w:rsidR="00C47801">
        <w:rPr>
          <w:rStyle w:val="FootnoteReference"/>
          <w:color w:val="000000"/>
        </w:rPr>
        <w:footnoteReference w:id="81"/>
      </w:r>
      <w:r w:rsidRPr="00570DEC">
        <w:rPr>
          <w:color w:val="000000"/>
        </w:rPr>
        <w:t>. В 2013 году министр труда и занятости издал новое постановление о заработной плате (то есть правительственное уведомление № 196 2013 года), которым о</w:t>
      </w:r>
      <w:r w:rsidRPr="00570DEC">
        <w:rPr>
          <w:color w:val="000000"/>
        </w:rPr>
        <w:t>т</w:t>
      </w:r>
      <w:r w:rsidRPr="00570DEC">
        <w:rPr>
          <w:color w:val="000000"/>
        </w:rPr>
        <w:t>менил предыдущее постановление о заработной плате № 172 2010 года. В с</w:t>
      </w:r>
      <w:r w:rsidRPr="00570DEC">
        <w:rPr>
          <w:color w:val="000000"/>
        </w:rPr>
        <w:t>о</w:t>
      </w:r>
      <w:r w:rsidRPr="00570DEC">
        <w:rPr>
          <w:color w:val="000000"/>
        </w:rPr>
        <w:t>ответствии с новым постановлением о заработной плате были учреждены н</w:t>
      </w:r>
      <w:r w:rsidRPr="00570DEC">
        <w:rPr>
          <w:color w:val="000000"/>
        </w:rPr>
        <w:t>о</w:t>
      </w:r>
      <w:r w:rsidRPr="00570DEC">
        <w:rPr>
          <w:color w:val="000000"/>
        </w:rPr>
        <w:t>вые комиссии по вопросам заработной платы в следующих 12 отраслях: сел</w:t>
      </w:r>
      <w:r w:rsidRPr="00570DEC">
        <w:rPr>
          <w:color w:val="000000"/>
        </w:rPr>
        <w:t>ь</w:t>
      </w:r>
      <w:r w:rsidRPr="00570DEC">
        <w:rPr>
          <w:color w:val="000000"/>
        </w:rPr>
        <w:t>ское хозяйство, связь, помощь по ведению домашнего хозяйства и гостиничное дело, частные охранные компании, частные учебные заведения, энергетика, транспорт, строительство, горное дело, торговля, промышленность и комме</w:t>
      </w:r>
      <w:r w:rsidRPr="00570DEC">
        <w:rPr>
          <w:color w:val="000000"/>
        </w:rPr>
        <w:t>р</w:t>
      </w:r>
      <w:r w:rsidRPr="00570DEC">
        <w:rPr>
          <w:color w:val="000000"/>
        </w:rPr>
        <w:t>ция, рыболовство и морской транспорт, а также прочие отрасли, не упомян</w:t>
      </w:r>
      <w:r w:rsidRPr="00570DEC">
        <w:rPr>
          <w:color w:val="000000"/>
        </w:rPr>
        <w:t>у</w:t>
      </w:r>
      <w:r w:rsidRPr="00570DEC">
        <w:rPr>
          <w:color w:val="000000"/>
        </w:rPr>
        <w:t>тые выше.</w:t>
      </w:r>
    </w:p>
    <w:p w:rsidR="00AD593A" w:rsidRPr="00570DEC" w:rsidRDefault="00AD593A" w:rsidP="00AD593A">
      <w:pPr>
        <w:pStyle w:val="SingleTxt"/>
        <w:rPr>
          <w:color w:val="000000"/>
        </w:rPr>
      </w:pPr>
      <w:r w:rsidRPr="00570DEC">
        <w:rPr>
          <w:color w:val="000000"/>
        </w:rPr>
        <w:t>101.</w:t>
      </w:r>
      <w:r w:rsidRPr="00570DEC">
        <w:rPr>
          <w:color w:val="000000"/>
        </w:rPr>
        <w:tab/>
        <w:t>Государство-участник создало эффективный механизм контроля и обесп</w:t>
      </w:r>
      <w:r w:rsidRPr="00570DEC">
        <w:rPr>
          <w:color w:val="000000"/>
        </w:rPr>
        <w:t>е</w:t>
      </w:r>
      <w:r w:rsidRPr="00570DEC">
        <w:rPr>
          <w:color w:val="000000"/>
        </w:rPr>
        <w:t>чения соблюдения трудового законодательства с целью дальнейшего утве</w:t>
      </w:r>
      <w:r w:rsidRPr="00570DEC">
        <w:rPr>
          <w:color w:val="000000"/>
        </w:rPr>
        <w:t>р</w:t>
      </w:r>
      <w:r w:rsidRPr="00570DEC">
        <w:rPr>
          <w:color w:val="000000"/>
        </w:rPr>
        <w:t>ждения принципа равной оплаты за равный труд для мужчин и женщин. На Занзибаре государство-участник гарантирует женщинам право на равную оплату за равный труд и таким образом запрещает дискриминацию женщин в сфере занятости. В связи с этим статья 10 (2) </w:t>
      </w:r>
      <w:r w:rsidRPr="00570DEC">
        <w:rPr>
          <w:color w:val="000000"/>
          <w:lang w:val="en-US"/>
        </w:rPr>
        <w:t>b</w:t>
      </w:r>
      <w:r w:rsidRPr="00570DEC">
        <w:rPr>
          <w:color w:val="000000"/>
        </w:rPr>
        <w:t>) Закона о занятости (2005 год) гарантирует равное вознаграждение мужчин и женщин за труд равной ценн</w:t>
      </w:r>
      <w:r w:rsidRPr="00570DEC">
        <w:rPr>
          <w:color w:val="000000"/>
        </w:rPr>
        <w:t>о</w:t>
      </w:r>
      <w:r w:rsidRPr="00570DEC">
        <w:rPr>
          <w:color w:val="000000"/>
        </w:rPr>
        <w:t>сти. В целях обеспечения эффективности и беспристрастности применения этого положения в статьях 91 и 92 были определены механизмы рассмотрения жалоб путем учреждения Консультативного совета по вопросам заработной платы с правом консультирования министром, ведающим вопросами труда, по вопросам заработной платы и иным вопросам, касающимся выплаты и сниж</w:t>
      </w:r>
      <w:r w:rsidRPr="00570DEC">
        <w:rPr>
          <w:color w:val="000000"/>
        </w:rPr>
        <w:t>е</w:t>
      </w:r>
      <w:r w:rsidRPr="00570DEC">
        <w:rPr>
          <w:color w:val="000000"/>
        </w:rPr>
        <w:t>ния заработной платы в государственном и частном секторах. Кроме того, для разрешения споров, касающихся установления, выплаты и снижения зарабо</w:t>
      </w:r>
      <w:r w:rsidRPr="00570DEC">
        <w:rPr>
          <w:color w:val="000000"/>
        </w:rPr>
        <w:t>т</w:t>
      </w:r>
      <w:r w:rsidRPr="00570DEC">
        <w:rPr>
          <w:color w:val="000000"/>
        </w:rPr>
        <w:t>ной платы, были созданы следующие органы: Консультативный совет по в</w:t>
      </w:r>
      <w:r w:rsidRPr="00570DEC">
        <w:rPr>
          <w:color w:val="000000"/>
        </w:rPr>
        <w:t>о</w:t>
      </w:r>
      <w:r w:rsidRPr="00570DEC">
        <w:rPr>
          <w:color w:val="000000"/>
        </w:rPr>
        <w:t>просам труда, комиссия по вопросам труда, отдел разрешения споров и суд по трудовым спорам.</w:t>
      </w:r>
    </w:p>
    <w:p w:rsidR="00AD593A" w:rsidRDefault="00AD593A" w:rsidP="00AD593A">
      <w:pPr>
        <w:pStyle w:val="SingleTxt"/>
        <w:rPr>
          <w:color w:val="000000"/>
          <w:lang w:val="en-US"/>
        </w:rPr>
      </w:pPr>
      <w:r w:rsidRPr="00570DEC">
        <w:rPr>
          <w:color w:val="000000"/>
        </w:rPr>
        <w:t>102.</w:t>
      </w:r>
      <w:r w:rsidRPr="00570DEC">
        <w:rPr>
          <w:color w:val="000000"/>
        </w:rPr>
        <w:tab/>
        <w:t>Политика в области социальной защиты Занзибара (2014 год) обязывает государство-участник установить индексируемый ориентир, обязав госуда</w:t>
      </w:r>
      <w:r w:rsidRPr="00570DEC">
        <w:rPr>
          <w:color w:val="000000"/>
        </w:rPr>
        <w:t>р</w:t>
      </w:r>
      <w:r w:rsidRPr="00570DEC">
        <w:rPr>
          <w:color w:val="000000"/>
        </w:rPr>
        <w:t>ственный и частный сектора придерживаться установленного минимального уровня заработной платы для всех граждан. Устанавливаемый законом мин</w:t>
      </w:r>
      <w:r w:rsidRPr="00570DEC">
        <w:rPr>
          <w:color w:val="000000"/>
        </w:rPr>
        <w:t>и</w:t>
      </w:r>
      <w:r w:rsidRPr="00570DEC">
        <w:rPr>
          <w:color w:val="000000"/>
        </w:rPr>
        <w:t>мальный уровень заработной платы необходимо существенно повысить и обеспечить его соблюдение, с тем чтобы все работодатели его придерживались, а также индексировать его сообразно инфляции, чтобы обеспечить сохранение его покупательной способности по мере роста цен с течением времени. Пол</w:t>
      </w:r>
      <w:r w:rsidRPr="00570DEC">
        <w:rPr>
          <w:color w:val="000000"/>
        </w:rPr>
        <w:t>и</w:t>
      </w:r>
      <w:r w:rsidRPr="00570DEC">
        <w:rPr>
          <w:color w:val="000000"/>
        </w:rPr>
        <w:t>тика не ограничивается этим и предусматривает следующие стратегии: доб</w:t>
      </w:r>
      <w:r w:rsidRPr="00570DEC">
        <w:rPr>
          <w:color w:val="000000"/>
        </w:rPr>
        <w:t>и</w:t>
      </w:r>
      <w:r w:rsidRPr="00570DEC">
        <w:rPr>
          <w:color w:val="000000"/>
        </w:rPr>
        <w:t>ваться повышения установленной законом минимальной заработной платы как минимум до уровня продовольственной черты бедности, добиваться монит</w:t>
      </w:r>
      <w:r w:rsidRPr="00570DEC">
        <w:rPr>
          <w:color w:val="000000"/>
        </w:rPr>
        <w:t>о</w:t>
      </w:r>
      <w:r w:rsidRPr="00570DEC">
        <w:rPr>
          <w:color w:val="000000"/>
        </w:rPr>
        <w:t>ринга и обеспечения выплаты минимального размера заработной платы всеми работодателями, а также добиваться индексации минимального размера зар</w:t>
      </w:r>
      <w:r w:rsidRPr="00570DEC">
        <w:rPr>
          <w:color w:val="000000"/>
        </w:rPr>
        <w:t>а</w:t>
      </w:r>
      <w:r w:rsidRPr="00570DEC">
        <w:rPr>
          <w:color w:val="000000"/>
        </w:rPr>
        <w:t>ботной платы в зависимости от инфляции.</w:t>
      </w:r>
    </w:p>
    <w:p w:rsidR="00C47801" w:rsidRPr="00C47801" w:rsidRDefault="00C47801" w:rsidP="00C47801">
      <w:pPr>
        <w:pStyle w:val="SingleTxt"/>
        <w:spacing w:after="0" w:line="120" w:lineRule="exact"/>
        <w:rPr>
          <w:color w:val="000000"/>
          <w:sz w:val="10"/>
          <w:lang w:val="en-US"/>
        </w:rPr>
      </w:pPr>
    </w:p>
    <w:p w:rsidR="00AD593A" w:rsidRPr="00570DEC" w:rsidRDefault="00AD593A" w:rsidP="00C478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6" w:name="_Toc401576671"/>
      <w:r w:rsidRPr="00570DEC">
        <w:tab/>
      </w:r>
      <w:bookmarkStart w:id="37" w:name="_Toc417398643"/>
      <w:r w:rsidRPr="00570DEC">
        <w:t>1.2.1</w:t>
      </w:r>
      <w:r w:rsidRPr="00570DEC">
        <w:tab/>
      </w:r>
      <w:bookmarkEnd w:id="36"/>
      <w:r w:rsidRPr="00570DEC">
        <w:t>Экономические и социальные льготы</w:t>
      </w:r>
      <w:bookmarkEnd w:id="37"/>
      <w:r w:rsidRPr="00570DEC">
        <w:t xml:space="preserve"> </w:t>
      </w:r>
    </w:p>
    <w:p w:rsidR="00C47801" w:rsidRPr="00C47801" w:rsidRDefault="00C47801" w:rsidP="00C47801">
      <w:pPr>
        <w:pStyle w:val="SingleTxt"/>
        <w:spacing w:after="0" w:line="120" w:lineRule="exact"/>
        <w:rPr>
          <w:color w:val="000000"/>
          <w:sz w:val="10"/>
        </w:rPr>
      </w:pPr>
    </w:p>
    <w:p w:rsidR="00AD593A" w:rsidRPr="00570DEC" w:rsidRDefault="00AD593A" w:rsidP="00AD593A">
      <w:pPr>
        <w:pStyle w:val="SingleTxt"/>
        <w:rPr>
          <w:color w:val="000000"/>
        </w:rPr>
      </w:pPr>
      <w:r w:rsidRPr="00570DEC">
        <w:rPr>
          <w:color w:val="000000"/>
        </w:rPr>
        <w:t>103.</w:t>
      </w:r>
      <w:r w:rsidRPr="00570DEC">
        <w:rPr>
          <w:color w:val="000000"/>
        </w:rPr>
        <w:tab/>
        <w:t>Государство-участник силами Министерства труда и занятости (МТЗ) приняло и реализует национальную программу занятости молодежи, которая будет реализована в течение трех (3) лет (а именно с 2013–2014 по 2015–2016 годы). Предполагается, что реализация этой программы позволит создать более 600 000 рабочих мест для молодежи по всей стране. Программа включ</w:t>
      </w:r>
      <w:r w:rsidRPr="00570DEC">
        <w:rPr>
          <w:color w:val="000000"/>
        </w:rPr>
        <w:t>а</w:t>
      </w:r>
      <w:r w:rsidRPr="00570DEC">
        <w:rPr>
          <w:color w:val="000000"/>
        </w:rPr>
        <w:t>ет развитие потенциала молодежи в различных областях, в том числе в пре</w:t>
      </w:r>
      <w:r w:rsidRPr="00570DEC">
        <w:rPr>
          <w:color w:val="000000"/>
        </w:rPr>
        <w:t>д</w:t>
      </w:r>
      <w:r w:rsidRPr="00570DEC">
        <w:rPr>
          <w:color w:val="000000"/>
        </w:rPr>
        <w:t>принимательской деятельности, предоставление молодежи стартового капит</w:t>
      </w:r>
      <w:r w:rsidRPr="00570DEC">
        <w:rPr>
          <w:color w:val="000000"/>
        </w:rPr>
        <w:t>а</w:t>
      </w:r>
      <w:r w:rsidRPr="00570DEC">
        <w:rPr>
          <w:color w:val="000000"/>
        </w:rPr>
        <w:t>ла и необходимых для работы инструментов и выделение производственных и иных помещений, чтобы дать молодым людям возможность участвовать в ра</w:t>
      </w:r>
      <w:r w:rsidRPr="00570DEC">
        <w:rPr>
          <w:color w:val="000000"/>
        </w:rPr>
        <w:t>с</w:t>
      </w:r>
      <w:r w:rsidRPr="00570DEC">
        <w:rPr>
          <w:color w:val="000000"/>
        </w:rPr>
        <w:t>ширении продуктивной занятости.</w:t>
      </w:r>
    </w:p>
    <w:p w:rsidR="00AD593A" w:rsidRPr="00570DEC" w:rsidRDefault="00AD593A" w:rsidP="00AD593A">
      <w:pPr>
        <w:pStyle w:val="SingleTxt"/>
        <w:rPr>
          <w:color w:val="000000"/>
        </w:rPr>
      </w:pPr>
      <w:r w:rsidRPr="00570DEC">
        <w:rPr>
          <w:color w:val="000000"/>
        </w:rPr>
        <w:t>104.</w:t>
      </w:r>
      <w:r w:rsidRPr="00570DEC">
        <w:rPr>
          <w:color w:val="000000"/>
        </w:rPr>
        <w:tab/>
        <w:t>Принимая меры по устранению препятствий, на которые указывалось в предыдущих заключительных рекомендациях, различные министерства гос</w:t>
      </w:r>
      <w:r w:rsidRPr="00570DEC">
        <w:rPr>
          <w:color w:val="000000"/>
        </w:rPr>
        <w:t>у</w:t>
      </w:r>
      <w:r w:rsidRPr="00570DEC">
        <w:rPr>
          <w:color w:val="000000"/>
        </w:rPr>
        <w:t>дарства-участника приступили к исполнению содержащихся в этом документе рекомендаций, в частности касающихся официального оформления созданных женщинами предприятий, путем упрощения процедуры регистрации и лице</w:t>
      </w:r>
      <w:r w:rsidRPr="00570DEC">
        <w:rPr>
          <w:color w:val="000000"/>
        </w:rPr>
        <w:t>н</w:t>
      </w:r>
      <w:r w:rsidRPr="00570DEC">
        <w:rPr>
          <w:color w:val="000000"/>
        </w:rPr>
        <w:t>зирования коммерческих предприятий Агентством регистрации и лицензир</w:t>
      </w:r>
      <w:r w:rsidRPr="00570DEC">
        <w:rPr>
          <w:color w:val="000000"/>
        </w:rPr>
        <w:t>о</w:t>
      </w:r>
      <w:r w:rsidRPr="00570DEC">
        <w:rPr>
          <w:color w:val="000000"/>
        </w:rPr>
        <w:t>вания коммерческих предприятий (BRELA). Государство-участник также пр</w:t>
      </w:r>
      <w:r w:rsidRPr="00570DEC">
        <w:rPr>
          <w:color w:val="000000"/>
        </w:rPr>
        <w:t>о</w:t>
      </w:r>
      <w:r w:rsidRPr="00570DEC">
        <w:rPr>
          <w:color w:val="000000"/>
        </w:rPr>
        <w:t>должало проводить информационно-разъяснительные программы для общ</w:t>
      </w:r>
      <w:r w:rsidRPr="00570DEC">
        <w:rPr>
          <w:color w:val="000000"/>
        </w:rPr>
        <w:t>е</w:t>
      </w:r>
      <w:r w:rsidRPr="00570DEC">
        <w:rPr>
          <w:color w:val="000000"/>
        </w:rPr>
        <w:t>ственности, направленные на информирование женщин о возможностях вед</w:t>
      </w:r>
      <w:r w:rsidRPr="00570DEC">
        <w:rPr>
          <w:color w:val="000000"/>
        </w:rPr>
        <w:t>е</w:t>
      </w:r>
      <w:r w:rsidRPr="00570DEC">
        <w:rPr>
          <w:color w:val="000000"/>
        </w:rPr>
        <w:t>ния бизнеса на его территории, а также в пределах Сообщества по вопросам развития стран юга Африки (САДК) и Восточноафриканского сообщества (ВАС). Сюда же относится создание гендерной службы поддержки при мин</w:t>
      </w:r>
      <w:r w:rsidRPr="00570DEC">
        <w:rPr>
          <w:color w:val="000000"/>
        </w:rPr>
        <w:t>и</w:t>
      </w:r>
      <w:r w:rsidRPr="00570DEC">
        <w:rPr>
          <w:color w:val="000000"/>
        </w:rPr>
        <w:t>стерстве, ответственном за сотрудничество с ВАС в сфере приграничной то</w:t>
      </w:r>
      <w:r w:rsidRPr="00570DEC">
        <w:rPr>
          <w:color w:val="000000"/>
        </w:rPr>
        <w:t>р</w:t>
      </w:r>
      <w:r w:rsidRPr="00570DEC">
        <w:rPr>
          <w:color w:val="000000"/>
        </w:rPr>
        <w:t>говли.</w:t>
      </w:r>
    </w:p>
    <w:p w:rsidR="00AD593A" w:rsidRPr="00570DEC" w:rsidRDefault="00AD593A" w:rsidP="00AD593A">
      <w:pPr>
        <w:pStyle w:val="SingleTxt"/>
        <w:rPr>
          <w:color w:val="000000"/>
        </w:rPr>
      </w:pPr>
      <w:r w:rsidRPr="00570DEC">
        <w:rPr>
          <w:color w:val="000000"/>
        </w:rPr>
        <w:t>105.</w:t>
      </w:r>
      <w:r w:rsidRPr="00570DEC">
        <w:rPr>
          <w:color w:val="000000"/>
        </w:rPr>
        <w:tab/>
        <w:t>В своих предыдущих заключительных рекомендациях Комитет также призвал государство-участник принять необходимые меры к тому, чтобы банк для женщин начал функционировать как можно скорее. В соответствии с этой рекомендацией 4 сентября 2009 года Президент Объединенной Республики Танзания д</w:t>
      </w:r>
      <w:r w:rsidRPr="00570DEC">
        <w:rPr>
          <w:color w:val="000000"/>
        </w:rPr>
        <w:noBreakHyphen/>
        <w:t xml:space="preserve">р Джакайя Мришо Киквете официально объявил о начале работы </w:t>
      </w:r>
      <w:r w:rsidRPr="00570DEC">
        <w:rPr>
          <w:bCs/>
          <w:color w:val="000000"/>
        </w:rPr>
        <w:t>Женского банка Танзании (ЖБТ), фактически начавшего свою операционную деятельность 28 июля 2009 года. ЖБТ был учрежден и зарегистрирован как общество с ограниченной ответственностью в 2007 году. Деятельность ЖБТ, первоначальный капитал которого объемом 2,8 млрд. танзанийских шиллингов был сформирован за счет средств государственного бюджета</w:t>
      </w:r>
      <w:r w:rsidR="00C47801">
        <w:rPr>
          <w:rStyle w:val="FootnoteReference"/>
          <w:bCs/>
          <w:color w:val="000000"/>
        </w:rPr>
        <w:footnoteReference w:id="82"/>
      </w:r>
      <w:r w:rsidRPr="00570DEC">
        <w:rPr>
          <w:bCs/>
          <w:color w:val="000000"/>
        </w:rPr>
        <w:t>, направлена на расширение прав и возможностей женщин в экономике и социальной сфере. Он стремится обеспечить высокое качество услуг, особенно для клиентов с низким уровнем дохода, мелких предпринимателей, корпоративных клиентов и малых и средних предприятий (МСП). ЖБТ предлагает широкий спектр ба</w:t>
      </w:r>
      <w:r w:rsidRPr="00570DEC">
        <w:rPr>
          <w:bCs/>
          <w:color w:val="000000"/>
        </w:rPr>
        <w:t>н</w:t>
      </w:r>
      <w:r w:rsidRPr="00570DEC">
        <w:rPr>
          <w:bCs/>
          <w:color w:val="000000"/>
        </w:rPr>
        <w:t>ковских услуг, таких как банковское обслуживание физических лиц, расчетно-кассовое обслуживание и предоставление кредитов своим клиентам, больши</w:t>
      </w:r>
      <w:r w:rsidRPr="00570DEC">
        <w:rPr>
          <w:bCs/>
          <w:color w:val="000000"/>
        </w:rPr>
        <w:t>н</w:t>
      </w:r>
      <w:r w:rsidRPr="00570DEC">
        <w:rPr>
          <w:bCs/>
          <w:color w:val="000000"/>
        </w:rPr>
        <w:t>ство которых составляют женщины. В частности, с 2009 по 2013 год ЖБТ предоставил кредиты в общей сложности 19 000 женщин.</w:t>
      </w:r>
      <w:r w:rsidRPr="00570DEC">
        <w:rPr>
          <w:color w:val="000000"/>
        </w:rPr>
        <w:t xml:space="preserve"> В</w:t>
      </w:r>
      <w:r>
        <w:rPr>
          <w:color w:val="000000"/>
          <w:lang w:val="en-US"/>
        </w:rPr>
        <w:t> </w:t>
      </w:r>
      <w:r w:rsidRPr="00570DEC">
        <w:rPr>
          <w:color w:val="000000"/>
        </w:rPr>
        <w:t xml:space="preserve">настоящее время услугами четырех региональных центров </w:t>
      </w:r>
      <w:r w:rsidRPr="00570DEC">
        <w:rPr>
          <w:bCs/>
          <w:color w:val="000000"/>
        </w:rPr>
        <w:t>ЖБТ</w:t>
      </w:r>
      <w:r w:rsidRPr="00570DEC">
        <w:rPr>
          <w:color w:val="000000"/>
        </w:rPr>
        <w:t xml:space="preserve">, расположенных в Дар-эс-Саламе, Додоме, Мванзе и Аруше, пользуются только женщины, проживающие в городах. Однако планируется, что в дальнейшем </w:t>
      </w:r>
      <w:r w:rsidRPr="00570DEC">
        <w:rPr>
          <w:bCs/>
          <w:color w:val="000000"/>
        </w:rPr>
        <w:t>ЖБТ</w:t>
      </w:r>
      <w:r w:rsidRPr="00570DEC">
        <w:rPr>
          <w:color w:val="000000"/>
        </w:rPr>
        <w:t xml:space="preserve"> будет обслуживать и сельских женщин.</w:t>
      </w:r>
    </w:p>
    <w:p w:rsidR="00AD593A" w:rsidRPr="00570DEC" w:rsidRDefault="00AD593A" w:rsidP="00AD593A">
      <w:pPr>
        <w:pStyle w:val="SingleTxt"/>
        <w:rPr>
          <w:color w:val="000000"/>
        </w:rPr>
      </w:pPr>
      <w:r w:rsidRPr="00570DEC">
        <w:rPr>
          <w:color w:val="000000"/>
        </w:rPr>
        <w:t>106.</w:t>
      </w:r>
      <w:r w:rsidRPr="00570DEC">
        <w:rPr>
          <w:color w:val="000000"/>
        </w:rPr>
        <w:tab/>
        <w:t xml:space="preserve">В целях расширения масштаба своих программ и решения стоящих перед ним задач </w:t>
      </w:r>
      <w:r w:rsidRPr="00570DEC">
        <w:rPr>
          <w:bCs/>
          <w:color w:val="000000"/>
        </w:rPr>
        <w:t>ЖБТ</w:t>
      </w:r>
      <w:r w:rsidRPr="00570DEC">
        <w:rPr>
          <w:color w:val="000000"/>
        </w:rPr>
        <w:t xml:space="preserve"> принял четырехлетний Корпоративный стратегический бизнес-план на 2009–2013 годы, предусматривающий наращивание объема собстве</w:t>
      </w:r>
      <w:r w:rsidRPr="00570DEC">
        <w:rPr>
          <w:color w:val="000000"/>
        </w:rPr>
        <w:t>н</w:t>
      </w:r>
      <w:r w:rsidRPr="00570DEC">
        <w:rPr>
          <w:color w:val="000000"/>
        </w:rPr>
        <w:t>ных средств Банка и охват его услугами всех регионов государства-участника. На первом этапе реализации этого плана Банк открыл свое отделение на и</w:t>
      </w:r>
      <w:r w:rsidRPr="00570DEC">
        <w:rPr>
          <w:color w:val="000000"/>
        </w:rPr>
        <w:t>з</w:t>
      </w:r>
      <w:r w:rsidRPr="00570DEC">
        <w:rPr>
          <w:color w:val="000000"/>
        </w:rPr>
        <w:t>вестном рынке Кариаку в Дар-эс-Саламе, а также создал 50 центров обучения кредитованию и предпринимательству в областях Дар-эс-Салам, Додома, Мванза и Маньяра</w:t>
      </w:r>
      <w:r w:rsidR="00C47801">
        <w:rPr>
          <w:rStyle w:val="FootnoteReference"/>
          <w:color w:val="000000"/>
        </w:rPr>
        <w:footnoteReference w:id="83"/>
      </w:r>
      <w:r w:rsidRPr="00570DEC">
        <w:rPr>
          <w:color w:val="000000"/>
        </w:rPr>
        <w:t>. Государство-участник предоставляло и продолжит пред</w:t>
      </w:r>
      <w:r w:rsidRPr="00570DEC">
        <w:rPr>
          <w:color w:val="000000"/>
        </w:rPr>
        <w:t>о</w:t>
      </w:r>
      <w:r w:rsidRPr="00570DEC">
        <w:rPr>
          <w:color w:val="000000"/>
        </w:rPr>
        <w:t xml:space="preserve">ставлять </w:t>
      </w:r>
      <w:r w:rsidRPr="00570DEC">
        <w:rPr>
          <w:bCs/>
          <w:color w:val="000000"/>
        </w:rPr>
        <w:t>ЖБТ</w:t>
      </w:r>
      <w:r w:rsidRPr="00570DEC">
        <w:rPr>
          <w:color w:val="000000"/>
        </w:rPr>
        <w:t xml:space="preserve"> по 2 млрд. </w:t>
      </w:r>
      <w:r w:rsidRPr="00570DEC">
        <w:rPr>
          <w:color w:val="000000"/>
          <w:szCs w:val="17"/>
        </w:rPr>
        <w:t xml:space="preserve">танзанийских шиллингов </w:t>
      </w:r>
      <w:r w:rsidRPr="00570DEC">
        <w:rPr>
          <w:color w:val="000000"/>
        </w:rPr>
        <w:t>в год, что позволит Банку наращивать свой капитал и, следовательно, расширять масштаб услуг. Кроме того, в настоящее время Банк проходит процедуру листинга в секции "Раст</w:t>
      </w:r>
      <w:r w:rsidRPr="00570DEC">
        <w:rPr>
          <w:color w:val="000000"/>
        </w:rPr>
        <w:t>у</w:t>
      </w:r>
      <w:r w:rsidRPr="00570DEC">
        <w:rPr>
          <w:color w:val="000000"/>
        </w:rPr>
        <w:t>щий корпоративный рынок" фондовой биржи Дар-эс-Салама – это позволит ему торговать своими акциями, что будет способствовать наращиванию его к</w:t>
      </w:r>
      <w:r w:rsidRPr="00570DEC">
        <w:rPr>
          <w:color w:val="000000"/>
        </w:rPr>
        <w:t>а</w:t>
      </w:r>
      <w:r w:rsidRPr="00570DEC">
        <w:rPr>
          <w:color w:val="000000"/>
        </w:rPr>
        <w:t>питала. Аналогичным образом, стремясь увеличить свой оборотный капитал, Банк инициировал переговоры с фондами социального страхования и другими сторонами, заинтересованными в расширении экономических прав и возмо</w:t>
      </w:r>
      <w:r w:rsidRPr="00570DEC">
        <w:rPr>
          <w:color w:val="000000"/>
        </w:rPr>
        <w:t>ж</w:t>
      </w:r>
      <w:r w:rsidRPr="00570DEC">
        <w:rPr>
          <w:color w:val="000000"/>
        </w:rPr>
        <w:t>ностей женщин. В период с июля по март 2014 года Банк предоставил 11</w:t>
      </w:r>
      <w:r w:rsidRPr="00570DEC">
        <w:rPr>
          <w:color w:val="000000"/>
          <w:lang w:val="en-US"/>
        </w:rPr>
        <w:t> </w:t>
      </w:r>
      <w:r w:rsidRPr="00570DEC">
        <w:rPr>
          <w:color w:val="000000"/>
        </w:rPr>
        <w:t>507 клиентам кредиты с низкой процентной ставкой на общую сумму 23 030 062 557 </w:t>
      </w:r>
      <w:r w:rsidRPr="00570DEC">
        <w:rPr>
          <w:color w:val="000000"/>
          <w:szCs w:val="17"/>
        </w:rPr>
        <w:t>танзанийских шиллингов</w:t>
      </w:r>
      <w:r w:rsidRPr="00570DEC">
        <w:rPr>
          <w:color w:val="000000"/>
        </w:rPr>
        <w:t>, при этом 9583 клиента (то есть 87 процентов) были женщинами, а 13 процентов – мужчинами. Кроме того, прежде чем предоставить кредиты в общей сложности 11</w:t>
      </w:r>
      <w:r w:rsidRPr="00570DEC">
        <w:rPr>
          <w:color w:val="000000"/>
          <w:lang w:val="en-US"/>
        </w:rPr>
        <w:t> </w:t>
      </w:r>
      <w:r w:rsidRPr="00570DEC">
        <w:rPr>
          <w:color w:val="000000"/>
        </w:rPr>
        <w:t>015 женщинам-предпринимателям, Банк провел их обучение по таким направлениям, как предпринимательство, учет деловых операций, эффективное использование и выплата кредитов, обеспечение устойчивой прибыльности, привлечение кап</w:t>
      </w:r>
      <w:r w:rsidRPr="00570DEC">
        <w:rPr>
          <w:color w:val="000000"/>
        </w:rPr>
        <w:t>и</w:t>
      </w:r>
      <w:r w:rsidRPr="00570DEC">
        <w:rPr>
          <w:color w:val="000000"/>
        </w:rPr>
        <w:t>тала и необходимость юридической регистрации предприятий в соответств</w:t>
      </w:r>
      <w:r w:rsidRPr="00570DEC">
        <w:rPr>
          <w:color w:val="000000"/>
        </w:rPr>
        <w:t>у</w:t>
      </w:r>
      <w:r w:rsidRPr="00570DEC">
        <w:rPr>
          <w:color w:val="000000"/>
        </w:rPr>
        <w:t xml:space="preserve">ющих государственных регуляторных органах. </w:t>
      </w:r>
    </w:p>
    <w:p w:rsidR="00AD593A" w:rsidRPr="00570DEC" w:rsidRDefault="00AD593A" w:rsidP="00AD593A">
      <w:pPr>
        <w:pStyle w:val="SingleTxt"/>
        <w:rPr>
          <w:color w:val="000000"/>
        </w:rPr>
      </w:pPr>
      <w:r w:rsidRPr="00570DEC">
        <w:rPr>
          <w:color w:val="000000"/>
        </w:rPr>
        <w:t>107.</w:t>
      </w:r>
      <w:r w:rsidRPr="00570DEC">
        <w:rPr>
          <w:color w:val="000000"/>
        </w:rPr>
        <w:tab/>
        <w:t>Государство-участник также приняло аналогичные меры для учреждения женского банка на Занзибаре. Была проведена оценка экономической целес</w:t>
      </w:r>
      <w:r w:rsidRPr="00570DEC">
        <w:rPr>
          <w:color w:val="000000"/>
        </w:rPr>
        <w:t>о</w:t>
      </w:r>
      <w:r w:rsidRPr="00570DEC">
        <w:rPr>
          <w:color w:val="000000"/>
        </w:rPr>
        <w:t>образности и подготовлен бизнес-план по созданию банка. В настоящее время государство-участник проводит с соответствующими государственными и ф</w:t>
      </w:r>
      <w:r w:rsidRPr="00570DEC">
        <w:rPr>
          <w:color w:val="000000"/>
        </w:rPr>
        <w:t>и</w:t>
      </w:r>
      <w:r w:rsidRPr="00570DEC">
        <w:rPr>
          <w:color w:val="000000"/>
        </w:rPr>
        <w:t>нансовыми учреждениями переговоры по вопросам привлечения капитала и предоставления банку помещений. Координацией этих переговоров занимается Министерство, ведающее гендерными вопросами, во взаимодействии с Мин</w:t>
      </w:r>
      <w:r w:rsidRPr="00570DEC">
        <w:rPr>
          <w:color w:val="000000"/>
        </w:rPr>
        <w:t>и</w:t>
      </w:r>
      <w:r w:rsidRPr="00570DEC">
        <w:rPr>
          <w:color w:val="000000"/>
        </w:rPr>
        <w:t>стерством финансов Занзибара.</w:t>
      </w:r>
    </w:p>
    <w:p w:rsidR="00AD593A" w:rsidRPr="00570DEC" w:rsidRDefault="00AD593A" w:rsidP="00AD593A">
      <w:pPr>
        <w:pStyle w:val="SingleTxt"/>
        <w:rPr>
          <w:color w:val="000000"/>
        </w:rPr>
      </w:pPr>
      <w:r w:rsidRPr="00570DEC">
        <w:rPr>
          <w:color w:val="000000"/>
        </w:rPr>
        <w:t>108.</w:t>
      </w:r>
      <w:r w:rsidRPr="00570DEC">
        <w:rPr>
          <w:color w:val="000000"/>
        </w:rPr>
        <w:tab/>
        <w:t>Департамент расширения экономических прав и возможностей (ДРЭПВ) координирует процесс становления и активизации кластерного развития для максимального увеличения производства, совершенствования производстве</w:t>
      </w:r>
      <w:r w:rsidRPr="00570DEC">
        <w:rPr>
          <w:color w:val="000000"/>
        </w:rPr>
        <w:t>н</w:t>
      </w:r>
      <w:r w:rsidRPr="00570DEC">
        <w:rPr>
          <w:color w:val="000000"/>
        </w:rPr>
        <w:t>ных процессов, контроля качества и маркетинга. Это позволяет нарастить предпринимательский потенциал, особенно среди женщин. Начиная с 2010 года на Занзибаре было создано в общей сложности четыре (4) бизнес-кластера. С</w:t>
      </w:r>
      <w:r w:rsidRPr="001F3ABD">
        <w:rPr>
          <w:color w:val="000000"/>
        </w:rPr>
        <w:t xml:space="preserve"> </w:t>
      </w:r>
      <w:r w:rsidRPr="00570DEC">
        <w:rPr>
          <w:color w:val="000000"/>
        </w:rPr>
        <w:t>2010</w:t>
      </w:r>
      <w:r>
        <w:rPr>
          <w:color w:val="000000"/>
          <w:lang w:val="en-US"/>
        </w:rPr>
        <w:t> </w:t>
      </w:r>
      <w:r w:rsidRPr="00570DEC">
        <w:rPr>
          <w:color w:val="000000"/>
        </w:rPr>
        <w:t>года</w:t>
      </w:r>
      <w:r w:rsidRPr="001F3ABD">
        <w:rPr>
          <w:color w:val="000000"/>
        </w:rPr>
        <w:t xml:space="preserve"> </w:t>
      </w:r>
      <w:r w:rsidRPr="00570DEC">
        <w:rPr>
          <w:color w:val="000000"/>
        </w:rPr>
        <w:t>по июль 2014 года ДРЭПВ оказал поддержку в общей сложности 600 предпринимателям с целью укрепления их бизнеса и расшир</w:t>
      </w:r>
      <w:r w:rsidRPr="00570DEC">
        <w:rPr>
          <w:color w:val="000000"/>
        </w:rPr>
        <w:t>е</w:t>
      </w:r>
      <w:r w:rsidRPr="00570DEC">
        <w:rPr>
          <w:color w:val="000000"/>
        </w:rPr>
        <w:t>ния производства. Департамент также оказывает женщинам-предпринимателям необходимую поддержку для участия в различных местных, региональных и международных выставках-ярмарках с целью обмена опытом, знакомства с н</w:t>
      </w:r>
      <w:r w:rsidRPr="00570DEC">
        <w:rPr>
          <w:color w:val="000000"/>
        </w:rPr>
        <w:t>о</w:t>
      </w:r>
      <w:r w:rsidRPr="00570DEC">
        <w:rPr>
          <w:color w:val="000000"/>
        </w:rPr>
        <w:t>выми товарами и услугами, налаживания рыночных контактов и связей, а та</w:t>
      </w:r>
      <w:r w:rsidRPr="00570DEC">
        <w:rPr>
          <w:color w:val="000000"/>
        </w:rPr>
        <w:t>к</w:t>
      </w:r>
      <w:r w:rsidRPr="00570DEC">
        <w:rPr>
          <w:color w:val="000000"/>
        </w:rPr>
        <w:t>же развития сетевого взаимодействия с коллегами из различных мест. С 2010 года по июль 2014 года поддержку для участия в различных национал</w:t>
      </w:r>
      <w:r w:rsidRPr="00570DEC">
        <w:rPr>
          <w:color w:val="000000"/>
        </w:rPr>
        <w:t>ь</w:t>
      </w:r>
      <w:r w:rsidRPr="00570DEC">
        <w:rPr>
          <w:color w:val="000000"/>
        </w:rPr>
        <w:t>ных, региональных и международных выставках получили в общей сложности 150 человек (МРПВСОМЖД, 2014 год).</w:t>
      </w:r>
    </w:p>
    <w:p w:rsidR="00AD593A" w:rsidRPr="00570DEC" w:rsidRDefault="00AD593A" w:rsidP="00AD593A">
      <w:pPr>
        <w:pStyle w:val="SingleTxt"/>
        <w:rPr>
          <w:color w:val="000000"/>
        </w:rPr>
      </w:pPr>
      <w:r w:rsidRPr="00570DEC">
        <w:rPr>
          <w:color w:val="000000"/>
        </w:rPr>
        <w:t>109.</w:t>
      </w:r>
      <w:r w:rsidRPr="00570DEC">
        <w:rPr>
          <w:color w:val="000000"/>
        </w:rPr>
        <w:tab/>
        <w:t>Кроме того, в настоящее время государство-участник совместно с власт</w:t>
      </w:r>
      <w:r w:rsidRPr="00570DEC">
        <w:rPr>
          <w:color w:val="000000"/>
        </w:rPr>
        <w:t>я</w:t>
      </w:r>
      <w:r w:rsidRPr="00570DEC">
        <w:rPr>
          <w:color w:val="000000"/>
        </w:rPr>
        <w:t>ми Занзибара создает "Колледж для босоногих", который даст многим женщ</w:t>
      </w:r>
      <w:r w:rsidRPr="00570DEC">
        <w:rPr>
          <w:color w:val="000000"/>
        </w:rPr>
        <w:t>и</w:t>
      </w:r>
      <w:r w:rsidRPr="00570DEC">
        <w:rPr>
          <w:color w:val="000000"/>
        </w:rPr>
        <w:t>нам возможность заниматься производством оборудования для электрифик</w:t>
      </w:r>
      <w:r w:rsidRPr="00570DEC">
        <w:rPr>
          <w:color w:val="000000"/>
        </w:rPr>
        <w:t>а</w:t>
      </w:r>
      <w:r w:rsidRPr="00570DEC">
        <w:rPr>
          <w:color w:val="000000"/>
        </w:rPr>
        <w:t>ции с использованием солнечной энергии, например ламп на солнечных бат</w:t>
      </w:r>
      <w:r w:rsidRPr="00570DEC">
        <w:rPr>
          <w:color w:val="000000"/>
        </w:rPr>
        <w:t>а</w:t>
      </w:r>
      <w:r w:rsidRPr="00570DEC">
        <w:rPr>
          <w:color w:val="000000"/>
        </w:rPr>
        <w:t>реях, и установкой оборудования для использования солнечной энергии в ряде домохозяйств Занзибара. Всего на Занзибаре женщины-гелиотехники оснаст</w:t>
      </w:r>
      <w:r w:rsidRPr="00570DEC">
        <w:rPr>
          <w:color w:val="000000"/>
        </w:rPr>
        <w:t>и</w:t>
      </w:r>
      <w:r w:rsidRPr="00570DEC">
        <w:rPr>
          <w:color w:val="000000"/>
        </w:rPr>
        <w:t>ли оборудованием для преобразования солнечной энергии в электрическую 180 домохозяйств в населенных пунктах Кендве и Нунгви, расположенных в Северном регионе острова Унгуджа. Эта программа способствует расширению прав и возможностей женщин в области энергосбережения. Кроме того, Мин</w:t>
      </w:r>
      <w:r w:rsidRPr="00570DEC">
        <w:rPr>
          <w:color w:val="000000"/>
        </w:rPr>
        <w:t>и</w:t>
      </w:r>
      <w:r w:rsidRPr="00570DEC">
        <w:rPr>
          <w:color w:val="000000"/>
        </w:rPr>
        <w:t>стерство, ведающее гендерными вопросами, провело на Занзибаре картиров</w:t>
      </w:r>
      <w:r w:rsidRPr="00570DEC">
        <w:rPr>
          <w:color w:val="000000"/>
        </w:rPr>
        <w:t>а</w:t>
      </w:r>
      <w:r w:rsidRPr="00570DEC">
        <w:rPr>
          <w:color w:val="000000"/>
        </w:rPr>
        <w:t>ние групп женщин, занимающихся приносящими доход видами деятельности, в целях надлежащего планирования и принятия взвешенных решений по в</w:t>
      </w:r>
      <w:r w:rsidRPr="00570DEC">
        <w:rPr>
          <w:color w:val="000000"/>
        </w:rPr>
        <w:t>о</w:t>
      </w:r>
      <w:r w:rsidRPr="00570DEC">
        <w:rPr>
          <w:color w:val="000000"/>
        </w:rPr>
        <w:t>просам расширения возможностей таких групп и сокращения бедности среди женщин. Всего была зарегистрирована 1651 группа женщин, занимающихся приносящими доход видами деятельности, из них 981 на острове Унгуджа и 670 на острове Пемба.</w:t>
      </w:r>
    </w:p>
    <w:p w:rsidR="00AD593A" w:rsidRPr="00570DEC" w:rsidRDefault="00AD593A" w:rsidP="00AD593A">
      <w:pPr>
        <w:pStyle w:val="SingleTxt"/>
        <w:rPr>
          <w:color w:val="000000"/>
        </w:rPr>
      </w:pPr>
      <w:r w:rsidRPr="00570DEC">
        <w:rPr>
          <w:color w:val="000000"/>
        </w:rPr>
        <w:t>110.</w:t>
      </w:r>
      <w:r w:rsidRPr="00570DEC">
        <w:rPr>
          <w:color w:val="000000"/>
        </w:rPr>
        <w:tab/>
        <w:t>Кроме того, государство-участник силами властей Занзибара принимает меры по дальнейшему расширению экономических прав и возможностей же</w:t>
      </w:r>
      <w:r w:rsidRPr="00570DEC">
        <w:rPr>
          <w:color w:val="000000"/>
        </w:rPr>
        <w:t>н</w:t>
      </w:r>
      <w:r w:rsidRPr="00570DEC">
        <w:rPr>
          <w:color w:val="000000"/>
        </w:rPr>
        <w:t>щин путем развития кооперативов. В частности, были проведены реформы в кооперативном движении, с тем чтобы уделять первоочередное внимание вх</w:t>
      </w:r>
      <w:r w:rsidRPr="00570DEC">
        <w:rPr>
          <w:color w:val="000000"/>
        </w:rPr>
        <w:t>о</w:t>
      </w:r>
      <w:r w:rsidRPr="00570DEC">
        <w:rPr>
          <w:color w:val="000000"/>
        </w:rPr>
        <w:t>дящим в кооперативы женщинам. Занзибар укрепил политическую и правовую основу, разработав Политику в области развития кооперативов. Она определяет стратегии расширения прав и возможностей женщин занимать руководящие должности в их кооперативах. Также были приняты конкретные меры по ра</w:t>
      </w:r>
      <w:r w:rsidRPr="00570DEC">
        <w:rPr>
          <w:color w:val="000000"/>
        </w:rPr>
        <w:t>с</w:t>
      </w:r>
      <w:r w:rsidRPr="00570DEC">
        <w:rPr>
          <w:color w:val="000000"/>
        </w:rPr>
        <w:t>ширению доступа женщин к финансированию в рамках сберегательно-кредитных кооперативов (СКК), в результате чего в СКК вступило немало женщин. Например, с июля 2014 года примерно 197 СКК (с общим числом членов 13</w:t>
      </w:r>
      <w:r w:rsidRPr="00570DEC">
        <w:rPr>
          <w:color w:val="000000"/>
          <w:lang w:val="en-US"/>
        </w:rPr>
        <w:t> </w:t>
      </w:r>
      <w:r w:rsidRPr="00570DEC">
        <w:rPr>
          <w:color w:val="000000"/>
        </w:rPr>
        <w:t>387 человек, в том числе 9138 женщин, то есть 68,26 процента) в</w:t>
      </w:r>
      <w:r w:rsidRPr="00570DEC">
        <w:rPr>
          <w:color w:val="000000"/>
        </w:rPr>
        <w:t>ы</w:t>
      </w:r>
      <w:r w:rsidRPr="00570DEC">
        <w:rPr>
          <w:color w:val="000000"/>
        </w:rPr>
        <w:t xml:space="preserve">дали своим клиентам кредиты на общую сумму 3,9 млрд. </w:t>
      </w:r>
      <w:r w:rsidRPr="00570DEC">
        <w:rPr>
          <w:color w:val="000000"/>
          <w:szCs w:val="17"/>
        </w:rPr>
        <w:t>танзанийских ши</w:t>
      </w:r>
      <w:r w:rsidRPr="00570DEC">
        <w:rPr>
          <w:color w:val="000000"/>
          <w:szCs w:val="17"/>
        </w:rPr>
        <w:t>л</w:t>
      </w:r>
      <w:r w:rsidRPr="00570DEC">
        <w:rPr>
          <w:color w:val="000000"/>
          <w:szCs w:val="17"/>
        </w:rPr>
        <w:t>лингов</w:t>
      </w:r>
      <w:r w:rsidRPr="00570DEC">
        <w:rPr>
          <w:color w:val="000000"/>
        </w:rPr>
        <w:t xml:space="preserve">, при этом большинство заемщиков составили женщины. </w:t>
      </w:r>
    </w:p>
    <w:p w:rsidR="00AD593A" w:rsidRDefault="00AD593A" w:rsidP="00AD593A">
      <w:pPr>
        <w:pStyle w:val="SingleTxt"/>
        <w:rPr>
          <w:color w:val="000000"/>
          <w:lang w:val="en-US"/>
        </w:rPr>
      </w:pPr>
      <w:r w:rsidRPr="00570DEC">
        <w:rPr>
          <w:color w:val="000000"/>
        </w:rPr>
        <w:t>111.</w:t>
      </w:r>
      <w:r w:rsidRPr="00570DEC">
        <w:rPr>
          <w:color w:val="000000"/>
        </w:rPr>
        <w:tab/>
        <w:t>В своем стремлении нарастить за счет вовлечения женщин в кооперативы их потенциал в таких сферах, как руководство, управление и делопроизво</w:t>
      </w:r>
      <w:r w:rsidRPr="00570DEC">
        <w:rPr>
          <w:color w:val="000000"/>
        </w:rPr>
        <w:t>д</w:t>
      </w:r>
      <w:r w:rsidRPr="00570DEC">
        <w:rPr>
          <w:color w:val="000000"/>
        </w:rPr>
        <w:t>ство, а также права и обязанности членов, революционное правительство За</w:t>
      </w:r>
      <w:r w:rsidRPr="00570DEC">
        <w:rPr>
          <w:color w:val="000000"/>
        </w:rPr>
        <w:t>н</w:t>
      </w:r>
      <w:r w:rsidRPr="00570DEC">
        <w:rPr>
          <w:color w:val="000000"/>
        </w:rPr>
        <w:t>зибара предоставило соответствующие полномочия 4692 женщинам из 6649 членов. Эта инициатива придала женщинам уверенности в вопросах р</w:t>
      </w:r>
      <w:r w:rsidRPr="00570DEC">
        <w:rPr>
          <w:color w:val="000000"/>
        </w:rPr>
        <w:t>у</w:t>
      </w:r>
      <w:r w:rsidRPr="00570DEC">
        <w:rPr>
          <w:color w:val="000000"/>
        </w:rPr>
        <w:t>ководства, управления и принятия решений в их кооперативах, равно как и на уровне семьи. Кроме того, правительство создало фонды расширения прав и возможностей, предоставляющие кредиты на льготных условиях предприним</w:t>
      </w:r>
      <w:r w:rsidRPr="00570DEC">
        <w:rPr>
          <w:color w:val="000000"/>
        </w:rPr>
        <w:t>а</w:t>
      </w:r>
      <w:r w:rsidRPr="00570DEC">
        <w:rPr>
          <w:color w:val="000000"/>
        </w:rPr>
        <w:t>телям и мелким производителям, большинство которых являются женщинами, на развитие их бизнеса и производства, а также для достижения цели МКУЗА, заключающейся в сокращении нищеты по доходам на Занзибаре. По состоянию на июль 2014 года на островах Унгуджа и Пемба было выдано в общей сло</w:t>
      </w:r>
      <w:r w:rsidRPr="00570DEC">
        <w:rPr>
          <w:color w:val="000000"/>
        </w:rPr>
        <w:t>ж</w:t>
      </w:r>
      <w:r w:rsidRPr="00570DEC">
        <w:rPr>
          <w:color w:val="000000"/>
        </w:rPr>
        <w:t>ности 1246 кредитов, в том числе 679</w:t>
      </w:r>
      <w:r w:rsidR="00C47801">
        <w:rPr>
          <w:color w:val="000000"/>
        </w:rPr>
        <w:t xml:space="preserve"> — </w:t>
      </w:r>
      <w:r w:rsidRPr="00570DEC">
        <w:rPr>
          <w:color w:val="000000"/>
        </w:rPr>
        <w:t>женщинам. В целом революционное правительство Занзибара координирует действия микрофинансовых организ</w:t>
      </w:r>
      <w:r w:rsidRPr="00570DEC">
        <w:rPr>
          <w:color w:val="000000"/>
        </w:rPr>
        <w:t>а</w:t>
      </w:r>
      <w:r w:rsidRPr="00570DEC">
        <w:rPr>
          <w:color w:val="000000"/>
        </w:rPr>
        <w:t>ций по обеспечению надежного доступа к финансированию, особенно для женщин (МРПВСОМЖД, 2014 год). Также был создан Целевой фонд развития женского предпринимательства (ЦФРЖП)</w:t>
      </w:r>
      <w:r w:rsidR="00C47801">
        <w:rPr>
          <w:color w:val="000000"/>
        </w:rPr>
        <w:t xml:space="preserve"> — </w:t>
      </w:r>
      <w:r w:rsidRPr="00570DEC">
        <w:rPr>
          <w:color w:val="000000"/>
        </w:rPr>
        <w:t>специальный фонд для женщин, облегч</w:t>
      </w:r>
      <w:r w:rsidRPr="00570DEC">
        <w:rPr>
          <w:color w:val="000000"/>
        </w:rPr>
        <w:t>а</w:t>
      </w:r>
      <w:r w:rsidRPr="00570DEC">
        <w:rPr>
          <w:color w:val="000000"/>
        </w:rPr>
        <w:t>ющий получение кредитных средств женщинами-предпринимателями. Всего было выдано 18</w:t>
      </w:r>
      <w:r w:rsidRPr="00570DEC">
        <w:rPr>
          <w:color w:val="000000"/>
          <w:lang w:val="en-US"/>
        </w:rPr>
        <w:t> </w:t>
      </w:r>
      <w:r w:rsidRPr="00570DEC">
        <w:rPr>
          <w:color w:val="000000"/>
        </w:rPr>
        <w:t xml:space="preserve">400 кредитов на общую сумму 3,0 млрд. </w:t>
      </w:r>
      <w:r w:rsidRPr="00570DEC">
        <w:rPr>
          <w:color w:val="000000"/>
          <w:szCs w:val="17"/>
        </w:rPr>
        <w:t>танзанийских шиллингов</w:t>
      </w:r>
      <w:r w:rsidRPr="00570DEC">
        <w:rPr>
          <w:color w:val="000000"/>
        </w:rPr>
        <w:t>, при этом 95 процентов заемщиков составили женщины.</w:t>
      </w:r>
    </w:p>
    <w:p w:rsidR="00C47801" w:rsidRPr="00C47801" w:rsidRDefault="00C47801" w:rsidP="00C47801">
      <w:pPr>
        <w:pStyle w:val="SingleTxt"/>
        <w:spacing w:after="0" w:line="120" w:lineRule="exact"/>
        <w:rPr>
          <w:color w:val="000000"/>
          <w:sz w:val="10"/>
          <w:lang w:val="en-US"/>
        </w:rPr>
      </w:pPr>
    </w:p>
    <w:p w:rsidR="00AD593A" w:rsidRPr="00570DEC" w:rsidRDefault="00AD593A" w:rsidP="00C478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8" w:name="_Toc401576672"/>
      <w:r w:rsidRPr="00570DEC">
        <w:tab/>
      </w:r>
      <w:bookmarkStart w:id="39" w:name="_Toc417398644"/>
      <w:r w:rsidRPr="00570DEC">
        <w:t>1.2.2</w:t>
      </w:r>
      <w:r w:rsidRPr="00570DEC">
        <w:tab/>
      </w:r>
      <w:bookmarkEnd w:id="38"/>
      <w:r w:rsidRPr="00570DEC">
        <w:t>Здоровье</w:t>
      </w:r>
      <w:bookmarkEnd w:id="39"/>
    </w:p>
    <w:p w:rsidR="00C47801" w:rsidRPr="00C47801" w:rsidRDefault="00C47801" w:rsidP="00C47801">
      <w:pPr>
        <w:pStyle w:val="SingleTxt"/>
        <w:spacing w:after="0" w:line="120" w:lineRule="exact"/>
        <w:rPr>
          <w:color w:val="000000"/>
          <w:sz w:val="10"/>
        </w:rPr>
      </w:pPr>
    </w:p>
    <w:p w:rsidR="00AD593A" w:rsidRPr="00570DEC" w:rsidRDefault="00AD593A" w:rsidP="00AD593A">
      <w:pPr>
        <w:pStyle w:val="SingleTxt"/>
        <w:rPr>
          <w:color w:val="000000"/>
        </w:rPr>
      </w:pPr>
      <w:r w:rsidRPr="00570DEC">
        <w:rPr>
          <w:color w:val="000000"/>
        </w:rPr>
        <w:t>112.</w:t>
      </w:r>
      <w:r w:rsidRPr="00570DEC">
        <w:rPr>
          <w:color w:val="000000"/>
        </w:rPr>
        <w:tab/>
        <w:t>Государство-участник приняло правовые, политические и</w:t>
      </w:r>
      <w:r w:rsidR="00C47801" w:rsidRPr="00C47801">
        <w:rPr>
          <w:color w:val="000000"/>
        </w:rPr>
        <w:t xml:space="preserve"> </w:t>
      </w:r>
      <w:r w:rsidRPr="00570DEC">
        <w:rPr>
          <w:color w:val="000000"/>
        </w:rPr>
        <w:t>администр</w:t>
      </w:r>
      <w:r w:rsidRPr="00570DEC">
        <w:rPr>
          <w:color w:val="000000"/>
        </w:rPr>
        <w:t>а</w:t>
      </w:r>
      <w:r w:rsidRPr="00570DEC">
        <w:rPr>
          <w:color w:val="000000"/>
        </w:rPr>
        <w:t>тивные меры, призванные обеспечить снижение коэффициента младенческой, детской и материнской смертности. В этих целях государство-участник прин</w:t>
      </w:r>
      <w:r w:rsidRPr="00570DEC">
        <w:rPr>
          <w:color w:val="000000"/>
        </w:rPr>
        <w:t>я</w:t>
      </w:r>
      <w:r w:rsidRPr="00570DEC">
        <w:rPr>
          <w:color w:val="000000"/>
        </w:rPr>
        <w:t xml:space="preserve">ло </w:t>
      </w:r>
      <w:r w:rsidRPr="00570DEC">
        <w:rPr>
          <w:color w:val="000000"/>
          <w:lang w:val="en-US"/>
        </w:rPr>
        <w:t>III </w:t>
      </w:r>
      <w:r w:rsidRPr="00570DEC">
        <w:rPr>
          <w:color w:val="000000"/>
        </w:rPr>
        <w:t>Стратегический план развития сектора здравоохранения (СПРС</w:t>
      </w:r>
      <w:r>
        <w:rPr>
          <w:color w:val="000000"/>
        </w:rPr>
        <w:t>З</w:t>
      </w:r>
      <w:r w:rsidRPr="00570DEC">
        <w:rPr>
          <w:color w:val="000000"/>
        </w:rPr>
        <w:t> </w:t>
      </w:r>
      <w:r w:rsidRPr="00570DEC">
        <w:rPr>
          <w:color w:val="000000"/>
          <w:lang w:val="en-US"/>
        </w:rPr>
        <w:t>III</w:t>
      </w:r>
      <w:r w:rsidRPr="00570DEC">
        <w:rPr>
          <w:color w:val="000000"/>
        </w:rPr>
        <w:t>) (июль 2009 года</w:t>
      </w:r>
      <w:r w:rsidR="00C47801">
        <w:rPr>
          <w:color w:val="000000"/>
        </w:rPr>
        <w:t xml:space="preserve"> — </w:t>
      </w:r>
      <w:r w:rsidRPr="00570DEC">
        <w:rPr>
          <w:color w:val="000000"/>
        </w:rPr>
        <w:t>июнь 2015 года)</w:t>
      </w:r>
      <w:r w:rsidR="00C47801">
        <w:rPr>
          <w:rStyle w:val="FootnoteReference"/>
          <w:color w:val="000000"/>
        </w:rPr>
        <w:footnoteReference w:id="84"/>
      </w:r>
      <w:r w:rsidR="00C47801">
        <w:rPr>
          <w:color w:val="000000"/>
        </w:rPr>
        <w:t xml:space="preserve"> — </w:t>
      </w:r>
      <w:r w:rsidRPr="00570DEC">
        <w:rPr>
          <w:color w:val="000000"/>
        </w:rPr>
        <w:t>всеобъемлющий стратегический план развития сектора здравоохранения в период с июля 2009 года по июнь 2015 года, центральное место в котором занимает "</w:t>
      </w:r>
      <w:r w:rsidRPr="00570DEC">
        <w:rPr>
          <w:color w:val="000000"/>
          <w:shd w:val="clear" w:color="auto" w:fill="FFFFFF"/>
        </w:rPr>
        <w:t>Партнерство</w:t>
      </w:r>
      <w:r w:rsidRPr="00570DEC">
        <w:rPr>
          <w:rStyle w:val="apple-converted-space"/>
          <w:shd w:val="clear" w:color="auto" w:fill="FFFFFF"/>
        </w:rPr>
        <w:t xml:space="preserve"> </w:t>
      </w:r>
      <w:r w:rsidRPr="00570DEC">
        <w:rPr>
          <w:color w:val="000000"/>
          <w:shd w:val="clear" w:color="auto" w:fill="FFFFFF"/>
        </w:rPr>
        <w:t>для</w:t>
      </w:r>
      <w:r w:rsidRPr="00570DEC">
        <w:rPr>
          <w:rStyle w:val="apple-converted-space"/>
          <w:shd w:val="clear" w:color="auto" w:fill="FFFFFF"/>
        </w:rPr>
        <w:t xml:space="preserve"> </w:t>
      </w:r>
      <w:r w:rsidRPr="00570DEC">
        <w:rPr>
          <w:color w:val="000000"/>
          <w:shd w:val="clear" w:color="auto" w:fill="FFFFFF"/>
        </w:rPr>
        <w:t>достиж</w:t>
      </w:r>
      <w:r w:rsidRPr="00570DEC">
        <w:rPr>
          <w:color w:val="000000"/>
          <w:shd w:val="clear" w:color="auto" w:fill="FFFFFF"/>
        </w:rPr>
        <w:t>е</w:t>
      </w:r>
      <w:r w:rsidRPr="00570DEC">
        <w:rPr>
          <w:color w:val="000000"/>
          <w:shd w:val="clear" w:color="auto" w:fill="FFFFFF"/>
        </w:rPr>
        <w:t>ния</w:t>
      </w:r>
      <w:r w:rsidRPr="00570DEC">
        <w:rPr>
          <w:rStyle w:val="apple-converted-space"/>
          <w:shd w:val="clear" w:color="auto" w:fill="FFFFFF"/>
        </w:rPr>
        <w:t xml:space="preserve"> </w:t>
      </w:r>
      <w:r w:rsidRPr="00570DEC">
        <w:rPr>
          <w:color w:val="000000"/>
          <w:shd w:val="clear" w:color="auto" w:fill="FFFFFF"/>
        </w:rPr>
        <w:t>Целей</w:t>
      </w:r>
      <w:r w:rsidRPr="00570DEC">
        <w:rPr>
          <w:rStyle w:val="apple-converted-space"/>
          <w:shd w:val="clear" w:color="auto" w:fill="FFFFFF"/>
        </w:rPr>
        <w:t xml:space="preserve"> </w:t>
      </w:r>
      <w:r w:rsidRPr="00570DEC">
        <w:rPr>
          <w:color w:val="000000"/>
          <w:shd w:val="clear" w:color="auto" w:fill="FFFFFF"/>
        </w:rPr>
        <w:t>развития тысячелетия"</w:t>
      </w:r>
      <w:r w:rsidRPr="00570DEC">
        <w:rPr>
          <w:color w:val="000000"/>
        </w:rPr>
        <w:t>. Кроме того, государство-участник ос</w:t>
      </w:r>
      <w:r w:rsidRPr="00570DEC">
        <w:rPr>
          <w:color w:val="000000"/>
        </w:rPr>
        <w:t>у</w:t>
      </w:r>
      <w:r w:rsidRPr="00570DEC">
        <w:rPr>
          <w:color w:val="000000"/>
        </w:rPr>
        <w:t>ществляет Национальную политику в области здравоохранения (2007 год), Концепцию развития до 2025 года, МКУКУТА II, ЦРТ</w:t>
      </w:r>
      <w:r w:rsidR="00C47801">
        <w:rPr>
          <w:rStyle w:val="FootnoteReference"/>
          <w:color w:val="000000"/>
        </w:rPr>
        <w:footnoteReference w:id="85"/>
      </w:r>
      <w:r w:rsidRPr="00570DEC">
        <w:rPr>
          <w:color w:val="000000"/>
        </w:rPr>
        <w:t>, Дорожную карту ускоренного сокращения материнской, младенческой и детской заболеваемости и смертности на 2008–2015 годы, Руководящие принципы политики в области репродуктивного здоровья и здоровья ребенка (2003 год), Национальный ко</w:t>
      </w:r>
      <w:r w:rsidRPr="00570DEC">
        <w:rPr>
          <w:color w:val="000000"/>
        </w:rPr>
        <w:t>м</w:t>
      </w:r>
      <w:r w:rsidRPr="00570DEC">
        <w:rPr>
          <w:color w:val="000000"/>
        </w:rPr>
        <w:t>плекс неотложных мер в области репродуктивного здоровья и здоровья ребе</w:t>
      </w:r>
      <w:r w:rsidRPr="00570DEC">
        <w:rPr>
          <w:color w:val="000000"/>
        </w:rPr>
        <w:t>н</w:t>
      </w:r>
      <w:r w:rsidRPr="00570DEC">
        <w:rPr>
          <w:color w:val="000000"/>
        </w:rPr>
        <w:t>ка, а также Страт</w:t>
      </w:r>
      <w:r w:rsidRPr="00570DEC">
        <w:rPr>
          <w:color w:val="000000"/>
        </w:rPr>
        <w:t>е</w:t>
      </w:r>
      <w:r w:rsidRPr="00570DEC">
        <w:rPr>
          <w:color w:val="000000"/>
        </w:rPr>
        <w:t>гию охраны репродуктивного здоровья и здоровья ребенка на 2005–2010 годы.</w:t>
      </w:r>
    </w:p>
    <w:p w:rsidR="00AD593A" w:rsidRPr="00570DEC" w:rsidRDefault="00AD593A" w:rsidP="00AD593A">
      <w:pPr>
        <w:pStyle w:val="SingleTxt"/>
        <w:rPr>
          <w:color w:val="000000"/>
        </w:rPr>
      </w:pPr>
      <w:r w:rsidRPr="00570DEC">
        <w:rPr>
          <w:color w:val="000000"/>
        </w:rPr>
        <w:t>113.</w:t>
      </w:r>
      <w:r w:rsidRPr="00570DEC">
        <w:rPr>
          <w:color w:val="000000"/>
        </w:rPr>
        <w:tab/>
        <w:t>По данным национальной статистики, коэффициент материнской смер</w:t>
      </w:r>
      <w:r w:rsidRPr="00570DEC">
        <w:rPr>
          <w:color w:val="000000"/>
        </w:rPr>
        <w:t>т</w:t>
      </w:r>
      <w:r w:rsidRPr="00570DEC">
        <w:rPr>
          <w:color w:val="000000"/>
        </w:rPr>
        <w:t>ности сократился с 578 в 2004–2005 годах до 454 в 2010 году; о сокращении детской смертности свидетельствует снижение младенческой смертности с 71 до 51 случая смерти на 1000 живорождений в 2001–2010 годах, а также сниж</w:t>
      </w:r>
      <w:r w:rsidRPr="00570DEC">
        <w:rPr>
          <w:color w:val="000000"/>
        </w:rPr>
        <w:t>е</w:t>
      </w:r>
      <w:r w:rsidRPr="00570DEC">
        <w:rPr>
          <w:color w:val="000000"/>
        </w:rPr>
        <w:t>ние коэффициента смертности младенцев в возрасте от 28 дней до 11 месяцев с 36 до 25 случаев смерти на 1000 живорождений в 2004–2010 годах</w:t>
      </w:r>
      <w:r w:rsidR="00C47801">
        <w:rPr>
          <w:rStyle w:val="FootnoteReference"/>
          <w:color w:val="000000"/>
        </w:rPr>
        <w:footnoteReference w:id="86"/>
      </w:r>
      <w:r w:rsidRPr="00570DEC">
        <w:rPr>
          <w:color w:val="000000"/>
        </w:rPr>
        <w:t>. Дополн</w:t>
      </w:r>
      <w:r w:rsidRPr="00570DEC">
        <w:rPr>
          <w:color w:val="000000"/>
        </w:rPr>
        <w:t>и</w:t>
      </w:r>
      <w:r w:rsidRPr="00570DEC">
        <w:rPr>
          <w:color w:val="000000"/>
        </w:rPr>
        <w:t>тельным подтверждением служит снижение коэффициента смертности детей в возрасте до 5 лет на 41 процент, со 137 случаев смерти на 1000 живорождений в 1992–1996 годах до 81 случая смерти на 1000 живорождений в 2006–2010 годах</w:t>
      </w:r>
      <w:r w:rsidR="00C47801">
        <w:rPr>
          <w:rStyle w:val="FootnoteReference"/>
          <w:color w:val="000000"/>
        </w:rPr>
        <w:footnoteReference w:id="87"/>
      </w:r>
      <w:r w:rsidRPr="00570DEC">
        <w:rPr>
          <w:color w:val="000000"/>
        </w:rPr>
        <w:t xml:space="preserve">. </w:t>
      </w:r>
    </w:p>
    <w:p w:rsidR="00AD593A" w:rsidRPr="00570DEC" w:rsidRDefault="00AD593A" w:rsidP="00AD593A">
      <w:pPr>
        <w:pStyle w:val="SingleTxt"/>
        <w:rPr>
          <w:bCs/>
          <w:color w:val="000000"/>
        </w:rPr>
      </w:pPr>
      <w:r w:rsidRPr="00570DEC">
        <w:rPr>
          <w:bCs/>
          <w:color w:val="000000"/>
        </w:rPr>
        <w:t>114.</w:t>
      </w:r>
      <w:r w:rsidRPr="00570DEC">
        <w:rPr>
          <w:bCs/>
          <w:color w:val="000000"/>
        </w:rPr>
        <w:tab/>
        <w:t xml:space="preserve">На </w:t>
      </w:r>
      <w:r w:rsidRPr="00570DEC">
        <w:rPr>
          <w:color w:val="000000"/>
        </w:rPr>
        <w:t xml:space="preserve">Занзибаре </w:t>
      </w:r>
      <w:r w:rsidRPr="00570DEC">
        <w:rPr>
          <w:bCs/>
          <w:color w:val="000000"/>
        </w:rPr>
        <w:t xml:space="preserve">охране здоровья матери и ребенка </w:t>
      </w:r>
      <w:r w:rsidRPr="00570DEC">
        <w:rPr>
          <w:color w:val="000000"/>
        </w:rPr>
        <w:t>уделялось должное вн</w:t>
      </w:r>
      <w:r w:rsidRPr="00570DEC">
        <w:rPr>
          <w:color w:val="000000"/>
        </w:rPr>
        <w:t>и</w:t>
      </w:r>
      <w:r w:rsidRPr="00570DEC">
        <w:rPr>
          <w:color w:val="000000"/>
        </w:rPr>
        <w:t xml:space="preserve">мание в рамках Программы реформирования сектора здравоохранения. </w:t>
      </w:r>
      <w:r w:rsidRPr="00570DEC">
        <w:rPr>
          <w:bCs/>
          <w:color w:val="000000"/>
        </w:rPr>
        <w:t>На </w:t>
      </w:r>
      <w:r w:rsidRPr="00570DEC">
        <w:rPr>
          <w:color w:val="000000"/>
        </w:rPr>
        <w:t xml:space="preserve">Занзибаре осуществляются МКУЗА II, Концепция развития до 2020 года, Политика в области здравоохранения, аудит случаев материнской смертности и </w:t>
      </w:r>
      <w:r w:rsidRPr="00570DEC">
        <w:rPr>
          <w:bCs/>
          <w:color w:val="000000"/>
        </w:rPr>
        <w:t>Дорожная карта ускоренного сокращения материнской и детской заболеваем</w:t>
      </w:r>
      <w:r w:rsidRPr="00570DEC">
        <w:rPr>
          <w:bCs/>
          <w:color w:val="000000"/>
        </w:rPr>
        <w:t>о</w:t>
      </w:r>
      <w:r w:rsidRPr="00570DEC">
        <w:rPr>
          <w:bCs/>
          <w:color w:val="000000"/>
        </w:rPr>
        <w:t>сти и смертности на 2008–2015 годы</w:t>
      </w:r>
      <w:r w:rsidRPr="00570DEC">
        <w:rPr>
          <w:color w:val="000000"/>
        </w:rPr>
        <w:t>. Кроме того, существуют программы "С</w:t>
      </w:r>
      <w:r w:rsidRPr="00570DEC">
        <w:rPr>
          <w:color w:val="000000"/>
        </w:rPr>
        <w:t>а</w:t>
      </w:r>
      <w:r w:rsidRPr="00570DEC">
        <w:rPr>
          <w:color w:val="000000"/>
        </w:rPr>
        <w:t>ра" и "Майша", целью которых является улучшение здоровья матерей, женщин и детей. Проводятся мероприятия по снижению анемии во время беременн</w:t>
      </w:r>
      <w:r w:rsidRPr="00570DEC">
        <w:rPr>
          <w:color w:val="000000"/>
        </w:rPr>
        <w:t>о</w:t>
      </w:r>
      <w:r w:rsidRPr="00570DEC">
        <w:rPr>
          <w:color w:val="000000"/>
        </w:rPr>
        <w:t>сти, в том числе путем регулярного предоставления препаратов железа и фол</w:t>
      </w:r>
      <w:r w:rsidRPr="00570DEC">
        <w:rPr>
          <w:color w:val="000000"/>
        </w:rPr>
        <w:t>и</w:t>
      </w:r>
      <w:r w:rsidRPr="00570DEC">
        <w:rPr>
          <w:color w:val="000000"/>
        </w:rPr>
        <w:t>евой кислоты при каждом посещении медучреждения, оказывающего услуги ДРП, периодического превентивного лечения малярии (малярия может выз</w:t>
      </w:r>
      <w:r w:rsidRPr="00570DEC">
        <w:rPr>
          <w:color w:val="000000"/>
        </w:rPr>
        <w:t>ы</w:t>
      </w:r>
      <w:r w:rsidRPr="00570DEC">
        <w:rPr>
          <w:color w:val="000000"/>
        </w:rPr>
        <w:t>вать анемию) и санитарного просвещения при посещении медучреждения в рамках ДРП</w:t>
      </w:r>
      <w:r w:rsidRPr="00570DEC">
        <w:rPr>
          <w:bCs/>
          <w:color w:val="000000"/>
        </w:rPr>
        <w:t xml:space="preserve">. </w:t>
      </w:r>
    </w:p>
    <w:p w:rsidR="00AD593A" w:rsidRPr="00570DEC" w:rsidRDefault="00AD593A" w:rsidP="00AD593A">
      <w:pPr>
        <w:pStyle w:val="SingleTxt"/>
        <w:rPr>
          <w:color w:val="000000"/>
        </w:rPr>
      </w:pPr>
      <w:r w:rsidRPr="00570DEC">
        <w:rPr>
          <w:color w:val="000000"/>
        </w:rPr>
        <w:t>115.</w:t>
      </w:r>
      <w:r w:rsidRPr="00570DEC">
        <w:rPr>
          <w:color w:val="000000"/>
        </w:rPr>
        <w:tab/>
        <w:t>За аналогичный период коэффициент младенческой смертности снизился на 42 процента, с 88 до 51 случая смерти на 1000 живорождений. Снижение детской смертности может объясняться неуклонным улучшением положения в секторе здравоохранения, особенно в области охраны здоровья матери и р</w:t>
      </w:r>
      <w:r w:rsidRPr="00570DEC">
        <w:rPr>
          <w:color w:val="000000"/>
        </w:rPr>
        <w:t>е</w:t>
      </w:r>
      <w:r w:rsidRPr="00570DEC">
        <w:rPr>
          <w:color w:val="000000"/>
        </w:rPr>
        <w:t>бенка; при этом следует отдельно упомянуть программы иммунизации и пр</w:t>
      </w:r>
      <w:r w:rsidRPr="00570DEC">
        <w:rPr>
          <w:color w:val="000000"/>
        </w:rPr>
        <w:t>о</w:t>
      </w:r>
      <w:r w:rsidRPr="00570DEC">
        <w:rPr>
          <w:color w:val="000000"/>
        </w:rPr>
        <w:t>филактики малярии. Эти меры обеспечили положительную динамику и сниж</w:t>
      </w:r>
      <w:r w:rsidRPr="00570DEC">
        <w:rPr>
          <w:color w:val="000000"/>
        </w:rPr>
        <w:t>е</w:t>
      </w:r>
      <w:r w:rsidRPr="00570DEC">
        <w:rPr>
          <w:color w:val="000000"/>
        </w:rPr>
        <w:t>ние показателей смертности среди детей в возрасте до 5 лет, младенческой смертности и смертности новорожденных в 1999–2010 годах, что указывает на прогресс в достижении ЦРТ по коэффициенту смертности детей в возрасте до 5 лет и младенческой смертности. Также необходимо отметить, что при сохр</w:t>
      </w:r>
      <w:r w:rsidRPr="00570DEC">
        <w:rPr>
          <w:color w:val="000000"/>
        </w:rPr>
        <w:t>а</w:t>
      </w:r>
      <w:r w:rsidRPr="00570DEC">
        <w:rPr>
          <w:color w:val="000000"/>
        </w:rPr>
        <w:t>нении темпов снижения этих показателей Танзания сможет достичь ЦРТ по к</w:t>
      </w:r>
      <w:r w:rsidRPr="00570DEC">
        <w:rPr>
          <w:color w:val="000000"/>
        </w:rPr>
        <w:t>о</w:t>
      </w:r>
      <w:r w:rsidRPr="00570DEC">
        <w:rPr>
          <w:color w:val="000000"/>
        </w:rPr>
        <w:t>эффициенту смертности детей в возрасте до 5</w:t>
      </w:r>
      <w:r>
        <w:rPr>
          <w:color w:val="000000"/>
          <w:lang w:val="en-US"/>
        </w:rPr>
        <w:t> </w:t>
      </w:r>
      <w:r w:rsidRPr="00570DEC">
        <w:rPr>
          <w:color w:val="000000"/>
        </w:rPr>
        <w:t>лет и младенческой смертн</w:t>
      </w:r>
      <w:r w:rsidRPr="00570DEC">
        <w:rPr>
          <w:color w:val="000000"/>
        </w:rPr>
        <w:t>о</w:t>
      </w:r>
      <w:r w:rsidRPr="00570DEC">
        <w:rPr>
          <w:color w:val="000000"/>
        </w:rPr>
        <w:t>сти</w:t>
      </w:r>
      <w:r w:rsidR="00C47801">
        <w:rPr>
          <w:rStyle w:val="FootnoteReference"/>
          <w:color w:val="000000"/>
        </w:rPr>
        <w:footnoteReference w:id="88"/>
      </w:r>
      <w:r w:rsidRPr="00570DEC">
        <w:rPr>
          <w:color w:val="000000"/>
        </w:rPr>
        <w:t>. Показатели материнской смертности на Занзибаре также отсутствуют. 124. По данным МДОТ 2010 года, уровень охвата ДРП на Занзибаре выше, чем на м</w:t>
      </w:r>
      <w:r w:rsidRPr="00570DEC">
        <w:rPr>
          <w:color w:val="000000"/>
        </w:rPr>
        <w:t>а</w:t>
      </w:r>
      <w:r w:rsidRPr="00570DEC">
        <w:rPr>
          <w:color w:val="000000"/>
        </w:rPr>
        <w:t>териковой части Танзании (соответственно 99 процентов и 96 процентов).</w:t>
      </w:r>
    </w:p>
    <w:p w:rsidR="00AD593A" w:rsidRPr="00570DEC" w:rsidRDefault="00AD593A" w:rsidP="00AD593A">
      <w:pPr>
        <w:pStyle w:val="SingleTxt"/>
        <w:rPr>
          <w:color w:val="000000"/>
        </w:rPr>
      </w:pPr>
      <w:r w:rsidRPr="00570DEC">
        <w:rPr>
          <w:color w:val="000000"/>
        </w:rPr>
        <w:t>116.</w:t>
      </w:r>
      <w:r w:rsidRPr="00570DEC">
        <w:rPr>
          <w:color w:val="000000"/>
        </w:rPr>
        <w:tab/>
        <w:t>В каждом регионе материковой части Танзании девять женщин из каждых десяти сообщили, что они как минимум получают профессиональную мед</w:t>
      </w:r>
      <w:r w:rsidRPr="00570DEC">
        <w:rPr>
          <w:color w:val="000000"/>
        </w:rPr>
        <w:t>и</w:t>
      </w:r>
      <w:r w:rsidRPr="00570DEC">
        <w:rPr>
          <w:color w:val="000000"/>
        </w:rPr>
        <w:t>цинскую помощь; исключения составили только области Мванза и Мара. Кр</w:t>
      </w:r>
      <w:r w:rsidRPr="00570DEC">
        <w:rPr>
          <w:color w:val="000000"/>
        </w:rPr>
        <w:t>о</w:t>
      </w:r>
      <w:r w:rsidRPr="00570DEC">
        <w:rPr>
          <w:color w:val="000000"/>
        </w:rPr>
        <w:t>ме того, согласно данным МДОТ 2010 года, в Килиманджаро и Дар-эс-Саламе ДРП охвачено 100 процентов населения. В МДОТ 2010 года отмечается, что "хотя различия незначительны, получившие образование матери с большей в</w:t>
      </w:r>
      <w:r w:rsidRPr="00570DEC">
        <w:rPr>
          <w:color w:val="000000"/>
        </w:rPr>
        <w:t>е</w:t>
      </w:r>
      <w:r w:rsidRPr="00570DEC">
        <w:rPr>
          <w:color w:val="000000"/>
        </w:rPr>
        <w:t>роятностью обращаются за дородовой помощью к медицинским работникам, чем матери с более низким уровнем образования"</w:t>
      </w:r>
      <w:r w:rsidR="00C47801">
        <w:rPr>
          <w:rStyle w:val="FootnoteReference"/>
          <w:color w:val="000000"/>
        </w:rPr>
        <w:footnoteReference w:id="89"/>
      </w:r>
      <w:r w:rsidRPr="00570DEC">
        <w:rPr>
          <w:color w:val="000000"/>
        </w:rPr>
        <w:t>. Соответственно, сущ</w:t>
      </w:r>
      <w:r w:rsidRPr="00570DEC">
        <w:rPr>
          <w:color w:val="000000"/>
        </w:rPr>
        <w:t>е</w:t>
      </w:r>
      <w:r w:rsidRPr="00570DEC">
        <w:rPr>
          <w:color w:val="000000"/>
        </w:rPr>
        <w:t>ствует позитивная связь и "между принадлежностью к более высокому квинт</w:t>
      </w:r>
      <w:r w:rsidRPr="00570DEC">
        <w:rPr>
          <w:color w:val="000000"/>
        </w:rPr>
        <w:t>и</w:t>
      </w:r>
      <w:r w:rsidRPr="00570DEC">
        <w:rPr>
          <w:color w:val="000000"/>
        </w:rPr>
        <w:t>лю достатка и получением ДРП у медицинского специалиста"</w:t>
      </w:r>
      <w:r w:rsidR="00C47801">
        <w:rPr>
          <w:rStyle w:val="FootnoteReference"/>
          <w:color w:val="000000"/>
        </w:rPr>
        <w:footnoteReference w:id="90"/>
      </w:r>
      <w:r w:rsidRPr="00570DEC">
        <w:rPr>
          <w:color w:val="000000"/>
        </w:rPr>
        <w:t>. Таким обр</w:t>
      </w:r>
      <w:r w:rsidRPr="00570DEC">
        <w:rPr>
          <w:color w:val="000000"/>
        </w:rPr>
        <w:t>а</w:t>
      </w:r>
      <w:r w:rsidRPr="00570DEC">
        <w:rPr>
          <w:color w:val="000000"/>
        </w:rPr>
        <w:t>зом, в МДОТ 2010 года сделан вывод, что процент женщин, получавших, по данным МДОТ 2010 года, ДРП у медицинского специалиста, "незначительно вырос по сравнению с данными МДОТ 2004–2005 годов (соответственно 96 процентов и 94 процента)"</w:t>
      </w:r>
      <w:r w:rsidR="00C47801">
        <w:rPr>
          <w:rStyle w:val="FootnoteReference"/>
          <w:color w:val="000000"/>
        </w:rPr>
        <w:footnoteReference w:id="91"/>
      </w:r>
      <w:r w:rsidRPr="00570DEC">
        <w:rPr>
          <w:color w:val="000000"/>
        </w:rPr>
        <w:t>.</w:t>
      </w:r>
    </w:p>
    <w:p w:rsidR="00AD593A" w:rsidRPr="00570DEC" w:rsidRDefault="00AD593A" w:rsidP="00AD593A">
      <w:pPr>
        <w:pStyle w:val="SingleTxt"/>
        <w:rPr>
          <w:color w:val="000000"/>
        </w:rPr>
      </w:pPr>
      <w:r w:rsidRPr="00570DEC">
        <w:rPr>
          <w:color w:val="000000"/>
        </w:rPr>
        <w:t>117.</w:t>
      </w:r>
      <w:r w:rsidRPr="00570DEC">
        <w:rPr>
          <w:color w:val="000000"/>
        </w:rPr>
        <w:tab/>
        <w:t>За отчетный период данных об ожидаемой средней продолжительности жизни женщин на Занзибаре не имеется, однако этот вопрос будет изучаться по данным Национальной переписи населения, которая была проведена в 2012 году, и результаты исследования будут обнародованы в ближайшее время.</w:t>
      </w:r>
    </w:p>
    <w:p w:rsidR="00AD593A" w:rsidRPr="00570DEC" w:rsidRDefault="00AD593A" w:rsidP="00AD593A">
      <w:pPr>
        <w:pStyle w:val="SingleTxt"/>
        <w:rPr>
          <w:color w:val="000000"/>
        </w:rPr>
      </w:pPr>
      <w:r w:rsidRPr="00570DEC">
        <w:rPr>
          <w:color w:val="000000"/>
        </w:rPr>
        <w:t>118.</w:t>
      </w:r>
      <w:r w:rsidRPr="00570DEC">
        <w:rPr>
          <w:color w:val="000000"/>
        </w:rPr>
        <w:tab/>
        <w:t>Государство-участник приняло ряд инициатив по предотвращению по</w:t>
      </w:r>
      <w:r w:rsidRPr="00570DEC">
        <w:rPr>
          <w:color w:val="000000"/>
        </w:rPr>
        <w:t>д</w:t>
      </w:r>
      <w:r w:rsidRPr="00570DEC">
        <w:rPr>
          <w:color w:val="000000"/>
        </w:rPr>
        <w:t xml:space="preserve">ростковой беременности. В их числе – введение в действие </w:t>
      </w:r>
      <w:r w:rsidRPr="00570DEC">
        <w:rPr>
          <w:bCs/>
          <w:color w:val="000000"/>
        </w:rPr>
        <w:t>ЗОМСП</w:t>
      </w:r>
      <w:r w:rsidRPr="00570DEC">
        <w:rPr>
          <w:color w:val="000000"/>
        </w:rPr>
        <w:t xml:space="preserve"> 1998 года, положения которого вошли в Уголовный кодекс (глава 16 в редакции 2002 года), создание районных общеобразовательных школ, что привело к улучшению доступа девочек к образованию, и проведение государственными и негосударственными организациями информационных кампаний по предо</w:t>
      </w:r>
      <w:r w:rsidRPr="00570DEC">
        <w:rPr>
          <w:color w:val="000000"/>
        </w:rPr>
        <w:t>т</w:t>
      </w:r>
      <w:r w:rsidRPr="00570DEC">
        <w:rPr>
          <w:color w:val="000000"/>
        </w:rPr>
        <w:t>вращению подростковых беременностей. Информация о подростковых бер</w:t>
      </w:r>
      <w:r w:rsidRPr="00570DEC">
        <w:rPr>
          <w:color w:val="000000"/>
        </w:rPr>
        <w:t>е</w:t>
      </w:r>
      <w:r w:rsidRPr="00570DEC">
        <w:rPr>
          <w:color w:val="000000"/>
        </w:rPr>
        <w:t>менностях, которая имеется у государства-участника, относится к женщинам младше 19 лет и не дезагрегирована по районам. Медико-демографическое о</w:t>
      </w:r>
      <w:r w:rsidRPr="00570DEC">
        <w:rPr>
          <w:color w:val="000000"/>
        </w:rPr>
        <w:t>б</w:t>
      </w:r>
      <w:r w:rsidRPr="00570DEC">
        <w:rPr>
          <w:color w:val="000000"/>
        </w:rPr>
        <w:t>следование Танзании 2010 года выявило, что вынашивали или родили ребенка 23 процента женщин в возрасте от 15 до 19 лет; у 17 процентов ребенок роди</w:t>
      </w:r>
      <w:r w:rsidRPr="00570DEC">
        <w:rPr>
          <w:color w:val="000000"/>
        </w:rPr>
        <w:t>л</w:t>
      </w:r>
      <w:r w:rsidRPr="00570DEC">
        <w:rPr>
          <w:color w:val="000000"/>
        </w:rPr>
        <w:t>ся живым, а 6 процентов были беременны первым ребенком. Хотя в возрасте 15 лет вынашивали или родили ребенка лишь 5 процентов женщин, в возрасте 19 лет уже 44 процента женщин либо являлись матерями, либо были береме</w:t>
      </w:r>
      <w:r w:rsidRPr="00570DEC">
        <w:rPr>
          <w:color w:val="000000"/>
        </w:rPr>
        <w:t>н</w:t>
      </w:r>
      <w:r w:rsidRPr="00570DEC">
        <w:rPr>
          <w:color w:val="000000"/>
        </w:rPr>
        <w:t>ны первым ребенком</w:t>
      </w:r>
      <w:r w:rsidR="00C47801">
        <w:rPr>
          <w:rStyle w:val="FootnoteReference"/>
          <w:color w:val="000000"/>
        </w:rPr>
        <w:footnoteReference w:id="92"/>
      </w:r>
      <w:r w:rsidRPr="00570DEC">
        <w:rPr>
          <w:color w:val="000000"/>
        </w:rPr>
        <w:t>. По данным МДОТ 2010 года, у подростков в сельских районах "вероятность беременности или рождения ребенка значительно выше, чем у проживающих в городах (соответственно 26 процентов и 15 процентов)"</w:t>
      </w:r>
      <w:r w:rsidR="00C47801">
        <w:rPr>
          <w:rStyle w:val="FootnoteReference"/>
          <w:color w:val="000000"/>
        </w:rPr>
        <w:footnoteReference w:id="93"/>
      </w:r>
      <w:r w:rsidRPr="00570DEC">
        <w:rPr>
          <w:color w:val="000000"/>
        </w:rPr>
        <w:t>. Доля женщин, чей возраст на момент рождения первенца с</w:t>
      </w:r>
      <w:r w:rsidRPr="00570DEC">
        <w:rPr>
          <w:color w:val="000000"/>
        </w:rPr>
        <w:t>о</w:t>
      </w:r>
      <w:r w:rsidRPr="00570DEC">
        <w:rPr>
          <w:color w:val="000000"/>
        </w:rPr>
        <w:t xml:space="preserve">ставлял от 15 до 19 лет, варьирует от 16 процентов в северной части страны до 30 процентов в ее западной части. </w:t>
      </w:r>
    </w:p>
    <w:p w:rsidR="00AD593A" w:rsidRPr="00570DEC" w:rsidRDefault="00AD593A" w:rsidP="00AD593A">
      <w:pPr>
        <w:pStyle w:val="SingleTxt"/>
        <w:rPr>
          <w:color w:val="000000"/>
        </w:rPr>
      </w:pPr>
      <w:r w:rsidRPr="00570DEC">
        <w:rPr>
          <w:color w:val="000000"/>
        </w:rPr>
        <w:t>119.</w:t>
      </w:r>
      <w:r w:rsidRPr="00570DEC">
        <w:rPr>
          <w:color w:val="000000"/>
        </w:rPr>
        <w:tab/>
        <w:t>По данным МДОТ 2010 года, на Занзибаре вынашивали или родили р</w:t>
      </w:r>
      <w:r w:rsidRPr="00570DEC">
        <w:rPr>
          <w:color w:val="000000"/>
        </w:rPr>
        <w:t>е</w:t>
      </w:r>
      <w:r w:rsidRPr="00570DEC">
        <w:rPr>
          <w:color w:val="000000"/>
        </w:rPr>
        <w:t>бенка 6 процентов женщин в возрасте от 15 до 19 лет. С учетом ограниченн</w:t>
      </w:r>
      <w:r w:rsidRPr="00570DEC">
        <w:rPr>
          <w:color w:val="000000"/>
        </w:rPr>
        <w:t>о</w:t>
      </w:r>
      <w:r w:rsidRPr="00570DEC">
        <w:rPr>
          <w:color w:val="000000"/>
        </w:rPr>
        <w:t>сти дезагрегированных по районам данных, получаемых по итогам общенац</w:t>
      </w:r>
      <w:r w:rsidRPr="00570DEC">
        <w:rPr>
          <w:color w:val="000000"/>
        </w:rPr>
        <w:t>и</w:t>
      </w:r>
      <w:r w:rsidRPr="00570DEC">
        <w:rPr>
          <w:color w:val="000000"/>
        </w:rPr>
        <w:t>ональных обследований, типовая система управленческой информации в обл</w:t>
      </w:r>
      <w:r w:rsidRPr="00570DEC">
        <w:rPr>
          <w:color w:val="000000"/>
        </w:rPr>
        <w:t>а</w:t>
      </w:r>
      <w:r w:rsidRPr="00570DEC">
        <w:rPr>
          <w:color w:val="000000"/>
        </w:rPr>
        <w:t>сти здравоохранения может быть источником данных о новых пользователях услуг планирования семьи с разбивкой по районам, что может быть использ</w:t>
      </w:r>
      <w:r w:rsidRPr="00570DEC">
        <w:rPr>
          <w:color w:val="000000"/>
        </w:rPr>
        <w:t>о</w:t>
      </w:r>
      <w:r w:rsidRPr="00570DEC">
        <w:rPr>
          <w:color w:val="000000"/>
        </w:rPr>
        <w:t>вано в качестве косвенного показателя. По данным статистики, прирост чи</w:t>
      </w:r>
      <w:r w:rsidRPr="00570DEC">
        <w:rPr>
          <w:color w:val="000000"/>
        </w:rPr>
        <w:t>с</w:t>
      </w:r>
      <w:r w:rsidRPr="00570DEC">
        <w:rPr>
          <w:color w:val="000000"/>
        </w:rPr>
        <w:t xml:space="preserve">ленности новых пользователей этих услуг медицинских учреждений снизился с 3,8 процента в 2009 году до 3,3 процента в 2010 году. </w:t>
      </w:r>
    </w:p>
    <w:p w:rsidR="00AD593A" w:rsidRPr="00570DEC" w:rsidRDefault="00AD593A" w:rsidP="00AD593A">
      <w:pPr>
        <w:pStyle w:val="SingleTxt"/>
        <w:rPr>
          <w:color w:val="000000"/>
        </w:rPr>
      </w:pPr>
      <w:r w:rsidRPr="00570DEC">
        <w:rPr>
          <w:color w:val="000000"/>
        </w:rPr>
        <w:t>120.</w:t>
      </w:r>
      <w:r w:rsidRPr="00570DEC">
        <w:rPr>
          <w:color w:val="000000"/>
        </w:rPr>
        <w:tab/>
        <w:t>Государство-участник приняло ряд следующих мер, направленных на п</w:t>
      </w:r>
      <w:r w:rsidRPr="00570DEC">
        <w:rPr>
          <w:color w:val="000000"/>
        </w:rPr>
        <w:t>о</w:t>
      </w:r>
      <w:r w:rsidRPr="00570DEC">
        <w:rPr>
          <w:color w:val="000000"/>
        </w:rPr>
        <w:t>вышение уровня знаний и доступа к средствам контрацепции среди населения Занзибара: i) расширились масштабы предоставления услуг планирования с</w:t>
      </w:r>
      <w:r w:rsidRPr="00570DEC">
        <w:rPr>
          <w:color w:val="000000"/>
        </w:rPr>
        <w:t>е</w:t>
      </w:r>
      <w:r w:rsidRPr="00570DEC">
        <w:rPr>
          <w:color w:val="000000"/>
        </w:rPr>
        <w:t>мьи как в сельских, так и в городских районах, где эти услуги предоставляет большинство медицинских учреждений; ii) были закуплены и распространены на всех уровнях системы здравоохранения средства контрацепции, что позв</w:t>
      </w:r>
      <w:r w:rsidRPr="00570DEC">
        <w:rPr>
          <w:color w:val="000000"/>
        </w:rPr>
        <w:t>о</w:t>
      </w:r>
      <w:r w:rsidRPr="00570DEC">
        <w:rPr>
          <w:color w:val="000000"/>
        </w:rPr>
        <w:t>лило повысить их доступность; iii) на всех островах были проведены инфо</w:t>
      </w:r>
      <w:r w:rsidRPr="00570DEC">
        <w:rPr>
          <w:color w:val="000000"/>
        </w:rPr>
        <w:t>р</w:t>
      </w:r>
      <w:r w:rsidRPr="00570DEC">
        <w:rPr>
          <w:color w:val="000000"/>
        </w:rPr>
        <w:t>мационно-разъяснительные встречи с участием влиятельных лиц и религио</w:t>
      </w:r>
      <w:r w:rsidRPr="00570DEC">
        <w:rPr>
          <w:color w:val="000000"/>
        </w:rPr>
        <w:t>з</w:t>
      </w:r>
      <w:r w:rsidRPr="00570DEC">
        <w:rPr>
          <w:color w:val="000000"/>
        </w:rPr>
        <w:t xml:space="preserve">ных деятелей, посвященные вопросам репродуктивного здоровья, в том числе планирования семьи. </w:t>
      </w:r>
    </w:p>
    <w:p w:rsidR="00AD593A" w:rsidRPr="00570DEC" w:rsidRDefault="00AD593A" w:rsidP="00AD593A">
      <w:pPr>
        <w:pStyle w:val="SingleTxt"/>
        <w:rPr>
          <w:color w:val="000000"/>
        </w:rPr>
      </w:pPr>
      <w:r w:rsidRPr="00570DEC">
        <w:rPr>
          <w:color w:val="000000"/>
        </w:rPr>
        <w:t>121.</w:t>
      </w:r>
      <w:r w:rsidRPr="00570DEC">
        <w:rPr>
          <w:color w:val="000000"/>
        </w:rPr>
        <w:tab/>
        <w:t>На материковой части Танзании соответствующее министерство приняло ряд мер по расширению предоставления услуг планирования семьи как в сел</w:t>
      </w:r>
      <w:r w:rsidRPr="00570DEC">
        <w:rPr>
          <w:color w:val="000000"/>
        </w:rPr>
        <w:t>ь</w:t>
      </w:r>
      <w:r w:rsidRPr="00570DEC">
        <w:rPr>
          <w:color w:val="000000"/>
        </w:rPr>
        <w:t>ских, так и в городских районах, где эти услуги предоставляет большинство медицинских учреждений. Также были закуплены и широко распространены на всех уровнях системы здравоохранения средства контрацепции, что позв</w:t>
      </w:r>
      <w:r w:rsidRPr="00570DEC">
        <w:rPr>
          <w:color w:val="000000"/>
        </w:rPr>
        <w:t>о</w:t>
      </w:r>
      <w:r w:rsidRPr="00570DEC">
        <w:rPr>
          <w:color w:val="000000"/>
        </w:rPr>
        <w:t>лило повысить доступность этих средств и товаров для мужчин и женщин. Государство-участник также организует информационно-разъяснительные встречи с участием влиятельных лиц и религиозных деятелей, посвященные вопросам репродуктивного здоровья, в том числе планирования семьи. Теперь в государстве-участнике как женщины, так и мужчины, вне зависимости от их семейного положения и сексуального опыта, знают как минимум один способ контрацепции. Тем не менее мужчины несколько чаще, чем женщины, демо</w:t>
      </w:r>
      <w:r w:rsidRPr="00570DEC">
        <w:rPr>
          <w:color w:val="000000"/>
        </w:rPr>
        <w:t>н</w:t>
      </w:r>
      <w:r w:rsidRPr="00570DEC">
        <w:rPr>
          <w:color w:val="000000"/>
        </w:rPr>
        <w:t>стрируют знание современных (соответственно 99 процентов и 98 процентов) и традиционных (соответственно 68 процентов и 67 процентов) методов ко</w:t>
      </w:r>
      <w:r w:rsidRPr="00570DEC">
        <w:rPr>
          <w:color w:val="000000"/>
        </w:rPr>
        <w:t>н</w:t>
      </w:r>
      <w:r w:rsidRPr="00570DEC">
        <w:rPr>
          <w:color w:val="000000"/>
        </w:rPr>
        <w:t>трацепции</w:t>
      </w:r>
      <w:r w:rsidR="00C47801">
        <w:rPr>
          <w:rStyle w:val="FootnoteReference"/>
          <w:color w:val="000000"/>
        </w:rPr>
        <w:footnoteReference w:id="94"/>
      </w:r>
      <w:r w:rsidRPr="00570DEC">
        <w:rPr>
          <w:color w:val="000000"/>
        </w:rPr>
        <w:t>.</w:t>
      </w:r>
    </w:p>
    <w:p w:rsidR="00AD593A" w:rsidRPr="00570DEC" w:rsidRDefault="00AD593A" w:rsidP="00AD593A">
      <w:pPr>
        <w:pStyle w:val="SingleTxt"/>
        <w:rPr>
          <w:color w:val="000000"/>
        </w:rPr>
      </w:pPr>
      <w:r w:rsidRPr="00570DEC">
        <w:rPr>
          <w:color w:val="000000"/>
        </w:rPr>
        <w:t>122.</w:t>
      </w:r>
      <w:r w:rsidRPr="00570DEC">
        <w:rPr>
          <w:color w:val="000000"/>
        </w:rPr>
        <w:tab/>
        <w:t>Существуют различия в использовании средств контрацепции среди д</w:t>
      </w:r>
      <w:r w:rsidRPr="00570DEC">
        <w:rPr>
          <w:color w:val="000000"/>
        </w:rPr>
        <w:t>е</w:t>
      </w:r>
      <w:r w:rsidRPr="00570DEC">
        <w:rPr>
          <w:color w:val="000000"/>
        </w:rPr>
        <w:t>вушек, проживающих в сельских и городских районах; при этом последние чаще прибегают к использованию таких средств. Кроме того, только 12 процентов замужних девушек в возрасте от 15 до 19 лет используют совр</w:t>
      </w:r>
      <w:r w:rsidRPr="00570DEC">
        <w:rPr>
          <w:color w:val="000000"/>
        </w:rPr>
        <w:t>е</w:t>
      </w:r>
      <w:r w:rsidRPr="00570DEC">
        <w:rPr>
          <w:color w:val="000000"/>
        </w:rPr>
        <w:t>менные методы контрацепции, тогда как среди замужних женщин в возрасте от 20 до 24 лет этот показатель составляет 24 процента, что свидетельствует об уязвимости малолетних невест.</w:t>
      </w:r>
    </w:p>
    <w:p w:rsidR="00AD593A" w:rsidRDefault="00AD593A" w:rsidP="00AD593A">
      <w:pPr>
        <w:pStyle w:val="SingleTxt"/>
        <w:rPr>
          <w:color w:val="000000"/>
        </w:rPr>
      </w:pPr>
      <w:r w:rsidRPr="00570DEC">
        <w:rPr>
          <w:color w:val="000000"/>
        </w:rPr>
        <w:t>123.</w:t>
      </w:r>
      <w:r w:rsidRPr="00570DEC">
        <w:rPr>
          <w:color w:val="000000"/>
        </w:rPr>
        <w:tab/>
        <w:t>Следует отметить, что женщины знают в среднем 8,1 метода контраце</w:t>
      </w:r>
      <w:r w:rsidRPr="00570DEC">
        <w:rPr>
          <w:color w:val="000000"/>
        </w:rPr>
        <w:t>п</w:t>
      </w:r>
      <w:r w:rsidRPr="00570DEC">
        <w:rPr>
          <w:color w:val="000000"/>
        </w:rPr>
        <w:t>ции, тогда как мужчины</w:t>
      </w:r>
      <w:r w:rsidR="00C47801">
        <w:rPr>
          <w:color w:val="000000"/>
        </w:rPr>
        <w:t xml:space="preserve"> — </w:t>
      </w:r>
      <w:r w:rsidRPr="00570DEC">
        <w:rPr>
          <w:color w:val="000000"/>
        </w:rPr>
        <w:t>только 7,2 метода. Согласно данным МДОТ 2010 года, в настоящее время состоящие в браке женщины и мужчины "с большей вероятностью осведомлены о методах планирования семьи, чем сексуально а</w:t>
      </w:r>
      <w:r w:rsidRPr="00570DEC">
        <w:rPr>
          <w:color w:val="000000"/>
        </w:rPr>
        <w:t>к</w:t>
      </w:r>
      <w:r w:rsidRPr="00570DEC">
        <w:rPr>
          <w:color w:val="000000"/>
        </w:rPr>
        <w:t>тивные мужчины и женщины, не состоящие в официальных отношениях"</w:t>
      </w:r>
      <w:r w:rsidR="00C47801">
        <w:rPr>
          <w:rStyle w:val="FootnoteReference"/>
          <w:color w:val="000000"/>
        </w:rPr>
        <w:footnoteReference w:id="95"/>
      </w:r>
      <w:r w:rsidRPr="00570DEC">
        <w:rPr>
          <w:color w:val="000000"/>
        </w:rPr>
        <w:t>. Также отмечается, что современные методы контрацепции распространены больше, чем традиционные методы; так, девять женщин из каждых десяти опрошенных слышали о противозачаточных таблетках, инъекциях и мужских презервативах. Таким образом, диафрагма и пена/гель являются наименее и</w:t>
      </w:r>
      <w:r w:rsidRPr="00570DEC">
        <w:rPr>
          <w:color w:val="000000"/>
        </w:rPr>
        <w:t>з</w:t>
      </w:r>
      <w:r w:rsidRPr="00570DEC">
        <w:rPr>
          <w:color w:val="000000"/>
        </w:rPr>
        <w:t>вестными женщинам современными методами контрацепции. Наиболее и</w:t>
      </w:r>
      <w:r w:rsidRPr="00570DEC">
        <w:rPr>
          <w:color w:val="000000"/>
        </w:rPr>
        <w:t>з</w:t>
      </w:r>
      <w:r w:rsidRPr="00570DEC">
        <w:rPr>
          <w:color w:val="000000"/>
        </w:rPr>
        <w:t>вестными средствами контрацепции среди мужчин являются мужской презе</w:t>
      </w:r>
      <w:r w:rsidRPr="00570DEC">
        <w:rPr>
          <w:color w:val="000000"/>
        </w:rPr>
        <w:t>р</w:t>
      </w:r>
      <w:r w:rsidRPr="00570DEC">
        <w:rPr>
          <w:color w:val="000000"/>
        </w:rPr>
        <w:t>ватив и против</w:t>
      </w:r>
      <w:r w:rsidRPr="00570DEC">
        <w:rPr>
          <w:color w:val="000000"/>
        </w:rPr>
        <w:t>о</w:t>
      </w:r>
      <w:r w:rsidRPr="00570DEC">
        <w:rPr>
          <w:color w:val="000000"/>
        </w:rPr>
        <w:t>зачаточные таблетки</w:t>
      </w:r>
      <w:r w:rsidR="00C47801">
        <w:rPr>
          <w:rStyle w:val="FootnoteReference"/>
          <w:color w:val="000000"/>
        </w:rPr>
        <w:footnoteReference w:id="96"/>
      </w:r>
      <w:r w:rsidRPr="00570DEC">
        <w:rPr>
          <w:color w:val="000000"/>
        </w:rPr>
        <w:t>.</w:t>
      </w:r>
    </w:p>
    <w:p w:rsidR="00C47801" w:rsidRPr="00C47801" w:rsidRDefault="00C47801" w:rsidP="00C47801">
      <w:pPr>
        <w:pStyle w:val="SingleTxt"/>
        <w:spacing w:after="0" w:line="120" w:lineRule="exact"/>
        <w:rPr>
          <w:color w:val="000000"/>
          <w:sz w:val="10"/>
        </w:rPr>
      </w:pPr>
    </w:p>
    <w:p w:rsidR="00AD593A" w:rsidRPr="00570DEC" w:rsidRDefault="00AD593A" w:rsidP="00C478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0" w:name="_Toc401576673"/>
      <w:r w:rsidRPr="00570DEC">
        <w:tab/>
      </w:r>
      <w:bookmarkStart w:id="41" w:name="_Toc417398645"/>
      <w:r w:rsidRPr="00570DEC">
        <w:t>1.2.3</w:t>
      </w:r>
      <w:r w:rsidRPr="00570DEC">
        <w:tab/>
        <w:t>ВИЧ/</w:t>
      </w:r>
      <w:bookmarkEnd w:id="40"/>
      <w:r w:rsidRPr="00570DEC">
        <w:t>СПИД</w:t>
      </w:r>
      <w:bookmarkEnd w:id="41"/>
    </w:p>
    <w:p w:rsidR="00C47801" w:rsidRPr="00C47801" w:rsidRDefault="00C47801" w:rsidP="00C47801">
      <w:pPr>
        <w:pStyle w:val="SingleTxt"/>
        <w:spacing w:after="0" w:line="120" w:lineRule="exact"/>
        <w:rPr>
          <w:bCs/>
          <w:color w:val="000000"/>
          <w:sz w:val="10"/>
        </w:rPr>
      </w:pPr>
    </w:p>
    <w:p w:rsidR="00AD593A" w:rsidRPr="00570DEC" w:rsidRDefault="00AD593A" w:rsidP="00AD593A">
      <w:pPr>
        <w:pStyle w:val="SingleTxt"/>
        <w:rPr>
          <w:color w:val="000000"/>
        </w:rPr>
      </w:pPr>
      <w:r w:rsidRPr="00570DEC">
        <w:rPr>
          <w:bCs/>
          <w:color w:val="000000"/>
        </w:rPr>
        <w:t>124.</w:t>
      </w:r>
      <w:r w:rsidRPr="00570DEC">
        <w:rPr>
          <w:bCs/>
          <w:color w:val="000000"/>
        </w:rPr>
        <w:tab/>
        <w:t xml:space="preserve">В соответствии с рекомендацией Комитета государство-участник </w:t>
      </w:r>
      <w:r w:rsidRPr="00570DEC">
        <w:rPr>
          <w:color w:val="000000"/>
        </w:rPr>
        <w:t>продо</w:t>
      </w:r>
      <w:r w:rsidRPr="00570DEC">
        <w:rPr>
          <w:color w:val="000000"/>
        </w:rPr>
        <w:t>л</w:t>
      </w:r>
      <w:r w:rsidRPr="00570DEC">
        <w:rPr>
          <w:color w:val="000000"/>
        </w:rPr>
        <w:t>жало и поддерживало усилия по преодолению воздействия ВИЧ/СПИДа на женщин и девочек, а также его социальных и семейных последствий, как оп</w:t>
      </w:r>
      <w:r w:rsidRPr="00570DEC">
        <w:rPr>
          <w:color w:val="000000"/>
        </w:rPr>
        <w:t>и</w:t>
      </w:r>
      <w:r w:rsidRPr="00570DEC">
        <w:rPr>
          <w:color w:val="000000"/>
        </w:rPr>
        <w:t>сано ниже. В</w:t>
      </w:r>
      <w:r>
        <w:rPr>
          <w:color w:val="000000"/>
          <w:lang w:val="en-US"/>
        </w:rPr>
        <w:t> </w:t>
      </w:r>
      <w:r w:rsidRPr="00570DEC">
        <w:rPr>
          <w:color w:val="000000"/>
        </w:rPr>
        <w:t>целях определения степени распространенности и воздействия ВИЧ/СПИДа в течение отчетного периода государство-участник провело ряд обследований, наиболее важными из которых являются Обследование показ</w:t>
      </w:r>
      <w:r w:rsidRPr="00570DEC">
        <w:rPr>
          <w:color w:val="000000"/>
        </w:rPr>
        <w:t>а</w:t>
      </w:r>
      <w:r w:rsidRPr="00570DEC">
        <w:rPr>
          <w:color w:val="000000"/>
        </w:rPr>
        <w:t>телей заболеваемости ВИЧ и малярией в Танзании (ОПЗВМТ) 2011–2012 г</w:t>
      </w:r>
      <w:r w:rsidRPr="00570DEC">
        <w:rPr>
          <w:color w:val="000000"/>
        </w:rPr>
        <w:t>о</w:t>
      </w:r>
      <w:r w:rsidRPr="00570DEC">
        <w:rPr>
          <w:color w:val="000000"/>
        </w:rPr>
        <w:t>дов</w:t>
      </w:r>
      <w:r w:rsidR="00C47801">
        <w:rPr>
          <w:rStyle w:val="FootnoteReference"/>
          <w:color w:val="000000"/>
        </w:rPr>
        <w:footnoteReference w:id="97"/>
      </w:r>
      <w:r w:rsidRPr="00570DEC">
        <w:rPr>
          <w:color w:val="000000"/>
        </w:rPr>
        <w:t xml:space="preserve"> и МДОТ 2010 года.</w:t>
      </w:r>
    </w:p>
    <w:p w:rsidR="00AD593A" w:rsidRPr="00570DEC" w:rsidRDefault="00AD593A" w:rsidP="00AD593A">
      <w:pPr>
        <w:pStyle w:val="SingleTxt"/>
        <w:rPr>
          <w:color w:val="000000"/>
        </w:rPr>
      </w:pPr>
      <w:r w:rsidRPr="00570DEC">
        <w:rPr>
          <w:color w:val="000000"/>
        </w:rPr>
        <w:t>125.</w:t>
      </w:r>
      <w:r w:rsidRPr="00570DEC">
        <w:rPr>
          <w:color w:val="000000"/>
        </w:rPr>
        <w:tab/>
        <w:t>Согласно ОПЗВМТ 2011–2012 годов, основным путем передачи ВИЧ в Танзании является гетеросексуальный контакт, "на долю которого приходится более 90 процентов вновь выявленных случаев заболевания СПИДом"</w:t>
      </w:r>
      <w:r w:rsidR="00C47801">
        <w:rPr>
          <w:rStyle w:val="FootnoteReference"/>
          <w:color w:val="000000"/>
        </w:rPr>
        <w:footnoteReference w:id="98"/>
      </w:r>
      <w:r w:rsidRPr="00570DEC">
        <w:rPr>
          <w:color w:val="000000"/>
        </w:rPr>
        <w:t>. Сл</w:t>
      </w:r>
      <w:r w:rsidRPr="00570DEC">
        <w:rPr>
          <w:color w:val="000000"/>
        </w:rPr>
        <w:t>е</w:t>
      </w:r>
      <w:r w:rsidRPr="00570DEC">
        <w:rPr>
          <w:color w:val="000000"/>
        </w:rPr>
        <w:t>дующим по значимости является передача инфекции от матери ребенку (ПИМР), при этом мать передает вирус ребенку во время беременности, родов или грудного вскармливания. Другими путями передачи ВИЧ является инф</w:t>
      </w:r>
      <w:r w:rsidRPr="00570DEC">
        <w:rPr>
          <w:color w:val="000000"/>
        </w:rPr>
        <w:t>и</w:t>
      </w:r>
      <w:r w:rsidRPr="00570DEC">
        <w:rPr>
          <w:color w:val="000000"/>
        </w:rPr>
        <w:t>цирование через зараженную кровь, препараты крови, донорские органы или костные трансплантаты и ткани и небезопасные инъекции. ОПЗВМТ 2011–2012 годов показывает, что "осведомленность о СПИДе является практически всеобщей: о нем слышали почти 100 процентов респондентов"</w:t>
      </w:r>
      <w:r w:rsidR="00C47801">
        <w:rPr>
          <w:rStyle w:val="FootnoteReference"/>
          <w:color w:val="000000"/>
        </w:rPr>
        <w:footnoteReference w:id="99"/>
      </w:r>
      <w:r w:rsidRPr="00570DEC">
        <w:rPr>
          <w:color w:val="000000"/>
        </w:rPr>
        <w:t>.</w:t>
      </w:r>
    </w:p>
    <w:p w:rsidR="00AD593A" w:rsidRPr="00570DEC" w:rsidRDefault="00AD593A" w:rsidP="00AD593A">
      <w:pPr>
        <w:pStyle w:val="SingleTxt"/>
        <w:rPr>
          <w:color w:val="000000"/>
        </w:rPr>
      </w:pPr>
      <w:r w:rsidRPr="00570DEC">
        <w:rPr>
          <w:bCs/>
          <w:color w:val="000000"/>
        </w:rPr>
        <w:t>126.</w:t>
      </w:r>
      <w:r w:rsidRPr="00570DEC">
        <w:rPr>
          <w:bCs/>
          <w:color w:val="000000"/>
        </w:rPr>
        <w:tab/>
        <w:t>В целях предотвращения распространения ВИЧ/СПИДа и борьбы с ним на своей территории государство-участник приняло меры и программы, и</w:t>
      </w:r>
      <w:r w:rsidRPr="00570DEC">
        <w:rPr>
          <w:bCs/>
          <w:color w:val="000000"/>
        </w:rPr>
        <w:t>н</w:t>
      </w:r>
      <w:r w:rsidRPr="00570DEC">
        <w:rPr>
          <w:bCs/>
          <w:color w:val="000000"/>
        </w:rPr>
        <w:t xml:space="preserve">формационная составляющая и усилия которых сосредоточены </w:t>
      </w:r>
      <w:r w:rsidRPr="00570DEC">
        <w:rPr>
          <w:color w:val="000000"/>
        </w:rPr>
        <w:t>на трех осно</w:t>
      </w:r>
      <w:r w:rsidRPr="00570DEC">
        <w:rPr>
          <w:color w:val="000000"/>
        </w:rPr>
        <w:t>в</w:t>
      </w:r>
      <w:r w:rsidRPr="00570DEC">
        <w:rPr>
          <w:color w:val="000000"/>
        </w:rPr>
        <w:t>ных аспектах поведения: использовании презервативов, ограничении числа сексуальных партнеров (или сохранении верности по отношению к одному партнеру) и более позднем начале половой жизни (воздержании) молодых и никогда не состоявших в браке людей</w:t>
      </w:r>
      <w:r w:rsidR="00C47801">
        <w:rPr>
          <w:rStyle w:val="FootnoteReference"/>
          <w:color w:val="000000"/>
        </w:rPr>
        <w:footnoteReference w:id="100"/>
      </w:r>
      <w:r w:rsidRPr="00570DEC">
        <w:rPr>
          <w:color w:val="000000"/>
        </w:rPr>
        <w:t>. ОПЗВМТ 2011–2012 годов показало, что "знание методов профилактики ВИЧ широко распространено"</w:t>
      </w:r>
      <w:r w:rsidRPr="00C47801">
        <w:rPr>
          <w:rStyle w:val="FootnoteReference"/>
        </w:rPr>
        <w:footnoteReference w:id="101"/>
      </w:r>
      <w:r w:rsidRPr="00C47801">
        <w:rPr>
          <w:rStyle w:val="FootnoteReference"/>
        </w:rPr>
        <w:t xml:space="preserve">: </w:t>
      </w:r>
      <w:r w:rsidRPr="00570DEC">
        <w:rPr>
          <w:color w:val="000000"/>
        </w:rPr>
        <w:t>69 процентов женщин и 77 процентов мужчин указали, что они знают об уменьшении вероятности заражения ВИЧ в случае использования презерват</w:t>
      </w:r>
      <w:r w:rsidRPr="00570DEC">
        <w:rPr>
          <w:color w:val="000000"/>
        </w:rPr>
        <w:t>и</w:t>
      </w:r>
      <w:r w:rsidRPr="00570DEC">
        <w:rPr>
          <w:color w:val="000000"/>
        </w:rPr>
        <w:t>вов. Кроме того, 84 процента женщин и 87 процентов мужчин знают, что вер</w:t>
      </w:r>
      <w:r w:rsidRPr="00570DEC">
        <w:rPr>
          <w:color w:val="000000"/>
        </w:rPr>
        <w:t>о</w:t>
      </w:r>
      <w:r w:rsidRPr="00570DEC">
        <w:rPr>
          <w:color w:val="000000"/>
        </w:rPr>
        <w:t>ятность заражения вирусом СПИДа снижается в случае ограничения половых отношений одним неинфицированным партнером, не имеющим других партн</w:t>
      </w:r>
      <w:r w:rsidRPr="00570DEC">
        <w:rPr>
          <w:color w:val="000000"/>
        </w:rPr>
        <w:t>е</w:t>
      </w:r>
      <w:r w:rsidRPr="00570DEC">
        <w:rPr>
          <w:color w:val="000000"/>
        </w:rPr>
        <w:t>ров. ОПЗВМТ 2011–2012 годов также выявило, что 63 процента женщин и 71 процент мужчин знают, что использование презервативов и ограничение половых отнош</w:t>
      </w:r>
      <w:r w:rsidRPr="00570DEC">
        <w:rPr>
          <w:color w:val="000000"/>
        </w:rPr>
        <w:t>е</w:t>
      </w:r>
      <w:r w:rsidRPr="00570DEC">
        <w:rPr>
          <w:color w:val="000000"/>
        </w:rPr>
        <w:t>ний одним неинфицированным партнером представляют собой способы сн</w:t>
      </w:r>
      <w:r w:rsidRPr="00570DEC">
        <w:rPr>
          <w:color w:val="000000"/>
        </w:rPr>
        <w:t>и</w:t>
      </w:r>
      <w:r w:rsidRPr="00570DEC">
        <w:rPr>
          <w:color w:val="000000"/>
        </w:rPr>
        <w:t>жения риска заражения вирусом СПИДа</w:t>
      </w:r>
      <w:r w:rsidRPr="00C47801">
        <w:rPr>
          <w:rStyle w:val="FootnoteReference"/>
        </w:rPr>
        <w:footnoteReference w:id="102"/>
      </w:r>
      <w:r w:rsidRPr="00C47801">
        <w:rPr>
          <w:rStyle w:val="FootnoteReference"/>
        </w:rPr>
        <w:t>.</w:t>
      </w:r>
    </w:p>
    <w:p w:rsidR="00AD593A" w:rsidRPr="00570DEC" w:rsidRDefault="00AD593A" w:rsidP="00AD593A">
      <w:pPr>
        <w:pStyle w:val="SingleTxt"/>
        <w:rPr>
          <w:color w:val="000000"/>
        </w:rPr>
      </w:pPr>
      <w:r w:rsidRPr="00570DEC">
        <w:rPr>
          <w:bCs/>
          <w:color w:val="000000"/>
        </w:rPr>
        <w:t>127.</w:t>
      </w:r>
      <w:r w:rsidRPr="00570DEC">
        <w:rPr>
          <w:bCs/>
          <w:color w:val="000000"/>
        </w:rPr>
        <w:tab/>
        <w:t xml:space="preserve">Что касается распространенности ВИЧ в зависимости от возраста и пола, то доля ВИЧ-инфицированных среди взрослого населения составляет 5 процентов, и </w:t>
      </w:r>
      <w:r w:rsidRPr="00570DEC">
        <w:rPr>
          <w:color w:val="000000"/>
        </w:rPr>
        <w:t xml:space="preserve">среди </w:t>
      </w:r>
      <w:r w:rsidRPr="00570DEC">
        <w:rPr>
          <w:bCs/>
          <w:color w:val="000000"/>
        </w:rPr>
        <w:t xml:space="preserve">женщин этот показатель выше, чем </w:t>
      </w:r>
      <w:r w:rsidRPr="00570DEC">
        <w:rPr>
          <w:color w:val="000000"/>
        </w:rPr>
        <w:t xml:space="preserve">среди </w:t>
      </w:r>
      <w:r w:rsidRPr="00570DEC">
        <w:rPr>
          <w:bCs/>
          <w:color w:val="000000"/>
        </w:rPr>
        <w:t>мужчин (соо</w:t>
      </w:r>
      <w:r w:rsidRPr="00570DEC">
        <w:rPr>
          <w:bCs/>
          <w:color w:val="000000"/>
        </w:rPr>
        <w:t>т</w:t>
      </w:r>
      <w:r w:rsidRPr="00570DEC">
        <w:rPr>
          <w:bCs/>
          <w:color w:val="000000"/>
        </w:rPr>
        <w:t>ветственно 6 процентов и 4 процента)</w:t>
      </w:r>
      <w:r w:rsidRPr="00570DEC">
        <w:rPr>
          <w:color w:val="000000"/>
        </w:rPr>
        <w:t>. Как среди женщин, так и среди мужчин доля ВИЧ-инфицированных, как правило, увеличивается с возрастом. Доля ВИЧ-инфицированных среди женщин возрастает от 1 процента в возрастной группе от 15 до 19 лет до 10 процентов в возрастной группе от 45 до 49 лет. Доля ВИЧ-инфицированных среди мужчин возрастает от 1 процента в возрас</w:t>
      </w:r>
      <w:r w:rsidRPr="00570DEC">
        <w:rPr>
          <w:color w:val="000000"/>
        </w:rPr>
        <w:t>т</w:t>
      </w:r>
      <w:r w:rsidRPr="00570DEC">
        <w:rPr>
          <w:color w:val="000000"/>
        </w:rPr>
        <w:t>ной группе от 15 до 19 лет до 7 процентов в возрастной группе от 30 до 49 лет. Сравнение оценок распространенности ВИЧ среди мужчин и женщин в каждой возрастной категории показывает, что "показатель распространенности ВИЧ среди женщин выше, чем среди мужчин, в каждой возрастной категории"</w:t>
      </w:r>
      <w:r w:rsidRPr="00C47801">
        <w:rPr>
          <w:rStyle w:val="FootnoteReference"/>
        </w:rPr>
        <w:footnoteReference w:id="103"/>
      </w:r>
      <w:r w:rsidRPr="00C47801">
        <w:rPr>
          <w:rStyle w:val="FootnoteReference"/>
        </w:rPr>
        <w:t xml:space="preserve">. </w:t>
      </w:r>
      <w:r w:rsidRPr="00570DEC">
        <w:rPr>
          <w:color w:val="000000"/>
        </w:rPr>
        <w:t>Оценка распространенности ВИЧ среди населения в возрасте от 15 до 19 лет, "как предполагается, представляет собой новые случаи инфицирования и, т</w:t>
      </w:r>
      <w:r w:rsidRPr="00570DEC">
        <w:rPr>
          <w:color w:val="000000"/>
        </w:rPr>
        <w:t>а</w:t>
      </w:r>
      <w:r w:rsidRPr="00570DEC">
        <w:rPr>
          <w:color w:val="000000"/>
        </w:rPr>
        <w:t>ким образом, служит косвенным показателем заболеваемости ВИЧ среди м</w:t>
      </w:r>
      <w:r w:rsidRPr="00570DEC">
        <w:rPr>
          <w:color w:val="000000"/>
        </w:rPr>
        <w:t>о</w:t>
      </w:r>
      <w:r w:rsidRPr="00570DEC">
        <w:rPr>
          <w:color w:val="000000"/>
        </w:rPr>
        <w:t>лодежи"</w:t>
      </w:r>
      <w:r w:rsidRPr="00C47801">
        <w:rPr>
          <w:rStyle w:val="FootnoteReference"/>
        </w:rPr>
        <w:footnoteReference w:id="104"/>
      </w:r>
      <w:r w:rsidRPr="00C47801">
        <w:rPr>
          <w:rStyle w:val="FootnoteReference"/>
        </w:rPr>
        <w:t>.</w:t>
      </w:r>
    </w:p>
    <w:p w:rsidR="00AD593A" w:rsidRPr="00570DEC" w:rsidRDefault="00AD593A" w:rsidP="00AD593A">
      <w:pPr>
        <w:pStyle w:val="SingleTxt"/>
        <w:rPr>
          <w:color w:val="000000"/>
        </w:rPr>
      </w:pPr>
      <w:r w:rsidRPr="00570DEC">
        <w:rPr>
          <w:color w:val="000000"/>
        </w:rPr>
        <w:t>128.</w:t>
      </w:r>
      <w:r w:rsidRPr="00570DEC">
        <w:rPr>
          <w:color w:val="000000"/>
        </w:rPr>
        <w:tab/>
        <w:t>Анализируя тенденции распространенности ВИЧ в государстве-участнике, авторы ОПЗВМТ 2011–2012 годов отмечают, что сравнение распр</w:t>
      </w:r>
      <w:r w:rsidRPr="00570DEC">
        <w:rPr>
          <w:color w:val="000000"/>
        </w:rPr>
        <w:t>о</w:t>
      </w:r>
      <w:r w:rsidRPr="00570DEC">
        <w:rPr>
          <w:color w:val="000000"/>
        </w:rPr>
        <w:t>страненности ВИЧ, по данным ОПЗВМТ 2007–2008 годов и ОПЗВМТ 2011–2012 годов, "показывает, что распространенность ВИЧ среди взрослого нас</w:t>
      </w:r>
      <w:r w:rsidRPr="00570DEC">
        <w:rPr>
          <w:color w:val="000000"/>
        </w:rPr>
        <w:t>е</w:t>
      </w:r>
      <w:r w:rsidRPr="00570DEC">
        <w:rPr>
          <w:color w:val="000000"/>
        </w:rPr>
        <w:t>ления в возрасте от 15 до 49 лет незначительно снизилась с 6 до 5 процентов"</w:t>
      </w:r>
      <w:r w:rsidRPr="00C47801">
        <w:rPr>
          <w:rStyle w:val="FootnoteReference"/>
        </w:rPr>
        <w:footnoteReference w:id="105"/>
      </w:r>
      <w:r w:rsidRPr="00C47801">
        <w:rPr>
          <w:rStyle w:val="FootnoteReference"/>
        </w:rPr>
        <w:t xml:space="preserve">. </w:t>
      </w:r>
      <w:r w:rsidRPr="00570DEC">
        <w:rPr>
          <w:color w:val="000000"/>
        </w:rPr>
        <w:t>Кроме того, распространенность ВИЧ "незначительно сниз</w:t>
      </w:r>
      <w:r w:rsidRPr="00570DEC">
        <w:rPr>
          <w:color w:val="000000"/>
        </w:rPr>
        <w:t>и</w:t>
      </w:r>
      <w:r w:rsidRPr="00570DEC">
        <w:rPr>
          <w:color w:val="000000"/>
        </w:rPr>
        <w:t>лась: среди женщин с 7 до 6</w:t>
      </w:r>
      <w:r>
        <w:rPr>
          <w:color w:val="000000"/>
          <w:lang w:val="en-US"/>
        </w:rPr>
        <w:t> </w:t>
      </w:r>
      <w:r w:rsidRPr="00570DEC">
        <w:rPr>
          <w:color w:val="000000"/>
        </w:rPr>
        <w:t>процентов, а среди мужчин</w:t>
      </w:r>
      <w:r w:rsidR="00C47801">
        <w:rPr>
          <w:color w:val="000000"/>
        </w:rPr>
        <w:t xml:space="preserve"> — </w:t>
      </w:r>
      <w:r w:rsidRPr="00570DEC">
        <w:rPr>
          <w:color w:val="000000"/>
        </w:rPr>
        <w:t>с 5 до 4 процентов"</w:t>
      </w:r>
      <w:r w:rsidRPr="00C47801">
        <w:rPr>
          <w:rStyle w:val="FootnoteReference"/>
        </w:rPr>
        <w:footnoteReference w:id="106"/>
      </w:r>
      <w:r w:rsidRPr="00C47801">
        <w:rPr>
          <w:rStyle w:val="FootnoteReference"/>
        </w:rPr>
        <w:t xml:space="preserve">. </w:t>
      </w:r>
      <w:r w:rsidRPr="00570DEC">
        <w:rPr>
          <w:color w:val="000000"/>
        </w:rPr>
        <w:t>Согласно ОПЗВМТ 2011–2012 годов, сравнение оценок ра</w:t>
      </w:r>
      <w:r w:rsidRPr="00570DEC">
        <w:rPr>
          <w:color w:val="000000"/>
        </w:rPr>
        <w:t>с</w:t>
      </w:r>
      <w:r w:rsidRPr="00570DEC">
        <w:rPr>
          <w:color w:val="000000"/>
        </w:rPr>
        <w:t>пространенности ВИЧ, по данным ОПЗВТ 2003–2004 годов</w:t>
      </w:r>
      <w:r w:rsidRPr="00C47801">
        <w:rPr>
          <w:rStyle w:val="FootnoteReference"/>
        </w:rPr>
        <w:footnoteReference w:id="107"/>
      </w:r>
      <w:r w:rsidRPr="00C47801">
        <w:rPr>
          <w:rStyle w:val="FootnoteReference"/>
        </w:rPr>
        <w:t xml:space="preserve">, </w:t>
      </w:r>
      <w:r w:rsidRPr="00570DEC">
        <w:rPr>
          <w:color w:val="000000"/>
        </w:rPr>
        <w:t>ОПЗВМТ 2007–2008 годов и ОПЗВМТ 2011–2012 годов, на материковой части Танзании пок</w:t>
      </w:r>
      <w:r w:rsidRPr="00570DEC">
        <w:rPr>
          <w:color w:val="000000"/>
        </w:rPr>
        <w:t>а</w:t>
      </w:r>
      <w:r w:rsidRPr="00570DEC">
        <w:rPr>
          <w:color w:val="000000"/>
        </w:rPr>
        <w:t>зывает, что распространенность ВИЧ среди взрослого населения в возрасте от 15 до 49 лет на материковой части снизилась с 7 процентов (2003–2004 годы) до 6 процентов (2007–2008 годы) и до 5 процентов (2011–2012 годы). Согласно данным, полученным в ходе этих трех обследований, распространенность ВИЧ среди женщин на материковой части Танзании снизилась с 8 до 7 процентов и затем до 6 процентов, а среди мужчин</w:t>
      </w:r>
      <w:r w:rsidR="00C47801">
        <w:rPr>
          <w:color w:val="000000"/>
        </w:rPr>
        <w:t xml:space="preserve"> — </w:t>
      </w:r>
      <w:r w:rsidRPr="00570DEC">
        <w:rPr>
          <w:color w:val="000000"/>
        </w:rPr>
        <w:t>с 6 до 5 процентов и далее до 4 процентов</w:t>
      </w:r>
      <w:r w:rsidRPr="00C47801">
        <w:rPr>
          <w:rStyle w:val="FootnoteReference"/>
        </w:rPr>
        <w:footnoteReference w:id="108"/>
      </w:r>
      <w:r w:rsidRPr="00C47801">
        <w:rPr>
          <w:rStyle w:val="FootnoteReference"/>
        </w:rPr>
        <w:t>.</w:t>
      </w:r>
    </w:p>
    <w:p w:rsidR="00AD593A" w:rsidRPr="00570DEC" w:rsidRDefault="00AD593A" w:rsidP="00AD593A">
      <w:pPr>
        <w:pStyle w:val="SingleTxt"/>
        <w:rPr>
          <w:color w:val="000000"/>
        </w:rPr>
      </w:pPr>
      <w:r w:rsidRPr="00570DEC">
        <w:rPr>
          <w:color w:val="000000"/>
        </w:rPr>
        <w:t>129.</w:t>
      </w:r>
      <w:r w:rsidRPr="00570DEC">
        <w:rPr>
          <w:color w:val="000000"/>
        </w:rPr>
        <w:tab/>
        <w:t>Стремясь продолжать и поддерживать усилия по преодолению возде</w:t>
      </w:r>
      <w:r w:rsidRPr="00570DEC">
        <w:rPr>
          <w:color w:val="000000"/>
        </w:rPr>
        <w:t>й</w:t>
      </w:r>
      <w:r w:rsidRPr="00570DEC">
        <w:rPr>
          <w:color w:val="000000"/>
        </w:rPr>
        <w:t>ствия ВИЧ/СПИДа на женщин и девочек, а также его социальных и семейных последствий, государство-участник сталкивается при этом с рядом проблем</w:t>
      </w:r>
      <w:r w:rsidRPr="00570DEC">
        <w:rPr>
          <w:bCs/>
          <w:color w:val="000000"/>
        </w:rPr>
        <w:t>. Прежде всего, как на материковой части Танзании, так и на Занзибаре, инф</w:t>
      </w:r>
      <w:r w:rsidRPr="00570DEC">
        <w:rPr>
          <w:bCs/>
          <w:color w:val="000000"/>
        </w:rPr>
        <w:t>и</w:t>
      </w:r>
      <w:r w:rsidRPr="00570DEC">
        <w:rPr>
          <w:bCs/>
          <w:color w:val="000000"/>
        </w:rPr>
        <w:t>цированные ВИЧ/СПИДом по-прежнему сталкиваются с дискриминацией и враждебным отношением. Такая стигматизация инфицированных ВИЧ/СПИДом "препятствует их доступу к широкому спектру доступных в настоящее время услуг по профилактике, уходу, лечению и поддержке в связи с их заболеванием ВИЧ"</w:t>
      </w:r>
      <w:r w:rsidRPr="00C47801">
        <w:rPr>
          <w:rStyle w:val="FootnoteReference"/>
        </w:rPr>
        <w:footnoteReference w:id="109"/>
      </w:r>
      <w:r w:rsidRPr="00C47801">
        <w:rPr>
          <w:rStyle w:val="FootnoteReference"/>
        </w:rPr>
        <w:t xml:space="preserve">. </w:t>
      </w:r>
      <w:r w:rsidRPr="00570DEC">
        <w:rPr>
          <w:color w:val="000000"/>
        </w:rPr>
        <w:t>Согласно данным ОПЗВМТ 2011–2012 годов, сти</w:t>
      </w:r>
      <w:r w:rsidRPr="00570DEC">
        <w:rPr>
          <w:color w:val="000000"/>
        </w:rPr>
        <w:t>г</w:t>
      </w:r>
      <w:r w:rsidRPr="00570DEC">
        <w:rPr>
          <w:color w:val="000000"/>
        </w:rPr>
        <w:t xml:space="preserve">матизация и дискриминация </w:t>
      </w:r>
      <w:r w:rsidRPr="00570DEC">
        <w:rPr>
          <w:bCs/>
          <w:color w:val="000000"/>
        </w:rPr>
        <w:t>инфицированных ВИЧ/СПИДом</w:t>
      </w:r>
      <w:r w:rsidRPr="00570DEC">
        <w:rPr>
          <w:color w:val="000000"/>
        </w:rPr>
        <w:t xml:space="preserve"> широко распр</w:t>
      </w:r>
      <w:r w:rsidRPr="00570DEC">
        <w:rPr>
          <w:color w:val="000000"/>
        </w:rPr>
        <w:t>о</w:t>
      </w:r>
      <w:r w:rsidRPr="00570DEC">
        <w:rPr>
          <w:color w:val="000000"/>
        </w:rPr>
        <w:t>странены среди взрослого населения Танзании. Согласно данным ОПЗВМТ 2011–2012 годов, лишь 25 процентов женщин и 40 процентов мужчин выраз</w:t>
      </w:r>
      <w:r w:rsidRPr="00570DEC">
        <w:rPr>
          <w:color w:val="000000"/>
        </w:rPr>
        <w:t>и</w:t>
      </w:r>
      <w:r w:rsidRPr="00570DEC">
        <w:rPr>
          <w:color w:val="000000"/>
        </w:rPr>
        <w:t>ли лояльное отношение ко всем четырем предложениям, обычно используемым в качестве показателей стигматизации; они были бы готовы: 1) ухаживать за больным СПИДом членом семьи в своем доме; 2) покупать свежие продукты у больного СПИДом владельца магазина; 3) позволить больной СПИДом уч</w:t>
      </w:r>
      <w:r w:rsidRPr="00570DEC">
        <w:rPr>
          <w:color w:val="000000"/>
        </w:rPr>
        <w:t>и</w:t>
      </w:r>
      <w:r w:rsidRPr="00570DEC">
        <w:rPr>
          <w:color w:val="000000"/>
        </w:rPr>
        <w:t>тельнице продолжить преподавание; и 4) не держать в секрете факт заражения ВИЧ члена семьи. Вместе с тем опрошенные женщины и мужчины на Занзиб</w:t>
      </w:r>
      <w:r w:rsidRPr="00570DEC">
        <w:rPr>
          <w:color w:val="000000"/>
        </w:rPr>
        <w:t>а</w:t>
      </w:r>
      <w:r w:rsidRPr="00570DEC">
        <w:rPr>
          <w:color w:val="000000"/>
        </w:rPr>
        <w:t>ре проявили меньшую склонность к стигматизации</w:t>
      </w:r>
      <w:r w:rsidRPr="00570DEC">
        <w:rPr>
          <w:bCs/>
          <w:color w:val="000000"/>
        </w:rPr>
        <w:t xml:space="preserve"> инфицированных </w:t>
      </w:r>
      <w:r w:rsidRPr="00570DEC">
        <w:rPr>
          <w:color w:val="000000"/>
        </w:rPr>
        <w:t>ВИЧ/СПИДом по сравнению с жителями материковой части Танзании: на За</w:t>
      </w:r>
      <w:r w:rsidRPr="00570DEC">
        <w:rPr>
          <w:color w:val="000000"/>
        </w:rPr>
        <w:t>н</w:t>
      </w:r>
      <w:r w:rsidRPr="00570DEC">
        <w:rPr>
          <w:color w:val="000000"/>
        </w:rPr>
        <w:t>зибаре лояльное отношение ко всем четырем предложениям, обычно использ</w:t>
      </w:r>
      <w:r w:rsidRPr="00570DEC">
        <w:rPr>
          <w:color w:val="000000"/>
        </w:rPr>
        <w:t>у</w:t>
      </w:r>
      <w:r w:rsidRPr="00570DEC">
        <w:rPr>
          <w:color w:val="000000"/>
        </w:rPr>
        <w:t>емым в качестве показателей стигматизации, выразили 43 процента женщин и 55 процентов мужчин, тогда как на материковой части Танзании – 25 процентов женщин и 40 процентов мужчин. Шесть из каждых десяти же</w:t>
      </w:r>
      <w:r w:rsidRPr="00570DEC">
        <w:rPr>
          <w:color w:val="000000"/>
        </w:rPr>
        <w:t>н</w:t>
      </w:r>
      <w:r w:rsidRPr="00570DEC">
        <w:rPr>
          <w:color w:val="000000"/>
        </w:rPr>
        <w:t>щин и семь из каждых десяти мужчин утверждали, что "женщина права, отк</w:t>
      </w:r>
      <w:r w:rsidRPr="00570DEC">
        <w:rPr>
          <w:color w:val="000000"/>
        </w:rPr>
        <w:t>а</w:t>
      </w:r>
      <w:r w:rsidRPr="00570DEC">
        <w:rPr>
          <w:color w:val="000000"/>
        </w:rPr>
        <w:t>зываясь вступать в половое сношение с мужем, если он занимается сексом не только со своими женами, но и с другими женщинами"</w:t>
      </w:r>
      <w:r w:rsidRPr="00C47801">
        <w:rPr>
          <w:rStyle w:val="FootnoteReference"/>
        </w:rPr>
        <w:footnoteReference w:id="110"/>
      </w:r>
      <w:r w:rsidRPr="00C47801">
        <w:rPr>
          <w:rStyle w:val="FootnoteReference"/>
        </w:rPr>
        <w:t>.</w:t>
      </w:r>
    </w:p>
    <w:p w:rsidR="00AD593A" w:rsidRPr="00570DEC" w:rsidRDefault="00AD593A" w:rsidP="00AD593A">
      <w:pPr>
        <w:pStyle w:val="SingleTxt"/>
        <w:rPr>
          <w:color w:val="000000"/>
        </w:rPr>
      </w:pPr>
      <w:r w:rsidRPr="00570DEC">
        <w:rPr>
          <w:bCs/>
          <w:color w:val="000000"/>
        </w:rPr>
        <w:t>130.</w:t>
      </w:r>
      <w:r w:rsidRPr="00570DEC">
        <w:rPr>
          <w:bCs/>
          <w:color w:val="000000"/>
        </w:rPr>
        <w:tab/>
        <w:t>Другой проблемой является тот факт, что многие люди по-прежнему имеют несколько сексуальных партнеров, что является поведением, сопряже</w:t>
      </w:r>
      <w:r w:rsidRPr="00570DEC">
        <w:rPr>
          <w:bCs/>
          <w:color w:val="000000"/>
        </w:rPr>
        <w:t>н</w:t>
      </w:r>
      <w:r w:rsidRPr="00570DEC">
        <w:rPr>
          <w:bCs/>
          <w:color w:val="000000"/>
        </w:rPr>
        <w:t xml:space="preserve">ным с риском заражения ВИЧ-инфекцией. По данным </w:t>
      </w:r>
      <w:r w:rsidRPr="00570DEC">
        <w:rPr>
          <w:color w:val="000000"/>
        </w:rPr>
        <w:t xml:space="preserve">ОПЗВМТ </w:t>
      </w:r>
      <w:r w:rsidRPr="00570DEC">
        <w:rPr>
          <w:bCs/>
          <w:color w:val="000000"/>
        </w:rPr>
        <w:t>2011–2012 годов, о наличии у них более одного сексуального партнера в какой-либо момент в течение последних 12 месяцев, предшествовавших обследованию, сообщило значительно больше мужчин, чем женщин (соответственно 21 процент и 4 процента)</w:t>
      </w:r>
      <w:r w:rsidRPr="00570DEC">
        <w:rPr>
          <w:color w:val="000000"/>
        </w:rPr>
        <w:t>. Мужчины в возрасте от 20 до 49 лет, когда-либо с</w:t>
      </w:r>
      <w:r w:rsidRPr="00570DEC">
        <w:rPr>
          <w:color w:val="000000"/>
        </w:rPr>
        <w:t>о</w:t>
      </w:r>
      <w:r w:rsidRPr="00570DEC">
        <w:rPr>
          <w:color w:val="000000"/>
        </w:rPr>
        <w:t>стоявшие в браке или не имеющие среднего образования, "с большей вероя</w:t>
      </w:r>
      <w:r w:rsidRPr="00570DEC">
        <w:rPr>
          <w:color w:val="000000"/>
        </w:rPr>
        <w:t>т</w:t>
      </w:r>
      <w:r w:rsidRPr="00570DEC">
        <w:rPr>
          <w:color w:val="000000"/>
        </w:rPr>
        <w:t>ностью, чем их ровесники, имели более одного сексуального партнера в теч</w:t>
      </w:r>
      <w:r w:rsidRPr="00570DEC">
        <w:rPr>
          <w:color w:val="000000"/>
        </w:rPr>
        <w:t>е</w:t>
      </w:r>
      <w:r w:rsidRPr="00570DEC">
        <w:rPr>
          <w:color w:val="000000"/>
        </w:rPr>
        <w:t>ние последних 12 месяцев"</w:t>
      </w:r>
      <w:r w:rsidRPr="00C47801">
        <w:rPr>
          <w:rStyle w:val="FootnoteReference"/>
        </w:rPr>
        <w:footnoteReference w:id="111"/>
      </w:r>
      <w:r w:rsidRPr="00C47801">
        <w:rPr>
          <w:rStyle w:val="FootnoteReference"/>
        </w:rPr>
        <w:t xml:space="preserve">. </w:t>
      </w:r>
      <w:r w:rsidRPr="00570DEC">
        <w:rPr>
          <w:color w:val="000000"/>
        </w:rPr>
        <w:t>Как и следовало ожидать, оказалось, что доля мужчин, имевших более одного сексуального партнера в течение последних 12 месяцев, предшествующих обследованию, была "исключительно высока среди мужчин, состоящих в полигамных браках (83 процента). С разбивкой по месту жительства, мужчины, проживающие в сельских районах (по сравнению с жителями городов), а также жители материковой части (по сравнению с За</w:t>
      </w:r>
      <w:r w:rsidRPr="00570DEC">
        <w:rPr>
          <w:color w:val="000000"/>
        </w:rPr>
        <w:t>н</w:t>
      </w:r>
      <w:r w:rsidRPr="00570DEC">
        <w:rPr>
          <w:color w:val="000000"/>
        </w:rPr>
        <w:t>зибаром) с большей вероятностью имели более одного сексуального партнера, чем мужчины, проживающие в других областях. Вероятность наличия н</w:t>
      </w:r>
      <w:r w:rsidRPr="00570DEC">
        <w:rPr>
          <w:color w:val="000000"/>
        </w:rPr>
        <w:t>е</w:t>
      </w:r>
      <w:r w:rsidRPr="00570DEC">
        <w:rPr>
          <w:color w:val="000000"/>
        </w:rPr>
        <w:t>скольких сексуальных партнеров, как правило, снижается по мере роста благ</w:t>
      </w:r>
      <w:r w:rsidRPr="00570DEC">
        <w:rPr>
          <w:color w:val="000000"/>
        </w:rPr>
        <w:t>о</w:t>
      </w:r>
      <w:r w:rsidRPr="00570DEC">
        <w:rPr>
          <w:color w:val="000000"/>
        </w:rPr>
        <w:t>состояния. У женщин различия по основным характеристикам незначител</w:t>
      </w:r>
      <w:r w:rsidRPr="00570DEC">
        <w:rPr>
          <w:color w:val="000000"/>
        </w:rPr>
        <w:t>ь</w:t>
      </w:r>
      <w:r w:rsidRPr="00570DEC">
        <w:rPr>
          <w:color w:val="000000"/>
        </w:rPr>
        <w:t>ны"</w:t>
      </w:r>
      <w:r w:rsidRPr="00C47801">
        <w:rPr>
          <w:rStyle w:val="FootnoteReference"/>
        </w:rPr>
        <w:footnoteReference w:id="112"/>
      </w:r>
      <w:r w:rsidRPr="00C47801">
        <w:rPr>
          <w:rStyle w:val="FootnoteReference"/>
        </w:rPr>
        <w:t xml:space="preserve">. </w:t>
      </w:r>
      <w:r w:rsidRPr="00570DEC">
        <w:rPr>
          <w:color w:val="000000"/>
        </w:rPr>
        <w:t>В среднем численность женщин, имеющих более одного сексуального партнера, невелика.</w:t>
      </w:r>
    </w:p>
    <w:p w:rsidR="00AD593A" w:rsidRPr="00570DEC" w:rsidRDefault="00AD593A" w:rsidP="00AD593A">
      <w:pPr>
        <w:pStyle w:val="SingleTxt"/>
        <w:rPr>
          <w:color w:val="000000"/>
        </w:rPr>
      </w:pPr>
      <w:r w:rsidRPr="00570DEC">
        <w:rPr>
          <w:color w:val="000000"/>
        </w:rPr>
        <w:t>131.</w:t>
      </w:r>
      <w:r w:rsidRPr="00570DEC">
        <w:rPr>
          <w:color w:val="000000"/>
        </w:rPr>
        <w:tab/>
        <w:t>Еще одним фактором, смягчающим проблему наличия нескольких пол</w:t>
      </w:r>
      <w:r w:rsidRPr="00570DEC">
        <w:rPr>
          <w:color w:val="000000"/>
        </w:rPr>
        <w:t>о</w:t>
      </w:r>
      <w:r w:rsidRPr="00570DEC">
        <w:rPr>
          <w:color w:val="000000"/>
        </w:rPr>
        <w:t xml:space="preserve">вых партнеров, является новая концепция платных сексуальных услуг. По данным ОПЗВМТ </w:t>
      </w:r>
      <w:r w:rsidRPr="00570DEC">
        <w:rPr>
          <w:bCs/>
          <w:color w:val="000000"/>
        </w:rPr>
        <w:t>2011–2012 годов</w:t>
      </w:r>
      <w:r w:rsidRPr="00570DEC">
        <w:rPr>
          <w:color w:val="000000"/>
        </w:rPr>
        <w:t>, акт оплаты сексуальных услуг "ставит стороны, обсуждающие возможность более безопасного полового акта, в н</w:t>
      </w:r>
      <w:r w:rsidRPr="00570DEC">
        <w:rPr>
          <w:color w:val="000000"/>
        </w:rPr>
        <w:t>е</w:t>
      </w:r>
      <w:r w:rsidRPr="00570DEC">
        <w:rPr>
          <w:color w:val="000000"/>
        </w:rPr>
        <w:t>равные условия"</w:t>
      </w:r>
      <w:r w:rsidRPr="00C47801">
        <w:rPr>
          <w:rStyle w:val="FootnoteReference"/>
        </w:rPr>
        <w:footnoteReference w:id="113"/>
      </w:r>
      <w:r w:rsidRPr="00C47801">
        <w:rPr>
          <w:rStyle w:val="FootnoteReference"/>
        </w:rPr>
        <w:t xml:space="preserve">. </w:t>
      </w:r>
      <w:r w:rsidRPr="00570DEC">
        <w:rPr>
          <w:color w:val="000000"/>
        </w:rPr>
        <w:t>На самом деле, использование презерватива "является важным показателем для определения уровня риска, связанного с половым сношением, предполагающим оплату"</w:t>
      </w:r>
      <w:r w:rsidRPr="00C47801">
        <w:rPr>
          <w:rStyle w:val="FootnoteReference"/>
        </w:rPr>
        <w:footnoteReference w:id="114"/>
      </w:r>
      <w:r w:rsidRPr="00C47801">
        <w:rPr>
          <w:rStyle w:val="FootnoteReference"/>
        </w:rPr>
        <w:t xml:space="preserve">. </w:t>
      </w:r>
      <w:r w:rsidRPr="00570DEC">
        <w:rPr>
          <w:color w:val="000000"/>
        </w:rPr>
        <w:t xml:space="preserve">В связи с этим, согласно ОПЗВМТ </w:t>
      </w:r>
      <w:r w:rsidRPr="00570DEC">
        <w:rPr>
          <w:bCs/>
          <w:color w:val="000000"/>
        </w:rPr>
        <w:t>2011–2012 годов, 15 процентов мужчин сообщили, что они когда-либо платили за секс, а 9 процентов воспользовались платными сексуальными услугами как минимум один раз в течение 12 месяцев, предшествующих обследованию.</w:t>
      </w:r>
      <w:r w:rsidRPr="00570DEC">
        <w:rPr>
          <w:color w:val="000000"/>
        </w:rPr>
        <w:t xml:space="preserve"> С большей вероятностью когда-либо пользовались платными сексуальными услугами мужчины в возрасте от 20 до 49 лет (15–18 процентов), мужчины, к</w:t>
      </w:r>
      <w:r w:rsidRPr="00570DEC">
        <w:rPr>
          <w:color w:val="000000"/>
        </w:rPr>
        <w:t>о</w:t>
      </w:r>
      <w:r w:rsidRPr="00570DEC">
        <w:rPr>
          <w:color w:val="000000"/>
        </w:rPr>
        <w:t>гда-либо состоявшие в браке (15–37 процентов), и мужчины, проживающие в сельских районах (15 процентов). Обследование также показало, что оплата сексуальных услуг "обнаружила отрицательную корреляцию с уровнем образ</w:t>
      </w:r>
      <w:r w:rsidRPr="00570DEC">
        <w:rPr>
          <w:color w:val="000000"/>
        </w:rPr>
        <w:t>о</w:t>
      </w:r>
      <w:r w:rsidRPr="00570DEC">
        <w:rPr>
          <w:color w:val="000000"/>
        </w:rPr>
        <w:t>вания и благосостояния"</w:t>
      </w:r>
      <w:r w:rsidRPr="00C47801">
        <w:rPr>
          <w:rStyle w:val="FootnoteReference"/>
        </w:rPr>
        <w:footnoteReference w:id="115"/>
      </w:r>
      <w:r w:rsidRPr="00C47801">
        <w:rPr>
          <w:rStyle w:val="FootnoteReference"/>
        </w:rPr>
        <w:t xml:space="preserve">. </w:t>
      </w:r>
      <w:r w:rsidRPr="00570DEC">
        <w:rPr>
          <w:color w:val="000000"/>
        </w:rPr>
        <w:t>Например, 14 процентов мужчин, не имеющих о</w:t>
      </w:r>
      <w:r w:rsidRPr="00570DEC">
        <w:rPr>
          <w:color w:val="000000"/>
        </w:rPr>
        <w:t>б</w:t>
      </w:r>
      <w:r w:rsidRPr="00570DEC">
        <w:rPr>
          <w:color w:val="000000"/>
        </w:rPr>
        <w:t>разования, и 16 процентов мужчин, относящихся к самому низкому квинтилю достатка, когда-либо оплачивали услуги сексуального характера, тогда как ср</w:t>
      </w:r>
      <w:r w:rsidRPr="00570DEC">
        <w:rPr>
          <w:color w:val="000000"/>
        </w:rPr>
        <w:t>е</w:t>
      </w:r>
      <w:r w:rsidRPr="00570DEC">
        <w:rPr>
          <w:color w:val="000000"/>
        </w:rPr>
        <w:t>ди мужчин со средним образованием этот показатель составил 8 процентов, а среди относящихся к наивысшему квинтилю достатка – 10 процентов. Чаще всего на протяжении последних 12 месяцев, предшествующих обследованию, платными услугами сексуального характера пользовались разведенные, овд</w:t>
      </w:r>
      <w:r w:rsidRPr="00570DEC">
        <w:rPr>
          <w:color w:val="000000"/>
        </w:rPr>
        <w:t>о</w:t>
      </w:r>
      <w:r w:rsidRPr="00570DEC">
        <w:rPr>
          <w:color w:val="000000"/>
        </w:rPr>
        <w:t>вевшие или проживающие отдельно от супруги мужчины (25 процентов). При этом 53 процента мужчин, "пользовавшихся платными услугами сексуального характера на протяжении последних 12 месяцев, предшествующих обследов</w:t>
      </w:r>
      <w:r w:rsidRPr="00570DEC">
        <w:rPr>
          <w:color w:val="000000"/>
        </w:rPr>
        <w:t>а</w:t>
      </w:r>
      <w:r w:rsidRPr="00570DEC">
        <w:rPr>
          <w:color w:val="000000"/>
        </w:rPr>
        <w:t>нию, использовали презерватив во время последнего платного полового сн</w:t>
      </w:r>
      <w:r w:rsidRPr="00570DEC">
        <w:rPr>
          <w:color w:val="000000"/>
        </w:rPr>
        <w:t>о</w:t>
      </w:r>
      <w:r w:rsidRPr="00570DEC">
        <w:rPr>
          <w:color w:val="000000"/>
        </w:rPr>
        <w:t>шения"</w:t>
      </w:r>
      <w:r w:rsidRPr="00C47801">
        <w:rPr>
          <w:rStyle w:val="FootnoteReference"/>
        </w:rPr>
        <w:footnoteReference w:id="116"/>
      </w:r>
      <w:r w:rsidRPr="00C47801">
        <w:rPr>
          <w:rStyle w:val="FootnoteReference"/>
        </w:rPr>
        <w:t>.</w:t>
      </w:r>
    </w:p>
    <w:p w:rsidR="00AD593A" w:rsidRPr="00570DEC" w:rsidRDefault="00AD593A" w:rsidP="00AD593A">
      <w:pPr>
        <w:pStyle w:val="SingleTxt"/>
        <w:rPr>
          <w:color w:val="000000"/>
        </w:rPr>
      </w:pPr>
      <w:r w:rsidRPr="00570DEC">
        <w:rPr>
          <w:color w:val="000000"/>
        </w:rPr>
        <w:t>132.</w:t>
      </w:r>
      <w:r w:rsidRPr="00570DEC">
        <w:rPr>
          <w:color w:val="000000"/>
        </w:rPr>
        <w:tab/>
        <w:t xml:space="preserve">Еще одним фактором, сдерживающим уровень распространенности ВИЧ среди женщин и девочек, является требование сдачи анализа на ВИЧ. В ОПЗВМТ </w:t>
      </w:r>
      <w:r w:rsidRPr="00570DEC">
        <w:rPr>
          <w:bCs/>
          <w:color w:val="000000"/>
        </w:rPr>
        <w:t>2011–2012 годов отмечается, что девять из каждых десяти женщин и мужчин знают, где можно сдать анализ на ВИЧ; в то же время 62 процента женщин и 47 процентов мужчин когда-либо сдавали анализ на ВИЧ и получили его результаты.</w:t>
      </w:r>
      <w:r w:rsidRPr="00570DEC">
        <w:rPr>
          <w:color w:val="000000"/>
        </w:rPr>
        <w:t xml:space="preserve"> Кроме того, 62 процента женщин, родивших в течение двух лет, предшествовавших обследованию, сдавали анализ на ВИЧ, получили р</w:t>
      </w:r>
      <w:r w:rsidRPr="00570DEC">
        <w:rPr>
          <w:color w:val="000000"/>
        </w:rPr>
        <w:t>е</w:t>
      </w:r>
      <w:r w:rsidRPr="00570DEC">
        <w:rPr>
          <w:color w:val="000000"/>
        </w:rPr>
        <w:t>зультаты анализа и связанную с ними консультацию. В то время как 72 процента мужчин сообщили о совершении обрезания (как одной из мер профилактики ВИЧ-инфекции), 82 процента женщин и 7 процентов мужчин, когда-либо вступавших в половые отношения, сообщили, что в течение 12 месяцев, предшествующих обследованию, перенесли какое-либо заболев</w:t>
      </w:r>
      <w:r w:rsidRPr="00570DEC">
        <w:rPr>
          <w:color w:val="000000"/>
        </w:rPr>
        <w:t>а</w:t>
      </w:r>
      <w:r w:rsidRPr="00570DEC">
        <w:rPr>
          <w:color w:val="000000"/>
        </w:rPr>
        <w:t>ние, передающееся половым путем (ЗППП), либо наблюдали у себя патолог</w:t>
      </w:r>
      <w:r w:rsidRPr="00570DEC">
        <w:rPr>
          <w:color w:val="000000"/>
        </w:rPr>
        <w:t>и</w:t>
      </w:r>
      <w:r w:rsidRPr="00570DEC">
        <w:rPr>
          <w:color w:val="000000"/>
        </w:rPr>
        <w:t>ческие выделения или генитальные язвы. Более половины всех обследуемых (50 процентов женщин и 62 процента мужчин) обращались за помощью в связи с ЗППП и/или симптомами ЗППП в клинику, больницу или к медицинскому работнику.</w:t>
      </w:r>
    </w:p>
    <w:p w:rsidR="00AD593A" w:rsidRPr="00570DEC" w:rsidRDefault="00AD593A" w:rsidP="00AD593A">
      <w:pPr>
        <w:pStyle w:val="SingleTxt"/>
        <w:rPr>
          <w:color w:val="000000"/>
        </w:rPr>
      </w:pPr>
      <w:r w:rsidRPr="00570DEC">
        <w:rPr>
          <w:color w:val="000000"/>
        </w:rPr>
        <w:t>133.</w:t>
      </w:r>
      <w:r w:rsidRPr="00570DEC">
        <w:rPr>
          <w:color w:val="000000"/>
        </w:rPr>
        <w:tab/>
        <w:t>В дополнение к описанным выше мероприятиям, направленным на предотвращение и преодоление негативного воздействия ВИЧ/СПИДа для женщин и девочек на равных условиях с мужчинами и мальчиками, госуда</w:t>
      </w:r>
      <w:r w:rsidRPr="00570DEC">
        <w:rPr>
          <w:color w:val="000000"/>
        </w:rPr>
        <w:t>р</w:t>
      </w:r>
      <w:r w:rsidRPr="00570DEC">
        <w:rPr>
          <w:color w:val="000000"/>
        </w:rPr>
        <w:t xml:space="preserve">ство-участник также усилило акцент на расширение прав и возможностей женщин и включило гендерный аспект в свои директивы и программы по ВИЧ/СПИДу. Эти действия были предприняты в контексте СПРСЗ </w:t>
      </w:r>
      <w:r w:rsidRPr="00570DEC">
        <w:rPr>
          <w:color w:val="000000"/>
          <w:lang w:val="en-US"/>
        </w:rPr>
        <w:t>III</w:t>
      </w:r>
      <w:r w:rsidRPr="00570DEC">
        <w:rPr>
          <w:color w:val="000000"/>
        </w:rPr>
        <w:t>, который требует повышения внимания к гендерной проблематике в секторе здравоохр</w:t>
      </w:r>
      <w:r w:rsidRPr="00570DEC">
        <w:rPr>
          <w:color w:val="000000"/>
        </w:rPr>
        <w:t>а</w:t>
      </w:r>
      <w:r w:rsidRPr="00570DEC">
        <w:rPr>
          <w:color w:val="000000"/>
        </w:rPr>
        <w:t>нения</w:t>
      </w:r>
      <w:r w:rsidRPr="00C47801">
        <w:rPr>
          <w:rStyle w:val="FootnoteReference"/>
        </w:rPr>
        <w:footnoteReference w:id="117"/>
      </w:r>
      <w:r w:rsidRPr="00C47801">
        <w:rPr>
          <w:rStyle w:val="FootnoteReference"/>
        </w:rPr>
        <w:t xml:space="preserve">. </w:t>
      </w:r>
      <w:r w:rsidRPr="00570DEC">
        <w:rPr>
          <w:color w:val="000000"/>
        </w:rPr>
        <w:t xml:space="preserve">Согласно СПРСЗ </w:t>
      </w:r>
      <w:r w:rsidRPr="00570DEC">
        <w:rPr>
          <w:color w:val="000000"/>
          <w:lang w:val="en-US"/>
        </w:rPr>
        <w:t>III</w:t>
      </w:r>
      <w:r w:rsidRPr="00570DEC">
        <w:rPr>
          <w:color w:val="000000"/>
        </w:rPr>
        <w:t>, внимание к гендерной проблематике "начинае</w:t>
      </w:r>
      <w:r w:rsidRPr="00570DEC">
        <w:rPr>
          <w:color w:val="000000"/>
        </w:rPr>
        <w:t>т</w:t>
      </w:r>
      <w:r w:rsidRPr="00570DEC">
        <w:rPr>
          <w:color w:val="000000"/>
        </w:rPr>
        <w:t>ся с соблюдения принципа равенства женщин и мужчин при удовлетворении особых потребностей в услугах, имеющихся у каждой из этих групп"</w:t>
      </w:r>
      <w:r w:rsidRPr="00C47801">
        <w:rPr>
          <w:rStyle w:val="FootnoteReference"/>
        </w:rPr>
        <w:footnoteReference w:id="118"/>
      </w:r>
      <w:r w:rsidRPr="00C47801">
        <w:rPr>
          <w:rStyle w:val="FootnoteReference"/>
        </w:rPr>
        <w:t xml:space="preserve">. </w:t>
      </w:r>
      <w:r w:rsidRPr="00570DEC">
        <w:rPr>
          <w:color w:val="000000"/>
        </w:rPr>
        <w:t>С уч</w:t>
      </w:r>
      <w:r w:rsidRPr="00570DEC">
        <w:rPr>
          <w:color w:val="000000"/>
        </w:rPr>
        <w:t>е</w:t>
      </w:r>
      <w:r w:rsidRPr="00570DEC">
        <w:rPr>
          <w:color w:val="000000"/>
        </w:rPr>
        <w:t>том существующей в государстве-участнике социально-экономической ситу</w:t>
      </w:r>
      <w:r w:rsidRPr="00570DEC">
        <w:rPr>
          <w:color w:val="000000"/>
        </w:rPr>
        <w:t>а</w:t>
      </w:r>
      <w:r w:rsidRPr="00570DEC">
        <w:rPr>
          <w:color w:val="000000"/>
        </w:rPr>
        <w:t xml:space="preserve">ции женщины более уязвимы к угрозам здоровью, чем мужчины. Согласно СПРСЗ </w:t>
      </w:r>
      <w:r w:rsidRPr="00570DEC">
        <w:rPr>
          <w:color w:val="000000"/>
          <w:lang w:val="en-US"/>
        </w:rPr>
        <w:t>III</w:t>
      </w:r>
      <w:r w:rsidRPr="00570DEC">
        <w:rPr>
          <w:color w:val="000000"/>
        </w:rPr>
        <w:t>, у женщин "имеются четко определенные потребности в области р</w:t>
      </w:r>
      <w:r w:rsidRPr="00570DEC">
        <w:rPr>
          <w:color w:val="000000"/>
        </w:rPr>
        <w:t>е</w:t>
      </w:r>
      <w:r w:rsidRPr="00570DEC">
        <w:rPr>
          <w:color w:val="000000"/>
        </w:rPr>
        <w:t>продуктивного здоровья: противозачаточные средства, медицинское наблюд</w:t>
      </w:r>
      <w:r w:rsidRPr="00570DEC">
        <w:rPr>
          <w:color w:val="000000"/>
        </w:rPr>
        <w:t>е</w:t>
      </w:r>
      <w:r w:rsidRPr="00570DEC">
        <w:rPr>
          <w:color w:val="000000"/>
        </w:rPr>
        <w:t>ние во время беременности, родов и в послеродовой период. Они также ну</w:t>
      </w:r>
      <w:r w:rsidRPr="00570DEC">
        <w:rPr>
          <w:color w:val="000000"/>
        </w:rPr>
        <w:t>ж</w:t>
      </w:r>
      <w:r w:rsidRPr="00570DEC">
        <w:rPr>
          <w:color w:val="000000"/>
        </w:rPr>
        <w:t>даются в расширении лечения заболеваний, передающихся половым путем, особенно ВИЧ/СПИДа, профилактике вредных видов практики, в том числе калечащих операций на женских половых органах и изнасилований"</w:t>
      </w:r>
      <w:r w:rsidRPr="00C47801">
        <w:rPr>
          <w:rStyle w:val="FootnoteReference"/>
        </w:rPr>
        <w:footnoteReference w:id="119"/>
      </w:r>
      <w:r w:rsidRPr="00C47801">
        <w:rPr>
          <w:rStyle w:val="FootnoteReference"/>
        </w:rPr>
        <w:t xml:space="preserve">. </w:t>
      </w:r>
      <w:r w:rsidRPr="00570DEC">
        <w:rPr>
          <w:color w:val="000000"/>
        </w:rPr>
        <w:t>Ос</w:t>
      </w:r>
      <w:r w:rsidRPr="00570DEC">
        <w:rPr>
          <w:color w:val="000000"/>
        </w:rPr>
        <w:t>о</w:t>
      </w:r>
      <w:r w:rsidRPr="00570DEC">
        <w:rPr>
          <w:color w:val="000000"/>
        </w:rPr>
        <w:t>бые потребности женщин зачастую обусловлены их неблагоприятным полож</w:t>
      </w:r>
      <w:r w:rsidRPr="00570DEC">
        <w:rPr>
          <w:color w:val="000000"/>
        </w:rPr>
        <w:t>е</w:t>
      </w:r>
      <w:r w:rsidRPr="00570DEC">
        <w:rPr>
          <w:color w:val="000000"/>
        </w:rPr>
        <w:t>нием, невозможностью осуществлять свои права и подверженностью насилию в семье. Часто они имеют более низкий уровень образования и выполняют н</w:t>
      </w:r>
      <w:r w:rsidRPr="00570DEC">
        <w:rPr>
          <w:color w:val="000000"/>
        </w:rPr>
        <w:t>е</w:t>
      </w:r>
      <w:r w:rsidRPr="00570DEC">
        <w:rPr>
          <w:color w:val="000000"/>
        </w:rPr>
        <w:t>легкие обязанности по ведению домашнего хозяйства и уходу за членами с</w:t>
      </w:r>
      <w:r w:rsidRPr="00570DEC">
        <w:rPr>
          <w:color w:val="000000"/>
        </w:rPr>
        <w:t>е</w:t>
      </w:r>
      <w:r w:rsidRPr="00570DEC">
        <w:rPr>
          <w:color w:val="000000"/>
        </w:rPr>
        <w:t>мьи. Как правило, женщины несут ответственность по уходу за детьми и п</w:t>
      </w:r>
      <w:r w:rsidRPr="00570DEC">
        <w:rPr>
          <w:color w:val="000000"/>
        </w:rPr>
        <w:t>о</w:t>
      </w:r>
      <w:r w:rsidRPr="00570DEC">
        <w:rPr>
          <w:color w:val="000000"/>
        </w:rPr>
        <w:t>жилыми людьми.</w:t>
      </w:r>
    </w:p>
    <w:p w:rsidR="00AD593A" w:rsidRDefault="00AD593A" w:rsidP="00AD593A">
      <w:pPr>
        <w:pStyle w:val="SingleTxt"/>
      </w:pPr>
      <w:r w:rsidRPr="00570DEC">
        <w:rPr>
          <w:color w:val="000000"/>
        </w:rPr>
        <w:t>134.</w:t>
      </w:r>
      <w:r w:rsidRPr="00570DEC">
        <w:rPr>
          <w:color w:val="000000"/>
        </w:rPr>
        <w:tab/>
        <w:t xml:space="preserve">Таким образом, подход СПРСЗ </w:t>
      </w:r>
      <w:r w:rsidRPr="00570DEC">
        <w:rPr>
          <w:color w:val="000000"/>
          <w:lang w:val="en-US"/>
        </w:rPr>
        <w:t>III</w:t>
      </w:r>
      <w:r w:rsidRPr="00570DEC">
        <w:rPr>
          <w:color w:val="000000"/>
        </w:rPr>
        <w:t xml:space="preserve"> к учету гендерной проблематики треб</w:t>
      </w:r>
      <w:r w:rsidRPr="00570DEC">
        <w:rPr>
          <w:color w:val="000000"/>
        </w:rPr>
        <w:t>у</w:t>
      </w:r>
      <w:r w:rsidRPr="00570DEC">
        <w:rPr>
          <w:color w:val="000000"/>
        </w:rPr>
        <w:t>ет, чтобы в рамках мер политики и стратегий, имеющих отношение к здрав</w:t>
      </w:r>
      <w:r w:rsidRPr="00570DEC">
        <w:rPr>
          <w:color w:val="000000"/>
        </w:rPr>
        <w:t>о</w:t>
      </w:r>
      <w:r w:rsidRPr="00570DEC">
        <w:rPr>
          <w:color w:val="000000"/>
        </w:rPr>
        <w:t>охранению, решались гендерные проблемы. Необходимо воплотить принцип учета гендерной проблематики в секторе здравоохранения в практические м</w:t>
      </w:r>
      <w:r w:rsidRPr="00570DEC">
        <w:rPr>
          <w:color w:val="000000"/>
        </w:rPr>
        <w:t>е</w:t>
      </w:r>
      <w:r w:rsidRPr="00570DEC">
        <w:rPr>
          <w:color w:val="000000"/>
        </w:rPr>
        <w:t xml:space="preserve">ры на всех уровнях планирования, принятия решений, мониторинга и оценки. В связи с этим в СПРСЗ </w:t>
      </w:r>
      <w:r w:rsidRPr="00570DEC">
        <w:rPr>
          <w:color w:val="000000"/>
          <w:lang w:val="en-US"/>
        </w:rPr>
        <w:t>III</w:t>
      </w:r>
      <w:r w:rsidRPr="00570DEC">
        <w:rPr>
          <w:color w:val="000000"/>
        </w:rPr>
        <w:t xml:space="preserve"> отмечается: "Медицинские работники обучены распознавать и решать конкретные проблемы здоровья у женщин и мужчин. Повысятся гарантии безопасности и неприкосновенности личной жизни кл</w:t>
      </w:r>
      <w:r w:rsidRPr="00570DEC">
        <w:rPr>
          <w:color w:val="000000"/>
        </w:rPr>
        <w:t>и</w:t>
      </w:r>
      <w:r w:rsidRPr="00570DEC">
        <w:rPr>
          <w:color w:val="000000"/>
        </w:rPr>
        <w:t>ентов</w:t>
      </w:r>
      <w:r w:rsidR="00C47801">
        <w:rPr>
          <w:color w:val="000000"/>
        </w:rPr>
        <w:t xml:space="preserve"> — </w:t>
      </w:r>
      <w:r w:rsidRPr="00570DEC">
        <w:rPr>
          <w:color w:val="000000"/>
        </w:rPr>
        <w:t>получателей медицинских услуг, будет усилена конфиденциал</w:t>
      </w:r>
      <w:r w:rsidRPr="00570DEC">
        <w:rPr>
          <w:color w:val="000000"/>
        </w:rPr>
        <w:t>ь</w:t>
      </w:r>
      <w:r w:rsidRPr="00570DEC">
        <w:rPr>
          <w:color w:val="000000"/>
        </w:rPr>
        <w:t>ность"</w:t>
      </w:r>
      <w:r w:rsidRPr="00C47801">
        <w:rPr>
          <w:rStyle w:val="FootnoteReference"/>
        </w:rPr>
        <w:footnoteReference w:id="120"/>
      </w:r>
      <w:r w:rsidRPr="00C47801">
        <w:rPr>
          <w:rStyle w:val="FootnoteReference"/>
        </w:rPr>
        <w:t xml:space="preserve">. </w:t>
      </w:r>
      <w:r w:rsidRPr="00570DEC">
        <w:rPr>
          <w:color w:val="000000"/>
        </w:rPr>
        <w:t xml:space="preserve">В частности, СПРСЗ </w:t>
      </w:r>
      <w:r w:rsidRPr="00570DEC">
        <w:rPr>
          <w:color w:val="000000"/>
          <w:lang w:val="en-US"/>
        </w:rPr>
        <w:t>III</w:t>
      </w:r>
      <w:r w:rsidRPr="00570DEC">
        <w:rPr>
          <w:color w:val="000000"/>
        </w:rPr>
        <w:t xml:space="preserve"> предусматривает, что "ВИЧ/СПИД и охрана репродуктивного здоровья станут приоритетными направлениями деятельн</w:t>
      </w:r>
      <w:r w:rsidRPr="00570DEC">
        <w:rPr>
          <w:color w:val="000000"/>
        </w:rPr>
        <w:t>о</w:t>
      </w:r>
      <w:r w:rsidRPr="00570DEC">
        <w:rPr>
          <w:color w:val="000000"/>
        </w:rPr>
        <w:t>сти. Необходимо информировать мужчин об особых потребностях женщин в области охраны здоровья, а мужчинам следует взять на себя ответственность в вопросах здоровья семьи"</w:t>
      </w:r>
      <w:r w:rsidRPr="00C47801">
        <w:rPr>
          <w:rStyle w:val="FootnoteReference"/>
        </w:rPr>
        <w:footnoteReference w:id="121"/>
      </w:r>
      <w:r w:rsidRPr="00C47801">
        <w:rPr>
          <w:rStyle w:val="FootnoteReference"/>
        </w:rPr>
        <w:t xml:space="preserve">. </w:t>
      </w:r>
      <w:r w:rsidRPr="00570DEC">
        <w:rPr>
          <w:color w:val="000000"/>
        </w:rPr>
        <w:t xml:space="preserve">Кроме того, СПРСЗ </w:t>
      </w:r>
      <w:r w:rsidRPr="00570DEC">
        <w:rPr>
          <w:color w:val="000000"/>
          <w:lang w:val="en-US"/>
        </w:rPr>
        <w:t>III</w:t>
      </w:r>
      <w:r w:rsidRPr="00570DEC">
        <w:rPr>
          <w:color w:val="000000"/>
        </w:rPr>
        <w:t xml:space="preserve"> требует, чтобы учет ге</w:t>
      </w:r>
      <w:r w:rsidRPr="00570DEC">
        <w:rPr>
          <w:color w:val="000000"/>
        </w:rPr>
        <w:t>н</w:t>
      </w:r>
      <w:r w:rsidRPr="00570DEC">
        <w:rPr>
          <w:color w:val="000000"/>
        </w:rPr>
        <w:t>дерной проблематики "также стал составной частью системы управления: сл</w:t>
      </w:r>
      <w:r w:rsidRPr="00570DEC">
        <w:rPr>
          <w:color w:val="000000"/>
        </w:rPr>
        <w:t>е</w:t>
      </w:r>
      <w:r w:rsidRPr="00570DEC">
        <w:rPr>
          <w:color w:val="000000"/>
        </w:rPr>
        <w:t>дует открыть женщинам возможности занятия более высоких руководящих должностей, а также обеспечить участие женщин в руководящих органах, т</w:t>
      </w:r>
      <w:r w:rsidRPr="00570DEC">
        <w:rPr>
          <w:color w:val="000000"/>
        </w:rPr>
        <w:t>а</w:t>
      </w:r>
      <w:r w:rsidRPr="00570DEC">
        <w:rPr>
          <w:color w:val="000000"/>
        </w:rPr>
        <w:t>ких как советы и комитеты учреждений здравоохранения"</w:t>
      </w:r>
      <w:r w:rsidRPr="00C47801">
        <w:rPr>
          <w:rStyle w:val="FootnoteReference"/>
        </w:rPr>
        <w:footnoteReference w:id="122"/>
      </w:r>
      <w:r w:rsidRPr="00C47801">
        <w:rPr>
          <w:rStyle w:val="FootnoteReference"/>
        </w:rPr>
        <w:t>.</w:t>
      </w:r>
    </w:p>
    <w:p w:rsidR="00C47801" w:rsidRPr="00F7009F" w:rsidRDefault="00C47801" w:rsidP="00F7009F">
      <w:pPr>
        <w:pStyle w:val="SingleTxt"/>
        <w:spacing w:after="0" w:line="120" w:lineRule="exact"/>
        <w:rPr>
          <w:sz w:val="10"/>
          <w:lang w:eastAsia="ru-RU"/>
        </w:rPr>
      </w:pPr>
    </w:p>
    <w:p w:rsidR="00AD593A" w:rsidRPr="006605A0" w:rsidRDefault="00AD593A" w:rsidP="00F700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A1EBE">
        <w:tab/>
      </w:r>
      <w:bookmarkStart w:id="42" w:name="_Toc417398646"/>
      <w:r w:rsidRPr="000E35E2">
        <w:t>1.2.4</w:t>
      </w:r>
      <w:r w:rsidRPr="000E35E2">
        <w:tab/>
        <w:t>Сельские женщины</w:t>
      </w:r>
      <w:bookmarkEnd w:id="42"/>
    </w:p>
    <w:p w:rsidR="00F7009F" w:rsidRPr="00F7009F" w:rsidRDefault="00F7009F" w:rsidP="00F7009F">
      <w:pPr>
        <w:pStyle w:val="SingleTxt"/>
        <w:spacing w:after="0" w:line="120" w:lineRule="exact"/>
        <w:rPr>
          <w:bCs/>
          <w:sz w:val="10"/>
        </w:rPr>
      </w:pPr>
    </w:p>
    <w:p w:rsidR="00AD593A" w:rsidRPr="000E35E2" w:rsidRDefault="00AD593A" w:rsidP="00AD593A">
      <w:pPr>
        <w:pStyle w:val="SingleTxt"/>
      </w:pPr>
      <w:r w:rsidRPr="000E35E2">
        <w:rPr>
          <w:bCs/>
        </w:rPr>
        <w:t>135.</w:t>
      </w:r>
      <w:r w:rsidRPr="000E35E2">
        <w:rPr>
          <w:bCs/>
        </w:rPr>
        <w:tab/>
      </w:r>
      <w:r w:rsidRPr="000E35E2">
        <w:rPr>
          <w:color w:val="000000"/>
        </w:rPr>
        <w:t xml:space="preserve">В своих предыдущих </w:t>
      </w:r>
      <w:r>
        <w:rPr>
          <w:color w:val="000000"/>
        </w:rPr>
        <w:t>З</w:t>
      </w:r>
      <w:r w:rsidRPr="000E35E2">
        <w:rPr>
          <w:color w:val="000000"/>
        </w:rPr>
        <w:t>аключительных замечаниях Комитет настоятельно призвал государство-участник уделять первостепенное внимание</w:t>
      </w:r>
      <w:r w:rsidRPr="000E35E2">
        <w:rPr>
          <w:rStyle w:val="apple-converted-space"/>
        </w:rPr>
        <w:t xml:space="preserve"> </w:t>
      </w:r>
      <w:r w:rsidRPr="000E35E2">
        <w:rPr>
          <w:color w:val="000000"/>
        </w:rPr>
        <w:t>вопросам борьбы с насилием в отношении женщин и предпринять комплексные меры в целях искоренения всех форм насилия в отношении женщин и девочек в соо</w:t>
      </w:r>
      <w:r w:rsidRPr="000E35E2">
        <w:rPr>
          <w:color w:val="000000"/>
        </w:rPr>
        <w:t>т</w:t>
      </w:r>
      <w:r w:rsidRPr="000E35E2">
        <w:rPr>
          <w:color w:val="000000"/>
        </w:rPr>
        <w:t>ветствии с общей рекомендацией № 19 Комитета.</w:t>
      </w:r>
      <w:r w:rsidRPr="000E35E2">
        <w:rPr>
          <w:bCs/>
        </w:rPr>
        <w:t xml:space="preserve"> Во исполнение этой рек</w:t>
      </w:r>
      <w:r w:rsidRPr="000E35E2">
        <w:rPr>
          <w:bCs/>
        </w:rPr>
        <w:t>о</w:t>
      </w:r>
      <w:r w:rsidRPr="000E35E2">
        <w:rPr>
          <w:bCs/>
        </w:rPr>
        <w:t xml:space="preserve">мендации государство-участник приняло ряд мер </w:t>
      </w:r>
      <w:r w:rsidRPr="000E35E2">
        <w:rPr>
          <w:color w:val="000000"/>
        </w:rPr>
        <w:t>профилактики насилия в о</w:t>
      </w:r>
      <w:r w:rsidRPr="000E35E2">
        <w:rPr>
          <w:color w:val="000000"/>
        </w:rPr>
        <w:t>т</w:t>
      </w:r>
      <w:r w:rsidRPr="000E35E2">
        <w:rPr>
          <w:color w:val="000000"/>
        </w:rPr>
        <w:t>ношении женщин и девочек и мер реагирования на него</w:t>
      </w:r>
      <w:r w:rsidRPr="000E35E2">
        <w:t xml:space="preserve">. Государство-участник также подготовило и применяет руководство для медицинских работников по реагированию на случаи </w:t>
      </w:r>
      <w:r>
        <w:t xml:space="preserve">гендерного </w:t>
      </w:r>
      <w:r w:rsidRPr="000E35E2">
        <w:t>насилия и насилия в отношении детей. Р</w:t>
      </w:r>
      <w:r w:rsidRPr="000E35E2">
        <w:t>у</w:t>
      </w:r>
      <w:r w:rsidRPr="000E35E2">
        <w:t>ководство содержит материалы, которые могут быть использованы для обуч</w:t>
      </w:r>
      <w:r w:rsidRPr="000E35E2">
        <w:t>е</w:t>
      </w:r>
      <w:r w:rsidRPr="000E35E2">
        <w:t xml:space="preserve">ния различных категорий сотрудников работе с жертвами </w:t>
      </w:r>
      <w:r>
        <w:t xml:space="preserve">гендерного </w:t>
      </w:r>
      <w:r w:rsidRPr="000E35E2">
        <w:t>насилия</w:t>
      </w:r>
      <w:r>
        <w:t xml:space="preserve"> (ГН). </w:t>
      </w:r>
      <w:r w:rsidRPr="000E35E2">
        <w:t>Министерство внутренних дел разработало стандартные оперативные процедуры (СОП) для полицейских отделов по гендерным вопросам и делам детей. Кроме того, НПО</w:t>
      </w:r>
      <w:r w:rsidRPr="00C47801">
        <w:rPr>
          <w:rStyle w:val="FootnoteReference"/>
        </w:rPr>
        <w:footnoteReference w:id="123"/>
      </w:r>
      <w:r w:rsidRPr="00C47801">
        <w:rPr>
          <w:rStyle w:val="FootnoteReference"/>
        </w:rPr>
        <w:t xml:space="preserve"> </w:t>
      </w:r>
      <w:r w:rsidRPr="000E35E2">
        <w:t>разработали для поставщиков услуг различные р</w:t>
      </w:r>
      <w:r w:rsidRPr="000E35E2">
        <w:t>у</w:t>
      </w:r>
      <w:r w:rsidRPr="000E35E2">
        <w:t xml:space="preserve">ководства и механизмы профилактики </w:t>
      </w:r>
      <w:r>
        <w:t>ГН</w:t>
      </w:r>
      <w:r w:rsidRPr="000E35E2">
        <w:t xml:space="preserve"> и насилия в отношении детей (НОД) и реагирования на случаи такого насилия. К</w:t>
      </w:r>
      <w:r>
        <w:t> </w:t>
      </w:r>
      <w:r w:rsidRPr="000E35E2">
        <w:t>другим инструментам, разраб</w:t>
      </w:r>
      <w:r w:rsidRPr="000E35E2">
        <w:t>о</w:t>
      </w:r>
      <w:r w:rsidRPr="000E35E2">
        <w:t xml:space="preserve">танным в целях реагирования на </w:t>
      </w:r>
      <w:r>
        <w:t>ГН</w:t>
      </w:r>
      <w:r w:rsidRPr="000E35E2">
        <w:t xml:space="preserve">, относятся Национальное руководство по профилактике </w:t>
      </w:r>
      <w:r>
        <w:t>ГН</w:t>
      </w:r>
      <w:r w:rsidRPr="000E35E2">
        <w:t xml:space="preserve"> и реагированию на</w:t>
      </w:r>
      <w:r>
        <w:t> </w:t>
      </w:r>
      <w:r w:rsidRPr="000E35E2">
        <w:t>его случаи, Национальная стратегия пр</w:t>
      </w:r>
      <w:r w:rsidRPr="000E35E2">
        <w:t>и</w:t>
      </w:r>
      <w:r w:rsidRPr="000E35E2">
        <w:t xml:space="preserve">влечения внимания общественности к профилактике </w:t>
      </w:r>
      <w:r>
        <w:t>ГН</w:t>
      </w:r>
      <w:r w:rsidRPr="000E35E2">
        <w:t xml:space="preserve"> и реагированию на его случаи, Руководство для комиссий по вопросам </w:t>
      </w:r>
      <w:r>
        <w:t>ГН</w:t>
      </w:r>
      <w:r w:rsidRPr="000E35E2">
        <w:t xml:space="preserve"> по профилактике </w:t>
      </w:r>
      <w:r>
        <w:t>ГН</w:t>
      </w:r>
      <w:r w:rsidRPr="000E35E2">
        <w:t xml:space="preserve"> и ре</w:t>
      </w:r>
      <w:r w:rsidRPr="000E35E2">
        <w:t>а</w:t>
      </w:r>
      <w:r w:rsidRPr="000E35E2">
        <w:t xml:space="preserve">гированию на его случаи, подготовленное </w:t>
      </w:r>
      <w:r w:rsidRPr="000E35E2">
        <w:rPr>
          <w:color w:val="000000"/>
        </w:rPr>
        <w:t>Министерством общинного разв</w:t>
      </w:r>
      <w:r w:rsidRPr="000E35E2">
        <w:rPr>
          <w:color w:val="000000"/>
        </w:rPr>
        <w:t>и</w:t>
      </w:r>
      <w:r w:rsidRPr="000E35E2">
        <w:rPr>
          <w:color w:val="000000"/>
        </w:rPr>
        <w:t>тия, по делам женщин и детей</w:t>
      </w:r>
      <w:r w:rsidRPr="000E35E2">
        <w:t>.</w:t>
      </w:r>
    </w:p>
    <w:p w:rsidR="00AD593A" w:rsidRPr="000E35E2" w:rsidRDefault="00AD593A" w:rsidP="00AD593A">
      <w:pPr>
        <w:pStyle w:val="SingleTxt"/>
        <w:rPr>
          <w:spacing w:val="2"/>
        </w:rPr>
      </w:pPr>
      <w:r w:rsidRPr="000E35E2">
        <w:rPr>
          <w:spacing w:val="2"/>
        </w:rPr>
        <w:t>136.</w:t>
      </w:r>
      <w:r w:rsidRPr="000E35E2">
        <w:rPr>
          <w:spacing w:val="2"/>
        </w:rPr>
        <w:tab/>
        <w:t>В процессе планирования на низовом уровне государство-участник обесп</w:t>
      </w:r>
      <w:r w:rsidRPr="000E35E2">
        <w:rPr>
          <w:spacing w:val="2"/>
        </w:rPr>
        <w:t>е</w:t>
      </w:r>
      <w:r w:rsidRPr="000E35E2">
        <w:rPr>
          <w:spacing w:val="2"/>
        </w:rPr>
        <w:t xml:space="preserve">чило использование </w:t>
      </w:r>
      <w:r>
        <w:rPr>
          <w:spacing w:val="2"/>
        </w:rPr>
        <w:t>МОВ</w:t>
      </w:r>
      <w:r w:rsidRPr="000E35E2">
        <w:rPr>
          <w:spacing w:val="2"/>
        </w:rPr>
        <w:t xml:space="preserve"> материковой части Танзании принципа </w:t>
      </w:r>
      <w:r>
        <w:rPr>
          <w:spacing w:val="2"/>
        </w:rPr>
        <w:t>"</w:t>
      </w:r>
      <w:r w:rsidRPr="000E35E2">
        <w:rPr>
          <w:spacing w:val="2"/>
        </w:rPr>
        <w:t>снизу вверх</w:t>
      </w:r>
      <w:r>
        <w:rPr>
          <w:spacing w:val="2"/>
        </w:rPr>
        <w:t>"</w:t>
      </w:r>
      <w:r w:rsidRPr="000E35E2">
        <w:rPr>
          <w:spacing w:val="2"/>
        </w:rPr>
        <w:t xml:space="preserve">, в соответствии с которым сельским органам власти следует подготовить планы на уровне деревни и представить их в </w:t>
      </w:r>
      <w:r w:rsidRPr="000E35E2">
        <w:rPr>
          <w:color w:val="000000"/>
        </w:rPr>
        <w:t>комитеты развития административных районов (КРАР)</w:t>
      </w:r>
      <w:r w:rsidRPr="000E35E2">
        <w:rPr>
          <w:spacing w:val="2"/>
        </w:rPr>
        <w:t xml:space="preserve"> для последующей передачи в </w:t>
      </w:r>
      <w:r>
        <w:rPr>
          <w:spacing w:val="2"/>
        </w:rPr>
        <w:t>о</w:t>
      </w:r>
      <w:r w:rsidRPr="000E35E2">
        <w:rPr>
          <w:spacing w:val="2"/>
        </w:rPr>
        <w:t>кружные советы (ОС) для утве</w:t>
      </w:r>
      <w:r w:rsidRPr="000E35E2">
        <w:rPr>
          <w:spacing w:val="2"/>
        </w:rPr>
        <w:t>р</w:t>
      </w:r>
      <w:r w:rsidRPr="000E35E2">
        <w:rPr>
          <w:spacing w:val="2"/>
        </w:rPr>
        <w:t>ждения на их пленарных сессиях. Доля женщин в числе представителей власти на уровне деревень, административных районов и округов составляет</w:t>
      </w:r>
      <w:r>
        <w:rPr>
          <w:spacing w:val="2"/>
        </w:rPr>
        <w:t xml:space="preserve"> </w:t>
      </w:r>
      <w:r w:rsidRPr="000E35E2">
        <w:rPr>
          <w:spacing w:val="2"/>
        </w:rPr>
        <w:t>30</w:t>
      </w:r>
      <w:r>
        <w:rPr>
          <w:spacing w:val="2"/>
        </w:rPr>
        <w:t> процентов. Тем не менее</w:t>
      </w:r>
      <w:r w:rsidRPr="000E35E2">
        <w:rPr>
          <w:spacing w:val="2"/>
        </w:rPr>
        <w:t xml:space="preserve"> государство-участник по-прежнему сталкивается с проблемами, связанными с преобладанием мужчин над женщинами в составе руководящих органов. Этот факт дает мужчинам возможность контролировать процесс принятия решений. </w:t>
      </w:r>
    </w:p>
    <w:p w:rsidR="00AD593A" w:rsidRPr="000E35E2" w:rsidRDefault="00AD593A" w:rsidP="00AD593A">
      <w:pPr>
        <w:pStyle w:val="SingleTxt"/>
      </w:pPr>
      <w:r w:rsidRPr="000E35E2">
        <w:t>137.</w:t>
      </w:r>
      <w:r w:rsidRPr="000E35E2">
        <w:tab/>
        <w:t>Тем не менее государство-участник осуществляет стратегии позитивных действий в целях увеличения числа женщин, участвующих в принятии реш</w:t>
      </w:r>
      <w:r w:rsidRPr="000E35E2">
        <w:t>е</w:t>
      </w:r>
      <w:r w:rsidRPr="000E35E2">
        <w:t>ний на низовом уровне. Например, государство-участник требует, чтобы же</w:t>
      </w:r>
      <w:r w:rsidRPr="000E35E2">
        <w:t>н</w:t>
      </w:r>
      <w:r w:rsidRPr="000E35E2">
        <w:t xml:space="preserve">щины составляли как минимум </w:t>
      </w:r>
      <w:r>
        <w:t>треть</w:t>
      </w:r>
      <w:r w:rsidRPr="000E35E2">
        <w:t xml:space="preserve"> членов органов, создаваемых для урег</w:t>
      </w:r>
      <w:r w:rsidRPr="000E35E2">
        <w:t>у</w:t>
      </w:r>
      <w:r w:rsidRPr="000E35E2">
        <w:t>лирования земельных споров на уровне деревень и административных рай</w:t>
      </w:r>
      <w:r w:rsidRPr="000E35E2">
        <w:t>о</w:t>
      </w:r>
      <w:r w:rsidRPr="000E35E2">
        <w:t>нов. В принципе, согласно Закону о сельских землях (1999 год)</w:t>
      </w:r>
      <w:r w:rsidR="00F7009F">
        <w:rPr>
          <w:rStyle w:val="FootnoteReference"/>
        </w:rPr>
        <w:footnoteReference w:id="124"/>
      </w:r>
      <w:r w:rsidRPr="000E35E2">
        <w:t>, двое (2) или трое (3) (в зависимости от обстоятельств) из пяти или семи (7) членов сельск</w:t>
      </w:r>
      <w:r w:rsidRPr="000E35E2">
        <w:t>о</w:t>
      </w:r>
      <w:r w:rsidRPr="000E35E2">
        <w:t>го земельного совета должны быть женщинами. По состоянию на декабрь 2013</w:t>
      </w:r>
      <w:r>
        <w:t> </w:t>
      </w:r>
      <w:r w:rsidRPr="000E35E2">
        <w:t xml:space="preserve">года </w:t>
      </w:r>
      <w:r>
        <w:t>на</w:t>
      </w:r>
      <w:r w:rsidRPr="000E35E2">
        <w:t xml:space="preserve"> материковой части Танзании функционировал 181</w:t>
      </w:r>
      <w:r>
        <w:t> </w:t>
      </w:r>
      <w:r w:rsidRPr="000E35E2">
        <w:t>районный з</w:t>
      </w:r>
      <w:r w:rsidRPr="000E35E2">
        <w:t>е</w:t>
      </w:r>
      <w:r w:rsidRPr="000E35E2">
        <w:t>мельный суд; в состав этих судов входили 82</w:t>
      </w:r>
      <w:r>
        <w:t> </w:t>
      </w:r>
      <w:r w:rsidRPr="000E35E2">
        <w:t>женщины и 99</w:t>
      </w:r>
      <w:r>
        <w:t> </w:t>
      </w:r>
      <w:r w:rsidRPr="000E35E2">
        <w:t xml:space="preserve">мужчин. На окружном уровне </w:t>
      </w:r>
      <w:r>
        <w:t>на</w:t>
      </w:r>
      <w:r w:rsidRPr="000E35E2">
        <w:t xml:space="preserve"> материковой части Танзании функционировал 41</w:t>
      </w:r>
      <w:r>
        <w:t> о</w:t>
      </w:r>
      <w:r w:rsidRPr="000E35E2">
        <w:t xml:space="preserve">кружной суд по земельным и жилищным делам (ОСЗЖД), председателями в которых являлись </w:t>
      </w:r>
      <w:r>
        <w:t>восемь</w:t>
      </w:r>
      <w:r w:rsidRPr="000E35E2">
        <w:t xml:space="preserve"> женщин и 37</w:t>
      </w:r>
      <w:r>
        <w:t> </w:t>
      </w:r>
      <w:r w:rsidRPr="000E35E2">
        <w:t>мужчин. На</w:t>
      </w:r>
      <w:r>
        <w:t> </w:t>
      </w:r>
      <w:r w:rsidRPr="000E35E2">
        <w:t xml:space="preserve">государственном уровне работу ОСЗЖД координируют </w:t>
      </w:r>
      <w:r>
        <w:t>с</w:t>
      </w:r>
      <w:r w:rsidRPr="000E35E2">
        <w:t xml:space="preserve">екретарь и заместитель </w:t>
      </w:r>
      <w:r>
        <w:t>с</w:t>
      </w:r>
      <w:r w:rsidRPr="000E35E2">
        <w:t>екретаря</w:t>
      </w:r>
      <w:r>
        <w:t>;</w:t>
      </w:r>
      <w:r w:rsidRPr="000E35E2">
        <w:t xml:space="preserve"> обе должн</w:t>
      </w:r>
      <w:r w:rsidRPr="000E35E2">
        <w:t>о</w:t>
      </w:r>
      <w:r w:rsidRPr="000E35E2">
        <w:t>сти занимают женщины.</w:t>
      </w:r>
    </w:p>
    <w:p w:rsidR="00AD593A" w:rsidRPr="000E35E2" w:rsidRDefault="00AD593A" w:rsidP="00AD593A">
      <w:pPr>
        <w:pStyle w:val="SingleTxt"/>
      </w:pPr>
      <w:r w:rsidRPr="000E35E2">
        <w:t>138.</w:t>
      </w:r>
      <w:r w:rsidRPr="000E35E2">
        <w:tab/>
        <w:t xml:space="preserve">На Занзибаре были также созданы комитеты по вопросам </w:t>
      </w:r>
      <w:r>
        <w:t>ГН</w:t>
      </w:r>
      <w:r w:rsidRPr="000E35E2">
        <w:t xml:space="preserve"> на всех уровнях, от национального до общинного (шехиа). Был разработан комплек</w:t>
      </w:r>
      <w:r w:rsidRPr="000E35E2">
        <w:t>с</w:t>
      </w:r>
      <w:r w:rsidRPr="000E35E2">
        <w:t xml:space="preserve">ный план действий в области </w:t>
      </w:r>
      <w:r>
        <w:t>ГН</w:t>
      </w:r>
      <w:r w:rsidRPr="000E35E2">
        <w:t>, включающий мероприятия по пропаганде, защите, предоставлению услуг и профилактике. Государство-участник под эг</w:t>
      </w:r>
      <w:r w:rsidRPr="000E35E2">
        <w:t>и</w:t>
      </w:r>
      <w:r w:rsidRPr="000E35E2">
        <w:t xml:space="preserve">дой </w:t>
      </w:r>
      <w:r>
        <w:rPr>
          <w:color w:val="000000"/>
        </w:rPr>
        <w:t>МРПВСОМЖД</w:t>
      </w:r>
      <w:r w:rsidRPr="000E35E2">
        <w:t xml:space="preserve"> Занзибара учредило универсальный центр оказания услуг и проведения консультаций для жертв гендерного насилия на базе больницы </w:t>
      </w:r>
      <w:r>
        <w:t>"</w:t>
      </w:r>
      <w:r w:rsidRPr="000E35E2">
        <w:t>Мнази Ммоджа</w:t>
      </w:r>
      <w:r>
        <w:t>"</w:t>
      </w:r>
      <w:r w:rsidRPr="000E35E2">
        <w:t xml:space="preserve">; кроме того, правительство намерено создать такие центры в Чаке-Чаке, на острове Пемба, а также во всех </w:t>
      </w:r>
      <w:r>
        <w:t>областях</w:t>
      </w:r>
      <w:r w:rsidRPr="000E35E2">
        <w:t>. Организован сбор фа</w:t>
      </w:r>
      <w:r w:rsidRPr="000E35E2">
        <w:t>к</w:t>
      </w:r>
      <w:r w:rsidRPr="000E35E2">
        <w:t>тической информации о пробелах в различных законах и процедурах, име</w:t>
      </w:r>
      <w:r w:rsidRPr="000E35E2">
        <w:t>ю</w:t>
      </w:r>
      <w:r w:rsidRPr="000E35E2">
        <w:t xml:space="preserve">щих отношение к </w:t>
      </w:r>
      <w:r>
        <w:t>ГН,</w:t>
      </w:r>
      <w:r w:rsidRPr="000E35E2">
        <w:t xml:space="preserve"> разработан порядок действий по защите прав жертв </w:t>
      </w:r>
      <w:r>
        <w:t>ГН</w:t>
      </w:r>
      <w:r w:rsidRPr="000E35E2">
        <w:t xml:space="preserve">. Кроме того, государство-участник учредило Группу по защите детей в рамках </w:t>
      </w:r>
      <w:r w:rsidRPr="000E35E2">
        <w:rPr>
          <w:color w:val="000000"/>
        </w:rPr>
        <w:t xml:space="preserve">Министерства </w:t>
      </w:r>
      <w:r w:rsidRPr="000E35E2">
        <w:t>социально</w:t>
      </w:r>
      <w:r>
        <w:t>го обеспечения</w:t>
      </w:r>
      <w:r w:rsidRPr="000E35E2">
        <w:t>, по делам молодежи, женщин и разв</w:t>
      </w:r>
      <w:r w:rsidRPr="000E35E2">
        <w:t>и</w:t>
      </w:r>
      <w:r w:rsidRPr="000E35E2">
        <w:t>тия детей (</w:t>
      </w:r>
      <w:r w:rsidRPr="000E35E2">
        <w:rPr>
          <w:color w:val="000000"/>
        </w:rPr>
        <w:t>МС</w:t>
      </w:r>
      <w:r>
        <w:rPr>
          <w:color w:val="000000"/>
        </w:rPr>
        <w:t>О</w:t>
      </w:r>
      <w:r w:rsidRPr="000E35E2">
        <w:rPr>
          <w:color w:val="000000"/>
        </w:rPr>
        <w:t>ДМЖРД</w:t>
      </w:r>
      <w:r w:rsidRPr="000E35E2">
        <w:t xml:space="preserve">) для профилактики и защиты благополучия девочек. Группа по защите детей (ГЗД) отвечает за прием и сортировку жалоб. </w:t>
      </w:r>
    </w:p>
    <w:p w:rsidR="00AD593A" w:rsidRPr="000E35E2" w:rsidRDefault="00AD593A" w:rsidP="00AD593A">
      <w:pPr>
        <w:pStyle w:val="SingleTxt"/>
      </w:pPr>
      <w:r w:rsidRPr="000E35E2">
        <w:t>139.</w:t>
      </w:r>
      <w:r w:rsidRPr="000E35E2">
        <w:tab/>
        <w:t xml:space="preserve">Государству-участнику силами </w:t>
      </w:r>
      <w:r w:rsidRPr="000E35E2">
        <w:rPr>
          <w:color w:val="000000"/>
        </w:rPr>
        <w:t>МОРГВДД</w:t>
      </w:r>
      <w:r w:rsidRPr="000E35E2">
        <w:t xml:space="preserve"> удалось создать 14</w:t>
      </w:r>
      <w:r>
        <w:t> </w:t>
      </w:r>
      <w:r w:rsidRPr="0048207B">
        <w:t>Информационных окон для женщин,</w:t>
      </w:r>
      <w:r w:rsidRPr="000E35E2">
        <w:rPr>
          <w:i/>
        </w:rPr>
        <w:t xml:space="preserve"> </w:t>
      </w:r>
      <w:r w:rsidRPr="000E35E2">
        <w:t xml:space="preserve">где сельские женщины могут получить информацию, касающуюся здравоохранения, образования, правовых вопросов, прав женщин и человека, предпринимательских навыков, земельных прав и приносящих доход проектов. Кроме того, государство-участник разработало Принципы национальной координации борьбы с </w:t>
      </w:r>
      <w:r>
        <w:t xml:space="preserve">гендерным </w:t>
      </w:r>
      <w:r w:rsidRPr="000E35E2">
        <w:t>насилием (</w:t>
      </w:r>
      <w:r>
        <w:t>ГН</w:t>
      </w:r>
      <w:r w:rsidRPr="000E35E2">
        <w:t xml:space="preserve">). </w:t>
      </w:r>
      <w:r>
        <w:t>Они</w:t>
      </w:r>
      <w:r w:rsidRPr="000E35E2">
        <w:t xml:space="preserve"> направлены, в частности, на упрощение координации </w:t>
      </w:r>
      <w:r>
        <w:t>действий всех заи</w:t>
      </w:r>
      <w:r>
        <w:t>н</w:t>
      </w:r>
      <w:r>
        <w:t>тересованных лиц, занимающихся борьбой с ГН</w:t>
      </w:r>
      <w:r w:rsidRPr="000E35E2">
        <w:t xml:space="preserve"> в стране.</w:t>
      </w:r>
    </w:p>
    <w:p w:rsidR="00AD593A" w:rsidRPr="000E35E2" w:rsidRDefault="00AD593A" w:rsidP="00AD593A">
      <w:pPr>
        <w:pStyle w:val="SingleTxt"/>
      </w:pPr>
      <w:r w:rsidRPr="000E35E2">
        <w:t>140.</w:t>
      </w:r>
      <w:r w:rsidRPr="000E35E2">
        <w:tab/>
        <w:t>Государство-участник также приняло меры для обеспечения сельским женщинам равного с мужчинами доступа к продовольствию. С целью дал</w:t>
      </w:r>
      <w:r w:rsidRPr="000E35E2">
        <w:t>ь</w:t>
      </w:r>
      <w:r w:rsidRPr="000E35E2">
        <w:t>нейшего развития данного подхода в 2009</w:t>
      </w:r>
      <w:r>
        <w:t> </w:t>
      </w:r>
      <w:r w:rsidRPr="000E35E2">
        <w:t>году государство-участник прист</w:t>
      </w:r>
      <w:r w:rsidRPr="000E35E2">
        <w:t>у</w:t>
      </w:r>
      <w:r w:rsidRPr="000E35E2">
        <w:t xml:space="preserve">пило к осуществлению программы, получившей название </w:t>
      </w:r>
      <w:r>
        <w:t>"</w:t>
      </w:r>
      <w:r w:rsidRPr="00995330">
        <w:t>Килимо Кванза</w:t>
      </w:r>
      <w:r>
        <w:t>"</w:t>
      </w:r>
      <w:r w:rsidRPr="000E35E2">
        <w:t xml:space="preserve"> (</w:t>
      </w:r>
      <w:r>
        <w:t>то есть "</w:t>
      </w:r>
      <w:r w:rsidRPr="000E35E2">
        <w:t>Сельское хозяйство</w:t>
      </w:r>
      <w:r w:rsidR="00F7009F">
        <w:t xml:space="preserve"> — </w:t>
      </w:r>
      <w:r w:rsidRPr="000E35E2">
        <w:t>приоритет</w:t>
      </w:r>
      <w:r>
        <w:t>"</w:t>
      </w:r>
      <w:r w:rsidRPr="000E35E2">
        <w:t>), цель которой</w:t>
      </w:r>
      <w:r w:rsidR="00F7009F">
        <w:t xml:space="preserve"> — </w:t>
      </w:r>
      <w:r w:rsidRPr="000E35E2">
        <w:t>уделить приорите</w:t>
      </w:r>
      <w:r w:rsidRPr="000E35E2">
        <w:t>т</w:t>
      </w:r>
      <w:r w:rsidRPr="000E35E2">
        <w:t xml:space="preserve">ное внимание сельскому хозяйству и осуществить </w:t>
      </w:r>
      <w:r>
        <w:t>"</w:t>
      </w:r>
      <w:r w:rsidRPr="000E35E2">
        <w:t>зеленую революцию</w:t>
      </w:r>
      <w:r>
        <w:t>"</w:t>
      </w:r>
      <w:r w:rsidRPr="000E35E2">
        <w:t xml:space="preserve"> в сельских районах Танзании. Эта программа, осуществляемая </w:t>
      </w:r>
      <w:r>
        <w:t xml:space="preserve">на </w:t>
      </w:r>
      <w:r w:rsidRPr="000E35E2">
        <w:t>материковой части Танзании, направлена на ускорение экономического роста, существенное с</w:t>
      </w:r>
      <w:r w:rsidRPr="000E35E2">
        <w:t>о</w:t>
      </w:r>
      <w:r w:rsidRPr="000E35E2">
        <w:t xml:space="preserve">кращение </w:t>
      </w:r>
      <w:r>
        <w:t>нищеты</w:t>
      </w:r>
      <w:r w:rsidRPr="000E35E2">
        <w:t xml:space="preserve"> и увеличение производства продовольствия в государстве-участнике</w:t>
      </w:r>
      <w:r w:rsidR="00F7009F">
        <w:rPr>
          <w:rStyle w:val="FootnoteReference"/>
        </w:rPr>
        <w:footnoteReference w:id="125"/>
      </w:r>
      <w:r w:rsidRPr="000E35E2">
        <w:t>. В рамках этой программы женщины, играющие ведущую роль в сельскохозяйственной отрасли, получают приоритетное право извлечения в</w:t>
      </w:r>
      <w:r w:rsidRPr="000E35E2">
        <w:t>ы</w:t>
      </w:r>
      <w:r w:rsidRPr="000E35E2">
        <w:t>годы из плодов их сельскохозяйственного труда.</w:t>
      </w:r>
    </w:p>
    <w:p w:rsidR="00AD593A" w:rsidRPr="000E35E2" w:rsidRDefault="00AD593A" w:rsidP="00AD593A">
      <w:pPr>
        <w:pStyle w:val="SingleTxt"/>
      </w:pPr>
      <w:r w:rsidRPr="000E35E2">
        <w:t>141.</w:t>
      </w:r>
      <w:r w:rsidRPr="000E35E2">
        <w:rPr>
          <w:b/>
        </w:rPr>
        <w:tab/>
      </w:r>
      <w:r w:rsidRPr="000E35E2">
        <w:rPr>
          <w:color w:val="000000"/>
        </w:rPr>
        <w:t>Комитет настоятельно призвал государство-участник принять необход</w:t>
      </w:r>
      <w:r w:rsidRPr="000E35E2">
        <w:rPr>
          <w:color w:val="000000"/>
        </w:rPr>
        <w:t>и</w:t>
      </w:r>
      <w:r w:rsidRPr="000E35E2">
        <w:rPr>
          <w:color w:val="000000"/>
        </w:rPr>
        <w:t>мые меры по ликвидации всех форм дискриминации в отношении сельских женщин применительно к собственности на землю.</w:t>
      </w:r>
      <w:r w:rsidRPr="000E35E2">
        <w:rPr>
          <w:bCs/>
        </w:rPr>
        <w:t xml:space="preserve"> Во исполнение этой рек</w:t>
      </w:r>
      <w:r w:rsidRPr="000E35E2">
        <w:rPr>
          <w:bCs/>
        </w:rPr>
        <w:t>о</w:t>
      </w:r>
      <w:r w:rsidRPr="000E35E2">
        <w:rPr>
          <w:bCs/>
        </w:rPr>
        <w:t>мендации Министерство земельных ресурсов Занзибара в течение отчетного периода успешно реализовало Земельную политику Занзибара (1992</w:t>
      </w:r>
      <w:r>
        <w:rPr>
          <w:bCs/>
        </w:rPr>
        <w:t> </w:t>
      </w:r>
      <w:r w:rsidRPr="000E35E2">
        <w:rPr>
          <w:bCs/>
        </w:rPr>
        <w:t>год), З</w:t>
      </w:r>
      <w:r w:rsidRPr="000E35E2">
        <w:rPr>
          <w:bCs/>
        </w:rPr>
        <w:t>а</w:t>
      </w:r>
      <w:r w:rsidRPr="000E35E2">
        <w:rPr>
          <w:bCs/>
        </w:rPr>
        <w:t>кон о земле (1993</w:t>
      </w:r>
      <w:r>
        <w:rPr>
          <w:bCs/>
        </w:rPr>
        <w:t> </w:t>
      </w:r>
      <w:r w:rsidRPr="000E35E2">
        <w:rPr>
          <w:bCs/>
        </w:rPr>
        <w:t>год)</w:t>
      </w:r>
      <w:r w:rsidR="00F7009F">
        <w:rPr>
          <w:rStyle w:val="FootnoteReference"/>
          <w:bCs/>
        </w:rPr>
        <w:footnoteReference w:id="126"/>
      </w:r>
      <w:r w:rsidRPr="000E35E2">
        <w:t>, Закон о земельных судах Занзибара (1994</w:t>
      </w:r>
      <w:r>
        <w:t> </w:t>
      </w:r>
      <w:r w:rsidRPr="000E35E2">
        <w:t>год) и П</w:t>
      </w:r>
      <w:r w:rsidRPr="000E35E2">
        <w:t>о</w:t>
      </w:r>
      <w:r w:rsidRPr="000E35E2">
        <w:t>литику водопользования Занзибара. Исполнение этих мер политики и законов обеспечивается земельным судом, Советом по ограничениям землепользования и судом при земельном регистре. Хотя в этих законах о земле не проведено в явной форме различие между мужчинами и женщинами, они гарантируют р</w:t>
      </w:r>
      <w:r w:rsidRPr="000E35E2">
        <w:t>а</w:t>
      </w:r>
      <w:r w:rsidRPr="000E35E2">
        <w:t>венство мужчин и женщин в вопросах землевладения и землепользования. В целях конкретного учета гендерной проблематики в настоящее время пер</w:t>
      </w:r>
      <w:r w:rsidRPr="000E35E2">
        <w:t>е</w:t>
      </w:r>
      <w:r w:rsidRPr="000E35E2">
        <w:t xml:space="preserve">сматривается Земельная политика, в которой будут учтены гендерные аспекты. </w:t>
      </w:r>
    </w:p>
    <w:p w:rsidR="00AD593A" w:rsidRDefault="00AD593A" w:rsidP="00AD593A">
      <w:pPr>
        <w:pStyle w:val="SingleTxt"/>
        <w:rPr>
          <w:lang w:val="en-US"/>
        </w:rPr>
      </w:pPr>
      <w:r w:rsidRPr="000E35E2">
        <w:t>142.</w:t>
      </w:r>
      <w:r w:rsidRPr="000E35E2">
        <w:tab/>
        <w:t xml:space="preserve">По данным </w:t>
      </w:r>
      <w:r w:rsidRPr="000E35E2">
        <w:rPr>
          <w:color w:val="000000"/>
        </w:rPr>
        <w:t>Национальной переписи населения и жилого фонда 2012</w:t>
      </w:r>
      <w:r>
        <w:rPr>
          <w:color w:val="000000"/>
        </w:rPr>
        <w:t> </w:t>
      </w:r>
      <w:r w:rsidRPr="000E35E2">
        <w:rPr>
          <w:color w:val="000000"/>
        </w:rPr>
        <w:t>года, 53,7</w:t>
      </w:r>
      <w:r>
        <w:rPr>
          <w:color w:val="000000"/>
        </w:rPr>
        <w:t> процента</w:t>
      </w:r>
      <w:r w:rsidRPr="000E35E2">
        <w:rPr>
          <w:color w:val="000000"/>
        </w:rPr>
        <w:t xml:space="preserve"> населения Занзибара проживают в сельских районах. В этих условиях значительным стимулом </w:t>
      </w:r>
      <w:r w:rsidRPr="000E35E2">
        <w:rPr>
          <w:bCs/>
        </w:rPr>
        <w:t xml:space="preserve">для исполнения </w:t>
      </w:r>
      <w:r w:rsidRPr="000E35E2">
        <w:rPr>
          <w:color w:val="000000"/>
        </w:rPr>
        <w:t>Закона о воде (2006</w:t>
      </w:r>
      <w:r>
        <w:rPr>
          <w:color w:val="000000"/>
        </w:rPr>
        <w:t> </w:t>
      </w:r>
      <w:r w:rsidRPr="000E35E2">
        <w:rPr>
          <w:color w:val="000000"/>
        </w:rPr>
        <w:t xml:space="preserve">год) стала </w:t>
      </w:r>
      <w:r w:rsidRPr="000E35E2">
        <w:rPr>
          <w:bCs/>
        </w:rPr>
        <w:t>Коллективная оценка качества оказания услуг. В основном гендерный аспект учитывается в проекте использования водных ресурсов, осуществля</w:t>
      </w:r>
      <w:r w:rsidRPr="000E35E2">
        <w:rPr>
          <w:bCs/>
        </w:rPr>
        <w:t>е</w:t>
      </w:r>
      <w:r w:rsidRPr="000E35E2">
        <w:rPr>
          <w:bCs/>
        </w:rPr>
        <w:t xml:space="preserve">мом Управлением водопользования Занзибара (УВЗ). В общинных комитетах водопользования уровень представительства женщин </w:t>
      </w:r>
      <w:r>
        <w:rPr>
          <w:bCs/>
        </w:rPr>
        <w:t>составляет 40 процентов.</w:t>
      </w:r>
      <w:r w:rsidRPr="000E35E2">
        <w:rPr>
          <w:bCs/>
        </w:rPr>
        <w:t xml:space="preserve"> Это призвано обеспечить активное участие женщин в решении вопросов ра</w:t>
      </w:r>
      <w:r w:rsidRPr="000E35E2">
        <w:rPr>
          <w:bCs/>
        </w:rPr>
        <w:t>з</w:t>
      </w:r>
      <w:r w:rsidRPr="000E35E2">
        <w:rPr>
          <w:bCs/>
        </w:rPr>
        <w:t>вития.</w:t>
      </w:r>
      <w:r w:rsidRPr="000E35E2">
        <w:t xml:space="preserve"> Кроме того, земельный суд рассматривал дела о правах наследования мужчин и женщин. В</w:t>
      </w:r>
      <w:r>
        <w:t> </w:t>
      </w:r>
      <w:r w:rsidRPr="000E35E2">
        <w:t>2010</w:t>
      </w:r>
      <w:r>
        <w:t> </w:t>
      </w:r>
      <w:r w:rsidRPr="000E35E2">
        <w:t>году в земельном суде было рассмотрено в общей сложности 220</w:t>
      </w:r>
      <w:r>
        <w:t> </w:t>
      </w:r>
      <w:r w:rsidRPr="000E35E2">
        <w:t xml:space="preserve">дел о земельных спорах, </w:t>
      </w:r>
      <w:r>
        <w:t>пять</w:t>
      </w:r>
      <w:r w:rsidRPr="000E35E2">
        <w:t xml:space="preserve"> (2,27</w:t>
      </w:r>
      <w:r>
        <w:t> процента</w:t>
      </w:r>
      <w:r w:rsidRPr="000E35E2">
        <w:t>) из которых были разрешены, а в 2011</w:t>
      </w:r>
      <w:r>
        <w:t> </w:t>
      </w:r>
      <w:r w:rsidRPr="000E35E2">
        <w:t>году было рассмотрено 246 таких дел, по 85 (34,6</w:t>
      </w:r>
      <w:r>
        <w:t> процента</w:t>
      </w:r>
      <w:r w:rsidRPr="000E35E2">
        <w:t>) из которых были вынесены решения. В</w:t>
      </w:r>
      <w:r>
        <w:t> </w:t>
      </w:r>
      <w:r w:rsidRPr="000E35E2">
        <w:t xml:space="preserve">целях искоренения дискриминационной практики наследования </w:t>
      </w:r>
      <w:r>
        <w:t>р</w:t>
      </w:r>
      <w:r w:rsidRPr="000E35E2">
        <w:t xml:space="preserve">еволюционное правительство Занзибара в настоящий момент завершает пересмотр </w:t>
      </w:r>
      <w:r w:rsidRPr="000E35E2">
        <w:rPr>
          <w:color w:val="000000"/>
        </w:rPr>
        <w:t>Закона о шариатском с</w:t>
      </w:r>
      <w:r w:rsidRPr="000E35E2">
        <w:rPr>
          <w:color w:val="000000"/>
        </w:rPr>
        <w:t>у</w:t>
      </w:r>
      <w:r w:rsidRPr="000E35E2">
        <w:rPr>
          <w:color w:val="000000"/>
        </w:rPr>
        <w:t>де, который правомочен, в частности, рассматривать дела о наследовании</w:t>
      </w:r>
      <w:r w:rsidRPr="000E35E2">
        <w:t xml:space="preserve">. Процесс пересмотра этого </w:t>
      </w:r>
      <w:r>
        <w:t>З</w:t>
      </w:r>
      <w:r w:rsidRPr="000E35E2">
        <w:t>акона имеет целью более четко определить обяза</w:t>
      </w:r>
      <w:r w:rsidRPr="000E35E2">
        <w:t>н</w:t>
      </w:r>
      <w:r w:rsidRPr="000E35E2">
        <w:t>ности шариатских судов по эффективному отправлению правосудия и оказ</w:t>
      </w:r>
      <w:r w:rsidRPr="000E35E2">
        <w:t>а</w:t>
      </w:r>
      <w:r w:rsidRPr="000E35E2">
        <w:t>нию услуг гражданам, обращающимся в суд.</w:t>
      </w:r>
    </w:p>
    <w:p w:rsidR="00F7009F" w:rsidRPr="00F7009F" w:rsidRDefault="00F7009F" w:rsidP="00F7009F">
      <w:pPr>
        <w:pStyle w:val="SingleTxt"/>
        <w:spacing w:after="0" w:line="120" w:lineRule="exact"/>
        <w:rPr>
          <w:sz w:val="10"/>
          <w:lang w:val="en-US"/>
        </w:rPr>
      </w:pPr>
    </w:p>
    <w:p w:rsidR="00AD593A" w:rsidRPr="000E35E2" w:rsidRDefault="00AD593A" w:rsidP="00F700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3" w:name="_Toc401576675"/>
      <w:r w:rsidRPr="000E35E2">
        <w:tab/>
      </w:r>
      <w:bookmarkStart w:id="44" w:name="_Toc417398647"/>
      <w:r w:rsidRPr="000E35E2">
        <w:t>1.2.5</w:t>
      </w:r>
      <w:r w:rsidRPr="000E35E2">
        <w:tab/>
      </w:r>
      <w:bookmarkEnd w:id="43"/>
      <w:r w:rsidRPr="00B42CB3">
        <w:t>Уязвимые</w:t>
      </w:r>
      <w:r w:rsidRPr="000E35E2">
        <w:t xml:space="preserve"> группы женщин</w:t>
      </w:r>
      <w:bookmarkEnd w:id="44"/>
      <w:r w:rsidRPr="000E35E2">
        <w:t xml:space="preserve"> </w:t>
      </w:r>
    </w:p>
    <w:p w:rsidR="00F7009F" w:rsidRPr="00F7009F" w:rsidRDefault="00F7009F" w:rsidP="00F7009F">
      <w:pPr>
        <w:pStyle w:val="SingleTxt"/>
        <w:spacing w:after="0" w:line="120" w:lineRule="exact"/>
        <w:rPr>
          <w:bCs/>
          <w:sz w:val="10"/>
        </w:rPr>
      </w:pPr>
    </w:p>
    <w:p w:rsidR="00AD593A" w:rsidRPr="000E35E2" w:rsidRDefault="00AD593A" w:rsidP="00AD593A">
      <w:pPr>
        <w:pStyle w:val="SingleTxt"/>
        <w:rPr>
          <w:bCs/>
        </w:rPr>
      </w:pPr>
      <w:r w:rsidRPr="000E35E2">
        <w:rPr>
          <w:bCs/>
        </w:rPr>
        <w:t>143.</w:t>
      </w:r>
      <w:r w:rsidRPr="000E35E2">
        <w:rPr>
          <w:bCs/>
        </w:rPr>
        <w:tab/>
        <w:t>Государство-участник продолжало действовать в соответствии с рекоме</w:t>
      </w:r>
      <w:r w:rsidRPr="000E35E2">
        <w:rPr>
          <w:bCs/>
        </w:rPr>
        <w:t>н</w:t>
      </w:r>
      <w:r w:rsidRPr="000E35E2">
        <w:rPr>
          <w:bCs/>
        </w:rPr>
        <w:t>дациями Комитета, касающимися уязвимых групп женщин, и претворять эти рекомендации в жизнь. В частности, оно приняло необходимые меры по оказ</w:t>
      </w:r>
      <w:r w:rsidRPr="000E35E2">
        <w:rPr>
          <w:bCs/>
        </w:rPr>
        <w:t>а</w:t>
      </w:r>
      <w:r w:rsidRPr="000E35E2">
        <w:rPr>
          <w:bCs/>
        </w:rPr>
        <w:t>нию широкого спектра медицинских услуг в рамках плана развития здрав</w:t>
      </w:r>
      <w:r w:rsidRPr="000E35E2">
        <w:rPr>
          <w:bCs/>
        </w:rPr>
        <w:t>о</w:t>
      </w:r>
      <w:r w:rsidRPr="000E35E2">
        <w:rPr>
          <w:bCs/>
        </w:rPr>
        <w:t>охранения, уделив особое внимание охвату медицинским обслуживанием представителей бедных и уязвимых групп населения, стариков, женщин и д</w:t>
      </w:r>
      <w:r w:rsidRPr="000E35E2">
        <w:rPr>
          <w:bCs/>
        </w:rPr>
        <w:t>е</w:t>
      </w:r>
      <w:r w:rsidRPr="000E35E2">
        <w:rPr>
          <w:bCs/>
        </w:rPr>
        <w:t>тей с инвалидностью, а также включив в этот план вопросы оказания поддер</w:t>
      </w:r>
      <w:r w:rsidRPr="000E35E2">
        <w:rPr>
          <w:bCs/>
        </w:rPr>
        <w:t>ж</w:t>
      </w:r>
      <w:r w:rsidRPr="000E35E2">
        <w:rPr>
          <w:bCs/>
        </w:rPr>
        <w:t>ки ВИЧ-инфицированным и больным СПИДом и вопросы лечения ВИЧ и СПИДа. Широкий спектр мер по оказанию неотложной помощи и социальной поддержки направлен на гарантирование основных прав и социальных льгот пожилым танзанийцам, больным ВИЧ/СПИДом и уязвимым детям, в соотве</w:t>
      </w:r>
      <w:r w:rsidRPr="000E35E2">
        <w:rPr>
          <w:bCs/>
        </w:rPr>
        <w:t>т</w:t>
      </w:r>
      <w:r w:rsidRPr="000E35E2">
        <w:rPr>
          <w:bCs/>
        </w:rPr>
        <w:t>ствии с Национальной политикой в области старения 2003 года, Национальной политикой по защите прав инвалидов 2004</w:t>
      </w:r>
      <w:r>
        <w:rPr>
          <w:bCs/>
        </w:rPr>
        <w:t> </w:t>
      </w:r>
      <w:r w:rsidRPr="000E35E2">
        <w:rPr>
          <w:bCs/>
        </w:rPr>
        <w:t xml:space="preserve">года и планом действий по защите наиболее уязвимых детей, в целях </w:t>
      </w:r>
      <w:r w:rsidRPr="000E35E2">
        <w:t xml:space="preserve">расширения и активизации участия женщин в разработке и реализации местных планов развития. </w:t>
      </w:r>
    </w:p>
    <w:p w:rsidR="00AD593A" w:rsidRPr="000E35E2" w:rsidRDefault="00AD593A" w:rsidP="00AD593A">
      <w:pPr>
        <w:pStyle w:val="SingleTxt"/>
      </w:pPr>
      <w:r w:rsidRPr="000E35E2">
        <w:rPr>
          <w:bCs/>
        </w:rPr>
        <w:t>144.</w:t>
      </w:r>
      <w:r w:rsidRPr="000E35E2">
        <w:rPr>
          <w:bCs/>
        </w:rPr>
        <w:tab/>
        <w:t>На Занзибаре государство-участник провело информационно-разъясни</w:t>
      </w:r>
      <w:r w:rsidR="00F7009F" w:rsidRPr="00F7009F">
        <w:rPr>
          <w:bCs/>
        </w:rPr>
        <w:softHyphen/>
      </w:r>
      <w:r w:rsidRPr="000E35E2">
        <w:rPr>
          <w:bCs/>
        </w:rPr>
        <w:t>тельные кампании для членов общин (с расширенным участием женщин) по вопросам владения землей. Например, в 2011</w:t>
      </w:r>
      <w:r>
        <w:rPr>
          <w:bCs/>
        </w:rPr>
        <w:t> </w:t>
      </w:r>
      <w:r w:rsidRPr="000E35E2">
        <w:rPr>
          <w:bCs/>
        </w:rPr>
        <w:t xml:space="preserve">году </w:t>
      </w:r>
      <w:r>
        <w:rPr>
          <w:bCs/>
        </w:rPr>
        <w:t xml:space="preserve">благодаря </w:t>
      </w:r>
      <w:r w:rsidRPr="000E35E2">
        <w:rPr>
          <w:bCs/>
        </w:rPr>
        <w:t>этим инициат</w:t>
      </w:r>
      <w:r w:rsidRPr="000E35E2">
        <w:rPr>
          <w:bCs/>
        </w:rPr>
        <w:t>и</w:t>
      </w:r>
      <w:r w:rsidRPr="000E35E2">
        <w:rPr>
          <w:bCs/>
        </w:rPr>
        <w:t>вам в общей сложности 97</w:t>
      </w:r>
      <w:r>
        <w:rPr>
          <w:bCs/>
        </w:rPr>
        <w:t> </w:t>
      </w:r>
      <w:r w:rsidRPr="000E35E2">
        <w:rPr>
          <w:bCs/>
        </w:rPr>
        <w:t>женщин подали заявления на регистрацию прав собственности на земельные участки и получили соответствующие свидетел</w:t>
      </w:r>
      <w:r w:rsidRPr="000E35E2">
        <w:rPr>
          <w:bCs/>
        </w:rPr>
        <w:t>ь</w:t>
      </w:r>
      <w:r w:rsidRPr="000E35E2">
        <w:rPr>
          <w:bCs/>
        </w:rPr>
        <w:t>ства.</w:t>
      </w:r>
      <w:r w:rsidRPr="000E35E2">
        <w:t xml:space="preserve"> Что касается политических мер, то одной из целей МКУЗА</w:t>
      </w:r>
      <w:r>
        <w:t> </w:t>
      </w:r>
      <w:r w:rsidRPr="000E35E2">
        <w:t>II является совершенствование социального обеспечения и социальной защиты бедных и уязвимых групп населения. Для достижения данной цели используется страт</w:t>
      </w:r>
      <w:r w:rsidRPr="000E35E2">
        <w:t>е</w:t>
      </w:r>
      <w:r w:rsidRPr="000E35E2">
        <w:t xml:space="preserve">гия, действующая в шести основных сферах, включающая, в частности </w:t>
      </w:r>
      <w:r>
        <w:t>"</w:t>
      </w:r>
      <w:r w:rsidRPr="000E35E2">
        <w:t>улу</w:t>
      </w:r>
      <w:r w:rsidRPr="000E35E2">
        <w:t>ч</w:t>
      </w:r>
      <w:r w:rsidRPr="000E35E2">
        <w:t>шение условий жизни и обслуживания пожилых людей, инвалидов, наиболее уязвимых детей и других</w:t>
      </w:r>
      <w:r>
        <w:t>"</w:t>
      </w:r>
      <w:r w:rsidRPr="000E35E2">
        <w:t>. В</w:t>
      </w:r>
      <w:r>
        <w:t> </w:t>
      </w:r>
      <w:r w:rsidRPr="000E35E2">
        <w:t xml:space="preserve">рамках проведения этой политики </w:t>
      </w:r>
      <w:r>
        <w:t>р</w:t>
      </w:r>
      <w:r w:rsidRPr="000E35E2">
        <w:t>еволюцио</w:t>
      </w:r>
      <w:r w:rsidRPr="000E35E2">
        <w:t>н</w:t>
      </w:r>
      <w:r w:rsidRPr="000E35E2">
        <w:t xml:space="preserve">ное правительство Занзибара провело исследование проблем </w:t>
      </w:r>
      <w:r>
        <w:t>нищеты</w:t>
      </w:r>
      <w:r w:rsidRPr="000E35E2">
        <w:t>, уязв</w:t>
      </w:r>
      <w:r w:rsidRPr="000E35E2">
        <w:t>и</w:t>
      </w:r>
      <w:r w:rsidRPr="000E35E2">
        <w:t>мости и социальной защиты на Занзибаре (2012</w:t>
      </w:r>
      <w:r>
        <w:t> </w:t>
      </w:r>
      <w:r w:rsidRPr="000E35E2">
        <w:t>год). Целью данного исслед</w:t>
      </w:r>
      <w:r w:rsidRPr="000E35E2">
        <w:t>о</w:t>
      </w:r>
      <w:r w:rsidRPr="000E35E2">
        <w:t>вания было совершенствование мер, направленных на усиление социальной защиты и ликвидацию пробелов в этой области на Занзибаре, а также на с</w:t>
      </w:r>
      <w:r w:rsidRPr="000E35E2">
        <w:t>о</w:t>
      </w:r>
      <w:r w:rsidRPr="000E35E2">
        <w:t>действие пониманию проблем различных уязвимых групп населения и на ра</w:t>
      </w:r>
      <w:r w:rsidRPr="000E35E2">
        <w:t>з</w:t>
      </w:r>
      <w:r w:rsidRPr="000E35E2">
        <w:t>работку более эффективных стратегий их поддержки. Результаты исслед</w:t>
      </w:r>
      <w:r w:rsidRPr="000E35E2">
        <w:t>о</w:t>
      </w:r>
      <w:r w:rsidRPr="000E35E2">
        <w:t xml:space="preserve">вания послужили источником фактической информации и были использованы для разработки Политики </w:t>
      </w:r>
      <w:r>
        <w:t xml:space="preserve">в области </w:t>
      </w:r>
      <w:r w:rsidRPr="000E35E2">
        <w:t>социальной защиты 2014</w:t>
      </w:r>
      <w:r>
        <w:t> </w:t>
      </w:r>
      <w:r w:rsidRPr="000E35E2">
        <w:t xml:space="preserve">года, направленной на совершенствование защиты пожилых женщин и мужчин. Силами </w:t>
      </w:r>
      <w:r>
        <w:t>р</w:t>
      </w:r>
      <w:r w:rsidRPr="000E35E2">
        <w:t>евол</w:t>
      </w:r>
      <w:r w:rsidRPr="000E35E2">
        <w:t>ю</w:t>
      </w:r>
      <w:r w:rsidRPr="000E35E2">
        <w:t>ционного правительства Занзибара государство-участник разработало Наци</w:t>
      </w:r>
      <w:r w:rsidRPr="000E35E2">
        <w:t>о</w:t>
      </w:r>
      <w:r w:rsidRPr="000E35E2">
        <w:t>нальный план действий по защите наиболее уязвимых детей (НУД) и создало структуры по оказанию помощи НУД на всех административных уровнях вплоть до уровня общин (шехиа).</w:t>
      </w:r>
    </w:p>
    <w:p w:rsidR="00AD593A" w:rsidRPr="000E35E2" w:rsidRDefault="00AD593A" w:rsidP="00AD593A">
      <w:pPr>
        <w:pStyle w:val="SingleTxt"/>
      </w:pPr>
      <w:r w:rsidRPr="000E35E2">
        <w:rPr>
          <w:spacing w:val="2"/>
        </w:rPr>
        <w:t>145.</w:t>
      </w:r>
      <w:r w:rsidRPr="000E35E2">
        <w:rPr>
          <w:spacing w:val="2"/>
        </w:rPr>
        <w:tab/>
        <w:t>Кроме того, в руководящих указаниях по планированию и составлению бюджетов на национальном уровне содержатся предписания всем отраслевым министерствам по выделению средств на оказание услуг пожилым людям, ос</w:t>
      </w:r>
      <w:r w:rsidRPr="000E35E2">
        <w:rPr>
          <w:spacing w:val="2"/>
        </w:rPr>
        <w:t>о</w:t>
      </w:r>
      <w:r w:rsidRPr="000E35E2">
        <w:rPr>
          <w:spacing w:val="2"/>
        </w:rPr>
        <w:t>бенно женщинам. На уровне шехиа некоторые пожилые люди получают госуда</w:t>
      </w:r>
      <w:r w:rsidRPr="000E35E2">
        <w:rPr>
          <w:spacing w:val="2"/>
        </w:rPr>
        <w:t>р</w:t>
      </w:r>
      <w:r w:rsidRPr="000E35E2">
        <w:rPr>
          <w:spacing w:val="2"/>
        </w:rPr>
        <w:t>ственные денежные пособия через окружные отделы социального обеспечения. Кроме того, президент уделял внимание вопросу оказания помощи пожилым людям, проводя плановые и внеплановые посещения учреждений, обслужива</w:t>
      </w:r>
      <w:r w:rsidRPr="000E35E2">
        <w:rPr>
          <w:spacing w:val="2"/>
        </w:rPr>
        <w:t>ю</w:t>
      </w:r>
      <w:r w:rsidRPr="000E35E2">
        <w:rPr>
          <w:spacing w:val="2"/>
        </w:rPr>
        <w:t>щих пожилых людей, в том числе в Велезо и Себулени на острове Унгуджа и в Гомбани, Лимбани и Макундени на острове Пемба. В настоящее время более 119</w:t>
      </w:r>
      <w:r>
        <w:rPr>
          <w:spacing w:val="2"/>
        </w:rPr>
        <w:t> </w:t>
      </w:r>
      <w:r w:rsidRPr="000E35E2">
        <w:rPr>
          <w:spacing w:val="2"/>
        </w:rPr>
        <w:t>пожилых людей (65</w:t>
      </w:r>
      <w:r>
        <w:rPr>
          <w:spacing w:val="2"/>
        </w:rPr>
        <w:t> </w:t>
      </w:r>
      <w:r w:rsidRPr="000E35E2">
        <w:rPr>
          <w:spacing w:val="2"/>
        </w:rPr>
        <w:t>мужчин и 54</w:t>
      </w:r>
      <w:r>
        <w:rPr>
          <w:spacing w:val="2"/>
        </w:rPr>
        <w:t> </w:t>
      </w:r>
      <w:r w:rsidRPr="000E35E2">
        <w:rPr>
          <w:spacing w:val="2"/>
        </w:rPr>
        <w:t>женщины) проживают в государственных домах для престарелых в Себулени, Велезо, Лимбани и Гомбани. Они получают ежемесячные денежные пособия в размере от 7000 до 25 000</w:t>
      </w:r>
      <w:r>
        <w:rPr>
          <w:spacing w:val="2"/>
        </w:rPr>
        <w:t> </w:t>
      </w:r>
      <w:r w:rsidRPr="000E35E2">
        <w:rPr>
          <w:spacing w:val="2"/>
        </w:rPr>
        <w:t>танзанийских ши</w:t>
      </w:r>
      <w:r w:rsidRPr="000E35E2">
        <w:rPr>
          <w:spacing w:val="2"/>
        </w:rPr>
        <w:t>л</w:t>
      </w:r>
      <w:r w:rsidRPr="000E35E2">
        <w:rPr>
          <w:spacing w:val="2"/>
        </w:rPr>
        <w:t>лингов, а также обеспечиваются питанием, медицинским обслуживанием, жил</w:t>
      </w:r>
      <w:r w:rsidRPr="000E35E2">
        <w:rPr>
          <w:spacing w:val="2"/>
        </w:rPr>
        <w:t>ь</w:t>
      </w:r>
      <w:r w:rsidRPr="000E35E2">
        <w:rPr>
          <w:spacing w:val="2"/>
        </w:rPr>
        <w:t>ем и одеждой</w:t>
      </w:r>
      <w:r w:rsidR="00F7009F">
        <w:rPr>
          <w:rStyle w:val="FootnoteReference"/>
        </w:rPr>
        <w:footnoteReference w:id="127"/>
      </w:r>
      <w:r w:rsidRPr="000E35E2">
        <w:rPr>
          <w:spacing w:val="2"/>
        </w:rPr>
        <w:t>. Тем не менее две трети пожилых людей в возрасте старше 60</w:t>
      </w:r>
      <w:r>
        <w:rPr>
          <w:spacing w:val="2"/>
        </w:rPr>
        <w:t> </w:t>
      </w:r>
      <w:r w:rsidRPr="000E35E2">
        <w:rPr>
          <w:spacing w:val="2"/>
        </w:rPr>
        <w:t>лет (80</w:t>
      </w:r>
      <w:r>
        <w:rPr>
          <w:spacing w:val="2"/>
        </w:rPr>
        <w:t> процентов</w:t>
      </w:r>
      <w:r w:rsidRPr="000E35E2">
        <w:rPr>
          <w:spacing w:val="2"/>
        </w:rPr>
        <w:t xml:space="preserve"> мужчин и 50</w:t>
      </w:r>
      <w:r>
        <w:rPr>
          <w:spacing w:val="2"/>
        </w:rPr>
        <w:t> процентов</w:t>
      </w:r>
      <w:r w:rsidRPr="000E35E2">
        <w:rPr>
          <w:spacing w:val="2"/>
        </w:rPr>
        <w:t xml:space="preserve"> женщин) продолжают работать, но не получают постоянного дохода (Help Age International Tanzania: 2009.</w:t>
      </w:r>
      <w:r>
        <w:rPr>
          <w:spacing w:val="2"/>
        </w:rPr>
        <w:t xml:space="preserve"> </w:t>
      </w:r>
      <w:r w:rsidRPr="000E35E2">
        <w:rPr>
          <w:spacing w:val="2"/>
        </w:rPr>
        <w:t>p.</w:t>
      </w:r>
      <w:r>
        <w:rPr>
          <w:spacing w:val="2"/>
        </w:rPr>
        <w:t> </w:t>
      </w:r>
      <w:r w:rsidRPr="000E35E2">
        <w:rPr>
          <w:spacing w:val="2"/>
        </w:rPr>
        <w:t>5).</w:t>
      </w:r>
      <w:r w:rsidRPr="000E35E2">
        <w:t xml:space="preserve"> </w:t>
      </w:r>
      <w:r w:rsidRPr="000E35E2">
        <w:rPr>
          <w:spacing w:val="2"/>
        </w:rPr>
        <w:t>Кроме того, в 2011</w:t>
      </w:r>
      <w:r>
        <w:rPr>
          <w:spacing w:val="2"/>
        </w:rPr>
        <w:t> </w:t>
      </w:r>
      <w:r w:rsidRPr="000E35E2">
        <w:rPr>
          <w:spacing w:val="2"/>
        </w:rPr>
        <w:t>году 3471</w:t>
      </w:r>
      <w:r>
        <w:rPr>
          <w:spacing w:val="2"/>
        </w:rPr>
        <w:t> </w:t>
      </w:r>
      <w:r w:rsidRPr="000E35E2">
        <w:rPr>
          <w:spacing w:val="2"/>
        </w:rPr>
        <w:t>уязвимое домохозяйство с НУД, вдовами и пож</w:t>
      </w:r>
      <w:r w:rsidRPr="000E35E2">
        <w:rPr>
          <w:spacing w:val="2"/>
        </w:rPr>
        <w:t>и</w:t>
      </w:r>
      <w:r w:rsidRPr="000E35E2">
        <w:rPr>
          <w:spacing w:val="2"/>
        </w:rPr>
        <w:t>лыми людьми обеспечивалось продуктами питания, жильем, получало лекарства и психологическую помощь, в то время как в 2009</w:t>
      </w:r>
      <w:r>
        <w:rPr>
          <w:spacing w:val="2"/>
        </w:rPr>
        <w:t> </w:t>
      </w:r>
      <w:r w:rsidRPr="000E35E2">
        <w:rPr>
          <w:spacing w:val="2"/>
        </w:rPr>
        <w:t>году такую поддержку пол</w:t>
      </w:r>
      <w:r w:rsidRPr="000E35E2">
        <w:rPr>
          <w:spacing w:val="2"/>
        </w:rPr>
        <w:t>у</w:t>
      </w:r>
      <w:r w:rsidRPr="000E35E2">
        <w:rPr>
          <w:spacing w:val="2"/>
        </w:rPr>
        <w:t>чили 8695</w:t>
      </w:r>
      <w:r>
        <w:rPr>
          <w:spacing w:val="2"/>
        </w:rPr>
        <w:t> </w:t>
      </w:r>
      <w:r w:rsidRPr="000E35E2">
        <w:rPr>
          <w:spacing w:val="2"/>
        </w:rPr>
        <w:t>домохозяйств</w:t>
      </w:r>
      <w:r w:rsidR="00F7009F">
        <w:rPr>
          <w:rStyle w:val="FootnoteReference"/>
        </w:rPr>
        <w:footnoteReference w:id="128"/>
      </w:r>
      <w:r w:rsidRPr="000E35E2">
        <w:rPr>
          <w:spacing w:val="2"/>
        </w:rPr>
        <w:t>.</w:t>
      </w:r>
    </w:p>
    <w:p w:rsidR="00AD593A" w:rsidRPr="000E35E2" w:rsidRDefault="00AD593A" w:rsidP="00AD593A">
      <w:pPr>
        <w:pStyle w:val="SingleTxt"/>
        <w:rPr>
          <w:spacing w:val="2"/>
        </w:rPr>
      </w:pPr>
      <w:r w:rsidRPr="000E35E2">
        <w:rPr>
          <w:bCs/>
          <w:spacing w:val="2"/>
        </w:rPr>
        <w:t>146.</w:t>
      </w:r>
      <w:r w:rsidRPr="000E35E2">
        <w:rPr>
          <w:bCs/>
          <w:spacing w:val="2"/>
        </w:rPr>
        <w:tab/>
        <w:t>Политика в отношении женщин и гендерного равенства направлена, в час</w:t>
      </w:r>
      <w:r w:rsidRPr="000E35E2">
        <w:rPr>
          <w:bCs/>
          <w:spacing w:val="2"/>
        </w:rPr>
        <w:t>т</w:t>
      </w:r>
      <w:r w:rsidRPr="000E35E2">
        <w:rPr>
          <w:bCs/>
          <w:spacing w:val="2"/>
        </w:rPr>
        <w:t>ности, на уменьшение неравенства между женщинами и мужчинами и на выя</w:t>
      </w:r>
      <w:r w:rsidRPr="000E35E2">
        <w:rPr>
          <w:bCs/>
          <w:spacing w:val="2"/>
        </w:rPr>
        <w:t>в</w:t>
      </w:r>
      <w:r w:rsidRPr="000E35E2">
        <w:rPr>
          <w:bCs/>
          <w:spacing w:val="2"/>
        </w:rPr>
        <w:t>ление проблем, требующих принятия конкретных действий, например проблем неравенства между женщинами и мужчинами в вопросах владения землей и наследования. В целях претворения этой политики в жизнь в статье</w:t>
      </w:r>
      <w:r>
        <w:rPr>
          <w:bCs/>
          <w:spacing w:val="2"/>
        </w:rPr>
        <w:t> </w:t>
      </w:r>
      <w:r w:rsidRPr="000E35E2">
        <w:rPr>
          <w:bCs/>
          <w:spacing w:val="2"/>
        </w:rPr>
        <w:t>10 Закона о правах ребенка (ЗПР) (2009</w:t>
      </w:r>
      <w:r>
        <w:rPr>
          <w:bCs/>
          <w:spacing w:val="2"/>
        </w:rPr>
        <w:t> </w:t>
      </w:r>
      <w:r w:rsidRPr="000E35E2">
        <w:rPr>
          <w:bCs/>
          <w:spacing w:val="2"/>
        </w:rPr>
        <w:t xml:space="preserve">год) категорически указано, что </w:t>
      </w:r>
      <w:r>
        <w:rPr>
          <w:bCs/>
          <w:spacing w:val="2"/>
        </w:rPr>
        <w:t>"</w:t>
      </w:r>
      <w:r w:rsidRPr="000E35E2">
        <w:rPr>
          <w:bCs/>
          <w:spacing w:val="2"/>
        </w:rPr>
        <w:t>никто не вправе лишить ребенка права разумно распоряжаться имуществом родителей</w:t>
      </w:r>
      <w:r>
        <w:rPr>
          <w:bCs/>
          <w:spacing w:val="2"/>
        </w:rPr>
        <w:t>"</w:t>
      </w:r>
      <w:r w:rsidRPr="000E35E2">
        <w:rPr>
          <w:bCs/>
          <w:spacing w:val="2"/>
        </w:rPr>
        <w:t>. Это п</w:t>
      </w:r>
      <w:r w:rsidRPr="000E35E2">
        <w:rPr>
          <w:bCs/>
          <w:spacing w:val="2"/>
        </w:rPr>
        <w:t>о</w:t>
      </w:r>
      <w:r w:rsidRPr="000E35E2">
        <w:rPr>
          <w:bCs/>
          <w:spacing w:val="2"/>
        </w:rPr>
        <w:t>ложение подкреплено положением, содержащимся в стать</w:t>
      </w:r>
      <w:r>
        <w:rPr>
          <w:bCs/>
          <w:spacing w:val="2"/>
        </w:rPr>
        <w:t>е </w:t>
      </w:r>
      <w:r w:rsidRPr="000E35E2">
        <w:rPr>
          <w:bCs/>
          <w:spacing w:val="2"/>
        </w:rPr>
        <w:t>5</w:t>
      </w:r>
      <w:r>
        <w:rPr>
          <w:bCs/>
          <w:spacing w:val="2"/>
        </w:rPr>
        <w:t xml:space="preserve"> (1) </w:t>
      </w:r>
      <w:r w:rsidRPr="000E35E2">
        <w:rPr>
          <w:bCs/>
          <w:spacing w:val="2"/>
        </w:rPr>
        <w:t>ЗПР, согласно которо</w:t>
      </w:r>
      <w:r>
        <w:rPr>
          <w:bCs/>
          <w:spacing w:val="2"/>
        </w:rPr>
        <w:t>й</w:t>
      </w:r>
      <w:r w:rsidRPr="000E35E2">
        <w:rPr>
          <w:bCs/>
          <w:spacing w:val="2"/>
        </w:rPr>
        <w:t xml:space="preserve"> </w:t>
      </w:r>
      <w:r>
        <w:rPr>
          <w:bCs/>
          <w:spacing w:val="2"/>
        </w:rPr>
        <w:t>"</w:t>
      </w:r>
      <w:r w:rsidRPr="000E35E2">
        <w:rPr>
          <w:bCs/>
          <w:spacing w:val="2"/>
        </w:rPr>
        <w:t>ребенок имеет право на жизнь, свободную от любой формы дискрим</w:t>
      </w:r>
      <w:r w:rsidRPr="000E35E2">
        <w:rPr>
          <w:bCs/>
          <w:spacing w:val="2"/>
        </w:rPr>
        <w:t>и</w:t>
      </w:r>
      <w:r w:rsidRPr="000E35E2">
        <w:rPr>
          <w:bCs/>
          <w:spacing w:val="2"/>
        </w:rPr>
        <w:t>нации</w:t>
      </w:r>
      <w:r>
        <w:rPr>
          <w:bCs/>
          <w:spacing w:val="2"/>
        </w:rPr>
        <w:t>"</w:t>
      </w:r>
      <w:r w:rsidRPr="000E35E2">
        <w:rPr>
          <w:bCs/>
          <w:spacing w:val="2"/>
        </w:rPr>
        <w:t xml:space="preserve">. В </w:t>
      </w:r>
      <w:r>
        <w:rPr>
          <w:bCs/>
          <w:spacing w:val="2"/>
        </w:rPr>
        <w:t>статье </w:t>
      </w:r>
      <w:r w:rsidRPr="000E35E2">
        <w:rPr>
          <w:bCs/>
          <w:spacing w:val="2"/>
        </w:rPr>
        <w:t>5</w:t>
      </w:r>
      <w:r>
        <w:rPr>
          <w:bCs/>
          <w:spacing w:val="2"/>
        </w:rPr>
        <w:t xml:space="preserve"> (2) </w:t>
      </w:r>
      <w:r w:rsidRPr="000E35E2">
        <w:rPr>
          <w:bCs/>
          <w:spacing w:val="2"/>
        </w:rPr>
        <w:t>ЗПР перечислены следующие основания для дискримин</w:t>
      </w:r>
      <w:r w:rsidRPr="000E35E2">
        <w:rPr>
          <w:bCs/>
          <w:spacing w:val="2"/>
        </w:rPr>
        <w:t>а</w:t>
      </w:r>
      <w:r w:rsidRPr="000E35E2">
        <w:rPr>
          <w:bCs/>
          <w:spacing w:val="2"/>
        </w:rPr>
        <w:t>ции в отношении ребенка</w:t>
      </w:r>
      <w:r>
        <w:rPr>
          <w:bCs/>
          <w:spacing w:val="2"/>
        </w:rPr>
        <w:t xml:space="preserve">: </w:t>
      </w:r>
      <w:r w:rsidRPr="000E35E2">
        <w:rPr>
          <w:bCs/>
          <w:spacing w:val="2"/>
        </w:rPr>
        <w:t>по признаку</w:t>
      </w:r>
      <w:r w:rsidRPr="000E35E2">
        <w:rPr>
          <w:bCs/>
          <w:i/>
          <w:spacing w:val="2"/>
        </w:rPr>
        <w:t xml:space="preserve"> </w:t>
      </w:r>
      <w:r w:rsidRPr="006918F3">
        <w:rPr>
          <w:bCs/>
          <w:spacing w:val="2"/>
        </w:rPr>
        <w:t>пола</w:t>
      </w:r>
      <w:r w:rsidRPr="000E35E2">
        <w:rPr>
          <w:bCs/>
          <w:spacing w:val="2"/>
        </w:rPr>
        <w:t>, расы, возраста, религии, языка, п</w:t>
      </w:r>
      <w:r w:rsidRPr="000E35E2">
        <w:rPr>
          <w:bCs/>
          <w:spacing w:val="2"/>
        </w:rPr>
        <w:t>о</w:t>
      </w:r>
      <w:r w:rsidRPr="000E35E2">
        <w:rPr>
          <w:bCs/>
          <w:spacing w:val="2"/>
        </w:rPr>
        <w:t xml:space="preserve">литических убеждений, инвалидности, состояния здоровья, обычая, этнического происхождения, проживания в сельской или городской местности, рождения, </w:t>
      </w:r>
      <w:r>
        <w:rPr>
          <w:bCs/>
          <w:spacing w:val="2"/>
        </w:rPr>
        <w:t>с</w:t>
      </w:r>
      <w:r>
        <w:rPr>
          <w:bCs/>
          <w:spacing w:val="2"/>
        </w:rPr>
        <w:t>о</w:t>
      </w:r>
      <w:r>
        <w:rPr>
          <w:bCs/>
          <w:spacing w:val="2"/>
        </w:rPr>
        <w:t>цио</w:t>
      </w:r>
      <w:r w:rsidRPr="000E35E2">
        <w:rPr>
          <w:bCs/>
          <w:spacing w:val="2"/>
        </w:rPr>
        <w:t>экономического положения, статуса беженца или иного статуса</w:t>
      </w:r>
      <w:r w:rsidRPr="000E35E2">
        <w:rPr>
          <w:spacing w:val="2"/>
        </w:rPr>
        <w:t>. Фактически это означает, что теперь девочкам и мальчикам гарантируется право наследов</w:t>
      </w:r>
      <w:r w:rsidRPr="000E35E2">
        <w:rPr>
          <w:spacing w:val="2"/>
        </w:rPr>
        <w:t>а</w:t>
      </w:r>
      <w:r w:rsidRPr="000E35E2">
        <w:rPr>
          <w:spacing w:val="2"/>
        </w:rPr>
        <w:t>ния в том случае, если их родители умерли, оставив наследуемое имущество.</w:t>
      </w:r>
    </w:p>
    <w:p w:rsidR="00AD593A" w:rsidRPr="000E35E2" w:rsidRDefault="00AD593A" w:rsidP="00AD593A">
      <w:pPr>
        <w:pStyle w:val="SingleTxt"/>
        <w:rPr>
          <w:bCs/>
          <w:spacing w:val="2"/>
        </w:rPr>
      </w:pPr>
      <w:r w:rsidRPr="000E35E2">
        <w:rPr>
          <w:spacing w:val="2"/>
        </w:rPr>
        <w:t>147.</w:t>
      </w:r>
      <w:r w:rsidRPr="000E35E2">
        <w:rPr>
          <w:spacing w:val="2"/>
        </w:rPr>
        <w:tab/>
        <w:t>Государство-участник по-прежнему сталкивается с рядом препятствий при обеспечении надлежащего осуществления описанных выше конституционных, политических и законодательных положений. Одним из основных препятствий является широкая распространенность традиционных социально-культурных норм и убеждений</w:t>
      </w:r>
      <w:r w:rsidR="00F7009F">
        <w:rPr>
          <w:rStyle w:val="FootnoteReference"/>
        </w:rPr>
        <w:footnoteReference w:id="129"/>
      </w:r>
      <w:r w:rsidRPr="000E35E2">
        <w:rPr>
          <w:spacing w:val="2"/>
        </w:rPr>
        <w:t>, согласно которым женщины, девочки и внебрачные дети не имеют права на владение землей или на наследование земли от своих уме</w:t>
      </w:r>
      <w:r w:rsidRPr="000E35E2">
        <w:rPr>
          <w:spacing w:val="2"/>
        </w:rPr>
        <w:t>р</w:t>
      </w:r>
      <w:r w:rsidRPr="000E35E2">
        <w:rPr>
          <w:spacing w:val="2"/>
        </w:rPr>
        <w:t>ших мужей или родителей на равных условиях с мужчинами или с детьми, ро</w:t>
      </w:r>
      <w:r w:rsidRPr="000E35E2">
        <w:rPr>
          <w:spacing w:val="2"/>
        </w:rPr>
        <w:t>ж</w:t>
      </w:r>
      <w:r w:rsidRPr="000E35E2">
        <w:rPr>
          <w:spacing w:val="2"/>
        </w:rPr>
        <w:t>денными в браке. Однако государство-участник проводит информационно-разъяснительные кампании для членов общин, пре</w:t>
      </w:r>
      <w:r>
        <w:rPr>
          <w:spacing w:val="2"/>
        </w:rPr>
        <w:t>имущественно в сельских районах.</w:t>
      </w:r>
      <w:r w:rsidRPr="000E35E2">
        <w:rPr>
          <w:spacing w:val="2"/>
        </w:rPr>
        <w:t xml:space="preserve"> Кроме того, в целях повышения осведомленности женщин, особенно женщин в сельских районах, об их праве на землю и собственность государство-участник в сотрудничестве с </w:t>
      </w:r>
      <w:r>
        <w:rPr>
          <w:spacing w:val="2"/>
        </w:rPr>
        <w:t>МОВ</w:t>
      </w:r>
      <w:r w:rsidRPr="000E35E2">
        <w:rPr>
          <w:spacing w:val="2"/>
        </w:rPr>
        <w:t xml:space="preserve"> и негосударственными структурами, в</w:t>
      </w:r>
      <w:r>
        <w:rPr>
          <w:spacing w:val="2"/>
        </w:rPr>
        <w:t> </w:t>
      </w:r>
      <w:r w:rsidRPr="000E35E2">
        <w:rPr>
          <w:spacing w:val="2"/>
        </w:rPr>
        <w:t xml:space="preserve">частности с ОО и </w:t>
      </w:r>
      <w:r>
        <w:rPr>
          <w:spacing w:val="2"/>
        </w:rPr>
        <w:t>РО</w:t>
      </w:r>
      <w:r w:rsidRPr="000E35E2">
        <w:rPr>
          <w:spacing w:val="2"/>
        </w:rPr>
        <w:t xml:space="preserve"> на местах, осуществляло программы повышения прав</w:t>
      </w:r>
      <w:r w:rsidRPr="000E35E2">
        <w:rPr>
          <w:spacing w:val="2"/>
        </w:rPr>
        <w:t>о</w:t>
      </w:r>
      <w:r w:rsidRPr="000E35E2">
        <w:rPr>
          <w:spacing w:val="2"/>
        </w:rPr>
        <w:t>вой грамотности и распространения сельскохозяйственной информации</w:t>
      </w:r>
      <w:r w:rsidRPr="000E35E2">
        <w:rPr>
          <w:bCs/>
          <w:spacing w:val="2"/>
        </w:rPr>
        <w:t xml:space="preserve">. </w:t>
      </w:r>
    </w:p>
    <w:p w:rsidR="00AD593A" w:rsidRPr="000E35E2" w:rsidRDefault="00AD593A" w:rsidP="00AD593A">
      <w:pPr>
        <w:pStyle w:val="SingleTxt"/>
        <w:rPr>
          <w:bCs/>
          <w:spacing w:val="2"/>
        </w:rPr>
      </w:pPr>
      <w:r w:rsidRPr="000E35E2">
        <w:rPr>
          <w:bCs/>
          <w:spacing w:val="2"/>
        </w:rPr>
        <w:t>148.</w:t>
      </w:r>
      <w:r w:rsidRPr="000E35E2">
        <w:rPr>
          <w:bCs/>
          <w:spacing w:val="2"/>
        </w:rPr>
        <w:tab/>
        <w:t>В частности, в 2012</w:t>
      </w:r>
      <w:r>
        <w:rPr>
          <w:bCs/>
          <w:spacing w:val="2"/>
        </w:rPr>
        <w:t> </w:t>
      </w:r>
      <w:r w:rsidRPr="000E35E2">
        <w:rPr>
          <w:bCs/>
          <w:spacing w:val="2"/>
        </w:rPr>
        <w:t>году Танзанийская ассоциация женщин-юристов (ТАЖЮ) провела обучение 120</w:t>
      </w:r>
      <w:r>
        <w:rPr>
          <w:bCs/>
          <w:spacing w:val="2"/>
        </w:rPr>
        <w:t> </w:t>
      </w:r>
      <w:r w:rsidRPr="000E35E2">
        <w:rPr>
          <w:bCs/>
          <w:spacing w:val="2"/>
        </w:rPr>
        <w:t>женщин из числа юридических сотрудников среднего звена в сельских районах Аруши, Додомы и Танги, чтобы улучшить их навыки и расширить их знания о широком спектре законов, включая земельное право, брачное право, наследственное право, законы о ВИЧ/СПИДе, защите д</w:t>
      </w:r>
      <w:r w:rsidRPr="000E35E2">
        <w:rPr>
          <w:bCs/>
          <w:spacing w:val="2"/>
        </w:rPr>
        <w:t>е</w:t>
      </w:r>
      <w:r w:rsidRPr="000E35E2">
        <w:rPr>
          <w:bCs/>
          <w:spacing w:val="2"/>
        </w:rPr>
        <w:t>тей, защите инвалидов и правах инвалидов. В дополнение к этим учебным пр</w:t>
      </w:r>
      <w:r w:rsidRPr="000E35E2">
        <w:rPr>
          <w:bCs/>
          <w:spacing w:val="2"/>
        </w:rPr>
        <w:t>о</w:t>
      </w:r>
      <w:r w:rsidRPr="000E35E2">
        <w:rPr>
          <w:bCs/>
          <w:spacing w:val="2"/>
        </w:rPr>
        <w:t xml:space="preserve">граммам ТАЖЮ вместе с рядом других НПО оказала поддержку государству-участнику, приняв участие в программах подготовки юридических сотрудников среднего звена на местах </w:t>
      </w:r>
      <w:r>
        <w:rPr>
          <w:bCs/>
          <w:spacing w:val="2"/>
        </w:rPr>
        <w:t>на</w:t>
      </w:r>
      <w:r w:rsidRPr="000E35E2">
        <w:rPr>
          <w:bCs/>
          <w:spacing w:val="2"/>
        </w:rPr>
        <w:t xml:space="preserve"> материковой части Танзании в рамках </w:t>
      </w:r>
      <w:r>
        <w:rPr>
          <w:bCs/>
          <w:spacing w:val="2"/>
        </w:rPr>
        <w:t>П</w:t>
      </w:r>
      <w:r w:rsidRPr="000E35E2">
        <w:rPr>
          <w:bCs/>
          <w:spacing w:val="2"/>
        </w:rPr>
        <w:t>рограммы реформы системы юстиции (ПРСЮ) совместно со службами правовой помощи (СПП), секретариатом</w:t>
      </w:r>
      <w:r w:rsidRPr="000E35E2">
        <w:rPr>
          <w:rFonts w:eastAsia="Times New Roman"/>
        </w:rPr>
        <w:t xml:space="preserve"> </w:t>
      </w:r>
      <w:r>
        <w:rPr>
          <w:bCs/>
          <w:spacing w:val="2"/>
        </w:rPr>
        <w:t>МЮКД</w:t>
      </w:r>
      <w:r w:rsidRPr="000E35E2">
        <w:rPr>
          <w:bCs/>
          <w:spacing w:val="2"/>
        </w:rPr>
        <w:t xml:space="preserve"> по оказанию правовой помощи и Обществом юристов Танганьики (ОЮТ), которые разработали учебные материалы и спосо</w:t>
      </w:r>
      <w:r w:rsidRPr="000E35E2">
        <w:rPr>
          <w:bCs/>
          <w:spacing w:val="2"/>
        </w:rPr>
        <w:t>б</w:t>
      </w:r>
      <w:r w:rsidRPr="000E35E2">
        <w:rPr>
          <w:bCs/>
          <w:spacing w:val="2"/>
        </w:rPr>
        <w:t>ствовали широкому распространению этих материалов среди юридических с</w:t>
      </w:r>
      <w:r w:rsidRPr="000E35E2">
        <w:rPr>
          <w:bCs/>
          <w:spacing w:val="2"/>
        </w:rPr>
        <w:t>о</w:t>
      </w:r>
      <w:r w:rsidRPr="000E35E2">
        <w:rPr>
          <w:bCs/>
          <w:spacing w:val="2"/>
        </w:rPr>
        <w:t>трудников среднего звена в стране. Юридические сотрудники среднего звена продолжают оказывать правовую помощь и повышать правовую грамотность уязвимых женщин, особенно в сельских районах.</w:t>
      </w:r>
    </w:p>
    <w:p w:rsidR="00AD593A" w:rsidRPr="000E35E2" w:rsidRDefault="00AD593A" w:rsidP="00AD593A">
      <w:pPr>
        <w:pStyle w:val="SingleTxt"/>
      </w:pPr>
      <w:r w:rsidRPr="000E35E2">
        <w:rPr>
          <w:bCs/>
        </w:rPr>
        <w:t>149.</w:t>
      </w:r>
      <w:r w:rsidRPr="000E35E2">
        <w:rPr>
          <w:bCs/>
        </w:rPr>
        <w:tab/>
        <w:t>Что касается Занзибара, то в течение отчетного периода ЦПУЗ вел 198</w:t>
      </w:r>
      <w:r>
        <w:rPr>
          <w:bCs/>
        </w:rPr>
        <w:t> </w:t>
      </w:r>
      <w:r w:rsidRPr="000E35E2">
        <w:rPr>
          <w:bCs/>
        </w:rPr>
        <w:t>дел о земельных спорах, 28</w:t>
      </w:r>
      <w:r>
        <w:rPr>
          <w:bCs/>
        </w:rPr>
        <w:t> </w:t>
      </w:r>
      <w:r w:rsidRPr="000E35E2">
        <w:rPr>
          <w:bCs/>
        </w:rPr>
        <w:t>из которых были инициированы женщинами</w:t>
      </w:r>
      <w:r w:rsidRPr="000E35E2">
        <w:t>. В</w:t>
      </w:r>
      <w:r>
        <w:t> </w:t>
      </w:r>
      <w:r w:rsidRPr="000E35E2">
        <w:t>2011</w:t>
      </w:r>
      <w:r>
        <w:t> </w:t>
      </w:r>
      <w:r w:rsidRPr="000E35E2">
        <w:t>году на острове Унгуджа было возбуждено в общей сложности 11</w:t>
      </w:r>
      <w:r>
        <w:t> </w:t>
      </w:r>
      <w:r w:rsidRPr="000E35E2">
        <w:t>наследственных дел, в шести случаях истцами были женщины. ЗАЖЮ, ЦПУЗ и Общество юристов Занзибара (ОЮЗ) продолжают вести информац</w:t>
      </w:r>
      <w:r w:rsidRPr="000E35E2">
        <w:t>и</w:t>
      </w:r>
      <w:r w:rsidRPr="000E35E2">
        <w:t>онно-пропагандистскую деятельностью, в частности стремясь обеспечить адекватное осуществление наследственных прав женщин и повысить прав</w:t>
      </w:r>
      <w:r w:rsidRPr="000E35E2">
        <w:t>о</w:t>
      </w:r>
      <w:r w:rsidRPr="000E35E2">
        <w:t xml:space="preserve">способность женщин </w:t>
      </w:r>
      <w:r>
        <w:t>на</w:t>
      </w:r>
      <w:r w:rsidRPr="000E35E2">
        <w:t xml:space="preserve"> Занзибаре. Эти ОГО наняли достаточное </w:t>
      </w:r>
      <w:r>
        <w:t>число</w:t>
      </w:r>
      <w:r w:rsidRPr="000E35E2">
        <w:t xml:space="preserve"> юр</w:t>
      </w:r>
      <w:r w:rsidRPr="000E35E2">
        <w:t>и</w:t>
      </w:r>
      <w:r w:rsidRPr="000E35E2">
        <w:t>дических сотрудников высшего и среднего звена для решения вопросов, кас</w:t>
      </w:r>
      <w:r w:rsidRPr="000E35E2">
        <w:t>а</w:t>
      </w:r>
      <w:r w:rsidRPr="000E35E2">
        <w:t xml:space="preserve">ющихся повышения правоспособности женщин в отраслевых министерствах. В целях расширения масштабов этих мероприятий </w:t>
      </w:r>
      <w:r>
        <w:t>р</w:t>
      </w:r>
      <w:r w:rsidRPr="000E35E2">
        <w:t>еволюционное правител</w:t>
      </w:r>
      <w:r w:rsidRPr="000E35E2">
        <w:t>ь</w:t>
      </w:r>
      <w:r w:rsidRPr="000E35E2">
        <w:t>ство Занзибара разрабатывает политику оказания юридической помощи, кот</w:t>
      </w:r>
      <w:r w:rsidRPr="000E35E2">
        <w:t>о</w:t>
      </w:r>
      <w:r w:rsidRPr="000E35E2">
        <w:t>рая будет содержать стратегические рекомендации и четко определит роли с</w:t>
      </w:r>
      <w:r w:rsidRPr="000E35E2">
        <w:t>о</w:t>
      </w:r>
      <w:r w:rsidRPr="000E35E2">
        <w:t xml:space="preserve">трудников, оказывающих юридическую помощь, чтобы эффективно помочь женщинам воспользоваться их правами наследования и гендерными правами. </w:t>
      </w:r>
    </w:p>
    <w:p w:rsidR="00AD593A" w:rsidRPr="000E35E2" w:rsidRDefault="00AD593A" w:rsidP="00AD593A">
      <w:pPr>
        <w:pStyle w:val="SingleTxt"/>
      </w:pPr>
      <w:r w:rsidRPr="000E35E2">
        <w:rPr>
          <w:bCs/>
        </w:rPr>
        <w:t>150.</w:t>
      </w:r>
      <w:r w:rsidRPr="000E35E2">
        <w:rPr>
          <w:bCs/>
        </w:rPr>
        <w:tab/>
        <w:t>Государство-участник уделяло особое внимание тяжелому положению женщин пожилого возраста и женщин-инвалидов с целью обеспечить, чтобы они в установленном порядке получали медицинскую помощь и социальную защиту, участвовали в процессе принятия решений, а также имели возмо</w:t>
      </w:r>
      <w:r w:rsidRPr="000E35E2">
        <w:rPr>
          <w:bCs/>
        </w:rPr>
        <w:t>ж</w:t>
      </w:r>
      <w:r w:rsidRPr="000E35E2">
        <w:rPr>
          <w:bCs/>
        </w:rPr>
        <w:t>ность найти работу, которая бы их устраивала. В рамках реализации МКУКУТА государство-участник также приняло специальные программы, направленные на снижение остроты проблемы нищеты среди этих женских групп, и на борьбу со всеми формами дискриминации, которой они подверг</w:t>
      </w:r>
      <w:r w:rsidRPr="000E35E2">
        <w:rPr>
          <w:bCs/>
        </w:rPr>
        <w:t>а</w:t>
      </w:r>
      <w:r w:rsidRPr="000E35E2">
        <w:rPr>
          <w:bCs/>
        </w:rPr>
        <w:t>ются, при помощи конституционных, политических, законодательных и адм</w:t>
      </w:r>
      <w:r w:rsidRPr="000E35E2">
        <w:rPr>
          <w:bCs/>
        </w:rPr>
        <w:t>и</w:t>
      </w:r>
      <w:r w:rsidRPr="000E35E2">
        <w:rPr>
          <w:bCs/>
        </w:rPr>
        <w:t>нистративных мер, описанных выше. В частности, в 2010</w:t>
      </w:r>
      <w:r>
        <w:rPr>
          <w:bCs/>
        </w:rPr>
        <w:t> </w:t>
      </w:r>
      <w:r w:rsidRPr="000E35E2">
        <w:rPr>
          <w:bCs/>
        </w:rPr>
        <w:t>году государство-участник приняло Закон об инвалидах (2010</w:t>
      </w:r>
      <w:r>
        <w:rPr>
          <w:bCs/>
        </w:rPr>
        <w:t> </w:t>
      </w:r>
      <w:r w:rsidRPr="000E35E2">
        <w:rPr>
          <w:bCs/>
        </w:rPr>
        <w:t>год)</w:t>
      </w:r>
      <w:r w:rsidR="00F7009F">
        <w:rPr>
          <w:rStyle w:val="FootnoteReference"/>
          <w:bCs/>
        </w:rPr>
        <w:footnoteReference w:id="130"/>
      </w:r>
      <w:r w:rsidRPr="000E35E2">
        <w:rPr>
          <w:bCs/>
        </w:rPr>
        <w:t>, основополагающими принципами которого</w:t>
      </w:r>
      <w:r w:rsidR="00F7009F">
        <w:rPr>
          <w:rStyle w:val="FootnoteReference"/>
          <w:bCs/>
        </w:rPr>
        <w:footnoteReference w:id="131"/>
      </w:r>
      <w:r w:rsidRPr="000E35E2">
        <w:rPr>
          <w:bCs/>
        </w:rPr>
        <w:t xml:space="preserve"> являются уважение человеческого достоинства, право человека на свободу выбора, независимость инвалидов, недопущение дискр</w:t>
      </w:r>
      <w:r w:rsidRPr="000E35E2">
        <w:rPr>
          <w:bCs/>
        </w:rPr>
        <w:t>и</w:t>
      </w:r>
      <w:r w:rsidRPr="000E35E2">
        <w:rPr>
          <w:bCs/>
        </w:rPr>
        <w:t>минации, полное и эффективное участие и включение инвалидов во все аспе</w:t>
      </w:r>
      <w:r w:rsidRPr="000E35E2">
        <w:rPr>
          <w:bCs/>
        </w:rPr>
        <w:t>к</w:t>
      </w:r>
      <w:r w:rsidRPr="000E35E2">
        <w:rPr>
          <w:bCs/>
        </w:rPr>
        <w:t>ты жизни общества</w:t>
      </w:r>
      <w:r w:rsidRPr="000E35E2">
        <w:t>. К другим принципам этого Закона относятся равенство возможностей, доступность, равноправие мужчин-инвалидов и женщин-инвалидов и признание их прав и потребностей, обеспечение нормальных условий жизни и социальной защиты.</w:t>
      </w:r>
    </w:p>
    <w:p w:rsidR="00AD593A" w:rsidRDefault="00AD593A" w:rsidP="00AD593A">
      <w:pPr>
        <w:pStyle w:val="SingleTxt"/>
        <w:rPr>
          <w:bCs/>
          <w:lang w:val="en-US"/>
        </w:rPr>
      </w:pPr>
      <w:r w:rsidRPr="000E35E2">
        <w:rPr>
          <w:bCs/>
        </w:rPr>
        <w:t>151.</w:t>
      </w:r>
      <w:r w:rsidRPr="000E35E2">
        <w:rPr>
          <w:bCs/>
        </w:rPr>
        <w:tab/>
        <w:t>Государство-участник также продолжает вести борьбу с традиционными представлениями о пожилых женщинах, в частности с предубеждениями, что они занимаются колдовством, и защищать женщин и девочек</w:t>
      </w:r>
      <w:r>
        <w:rPr>
          <w:bCs/>
        </w:rPr>
        <w:t xml:space="preserve"> – </w:t>
      </w:r>
      <w:r w:rsidRPr="000E35E2">
        <w:rPr>
          <w:bCs/>
        </w:rPr>
        <w:t>альбиносов от ритуальных убийств. Государство-участник продолжает привлекать к судебной ответственности лиц, виновных в совершении этих жестоких преступлений. Государство-участник также проводит кампании по повышению осведомле</w:t>
      </w:r>
      <w:r w:rsidRPr="000E35E2">
        <w:rPr>
          <w:bCs/>
        </w:rPr>
        <w:t>н</w:t>
      </w:r>
      <w:r w:rsidRPr="000E35E2">
        <w:rPr>
          <w:bCs/>
        </w:rPr>
        <w:t>ности общественности в целях искоренения негативных социальных, традиц</w:t>
      </w:r>
      <w:r w:rsidRPr="000E35E2">
        <w:rPr>
          <w:bCs/>
        </w:rPr>
        <w:t>и</w:t>
      </w:r>
      <w:r w:rsidRPr="000E35E2">
        <w:rPr>
          <w:bCs/>
        </w:rPr>
        <w:t>онных и культурных представлений в отношении пожилых женщин, женщин и девочек</w:t>
      </w:r>
      <w:r>
        <w:rPr>
          <w:bCs/>
        </w:rPr>
        <w:t xml:space="preserve"> – </w:t>
      </w:r>
      <w:r w:rsidRPr="000E35E2">
        <w:rPr>
          <w:bCs/>
        </w:rPr>
        <w:t>альбиносов.</w:t>
      </w:r>
    </w:p>
    <w:p w:rsidR="00F7009F" w:rsidRPr="00F7009F" w:rsidRDefault="00F7009F" w:rsidP="00F7009F">
      <w:pPr>
        <w:pStyle w:val="SingleTxt"/>
        <w:spacing w:after="0" w:line="120" w:lineRule="exact"/>
        <w:rPr>
          <w:bCs/>
          <w:sz w:val="10"/>
          <w:lang w:val="en-US"/>
        </w:rPr>
      </w:pPr>
    </w:p>
    <w:p w:rsidR="00AD593A" w:rsidRPr="000E35E2" w:rsidRDefault="00AD593A" w:rsidP="00F700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5" w:name="_Toc401576676"/>
      <w:r w:rsidRPr="000E35E2">
        <w:tab/>
      </w:r>
      <w:bookmarkStart w:id="46" w:name="_Toc417398648"/>
      <w:r w:rsidRPr="000E35E2">
        <w:t>1.2.6</w:t>
      </w:r>
      <w:r w:rsidRPr="000E35E2">
        <w:tab/>
      </w:r>
      <w:bookmarkEnd w:id="45"/>
      <w:r w:rsidRPr="000E35E2">
        <w:t>Женщины из числа беженцев</w:t>
      </w:r>
      <w:bookmarkEnd w:id="46"/>
      <w:r w:rsidRPr="000E35E2">
        <w:t xml:space="preserve"> </w:t>
      </w:r>
    </w:p>
    <w:p w:rsidR="00F7009F" w:rsidRPr="00F7009F" w:rsidRDefault="00F7009F" w:rsidP="00F7009F">
      <w:pPr>
        <w:pStyle w:val="SingleTxt"/>
        <w:spacing w:after="0" w:line="120" w:lineRule="exact"/>
        <w:rPr>
          <w:bCs/>
          <w:sz w:val="10"/>
        </w:rPr>
      </w:pPr>
    </w:p>
    <w:p w:rsidR="00AD593A" w:rsidRPr="000E35E2" w:rsidRDefault="00AD593A" w:rsidP="00AD593A">
      <w:pPr>
        <w:pStyle w:val="SingleTxt"/>
      </w:pPr>
      <w:r w:rsidRPr="000E35E2">
        <w:rPr>
          <w:bCs/>
        </w:rPr>
        <w:t>152.</w:t>
      </w:r>
      <w:r w:rsidRPr="000E35E2">
        <w:rPr>
          <w:bCs/>
        </w:rPr>
        <w:tab/>
        <w:t>Что касается информации о положении женщин-беженцев в юрисдикции государства-участника, то государство-участник хотело бы сообщить, что в настоящее время число беженцев и их лагерей в его юрисдикции сократилось. По состоянию на конец ноября 2013</w:t>
      </w:r>
      <w:r>
        <w:rPr>
          <w:bCs/>
        </w:rPr>
        <w:t> </w:t>
      </w:r>
      <w:r w:rsidRPr="000E35E2">
        <w:rPr>
          <w:bCs/>
        </w:rPr>
        <w:t>года численность беженцев и лиц, по</w:t>
      </w:r>
      <w:r w:rsidRPr="000E35E2">
        <w:rPr>
          <w:bCs/>
        </w:rPr>
        <w:t>д</w:t>
      </w:r>
      <w:r w:rsidRPr="000E35E2">
        <w:rPr>
          <w:bCs/>
        </w:rPr>
        <w:t xml:space="preserve">мандатных ВКБ </w:t>
      </w:r>
      <w:r>
        <w:rPr>
          <w:bCs/>
        </w:rPr>
        <w:t xml:space="preserve">ООН </w:t>
      </w:r>
      <w:r w:rsidRPr="000E35E2">
        <w:rPr>
          <w:bCs/>
        </w:rPr>
        <w:t>(</w:t>
      </w:r>
      <w:r w:rsidRPr="000E35E2">
        <w:t>преимущественно из ДРК</w:t>
      </w:r>
      <w:r w:rsidRPr="000E35E2">
        <w:rPr>
          <w:bCs/>
        </w:rPr>
        <w:t>)</w:t>
      </w:r>
      <w:r>
        <w:rPr>
          <w:bCs/>
        </w:rPr>
        <w:t xml:space="preserve"> и</w:t>
      </w:r>
      <w:r w:rsidRPr="000E35E2">
        <w:rPr>
          <w:bCs/>
        </w:rPr>
        <w:t xml:space="preserve"> находившихся на террит</w:t>
      </w:r>
      <w:r w:rsidRPr="000E35E2">
        <w:rPr>
          <w:bCs/>
        </w:rPr>
        <w:t>о</w:t>
      </w:r>
      <w:r w:rsidRPr="000E35E2">
        <w:rPr>
          <w:bCs/>
        </w:rPr>
        <w:t>рии государства-участника, составляла примерно 69 283 человека (в то время как в сентябре 2013</w:t>
      </w:r>
      <w:r>
        <w:rPr>
          <w:bCs/>
        </w:rPr>
        <w:t> </w:t>
      </w:r>
      <w:r w:rsidRPr="000E35E2">
        <w:rPr>
          <w:bCs/>
        </w:rPr>
        <w:t>года численность беженцев и лиц, подмандатных ВКБ</w:t>
      </w:r>
      <w:r>
        <w:rPr>
          <w:bCs/>
        </w:rPr>
        <w:t xml:space="preserve"> ООН</w:t>
      </w:r>
      <w:r w:rsidRPr="000E35E2">
        <w:rPr>
          <w:bCs/>
        </w:rPr>
        <w:t>, достигала 68 000</w:t>
      </w:r>
      <w:r>
        <w:rPr>
          <w:bCs/>
        </w:rPr>
        <w:t> </w:t>
      </w:r>
      <w:r w:rsidRPr="000E35E2">
        <w:rPr>
          <w:bCs/>
        </w:rPr>
        <w:t>человек</w:t>
      </w:r>
      <w:r w:rsidR="00F7009F">
        <w:rPr>
          <w:rStyle w:val="FootnoteReference"/>
          <w:bCs/>
        </w:rPr>
        <w:footnoteReference w:id="132"/>
      </w:r>
      <w:r w:rsidRPr="000E35E2">
        <w:t>). В настоящее время эти лица проживают в одном лагере (в</w:t>
      </w:r>
      <w:r>
        <w:t> </w:t>
      </w:r>
      <w:r w:rsidRPr="000E35E2">
        <w:t>2007</w:t>
      </w:r>
      <w:r>
        <w:t> </w:t>
      </w:r>
      <w:r w:rsidRPr="000E35E2">
        <w:t xml:space="preserve">году </w:t>
      </w:r>
      <w:r>
        <w:t>количество</w:t>
      </w:r>
      <w:r w:rsidRPr="000E35E2">
        <w:t xml:space="preserve"> лагерей достигало 11) в</w:t>
      </w:r>
      <w:r>
        <w:t> </w:t>
      </w:r>
      <w:r w:rsidRPr="000E35E2">
        <w:t>области Киг</w:t>
      </w:r>
      <w:r w:rsidRPr="000E35E2">
        <w:t>о</w:t>
      </w:r>
      <w:r w:rsidRPr="000E35E2">
        <w:t>ма</w:t>
      </w:r>
      <w:r w:rsidR="00F7009F">
        <w:rPr>
          <w:rStyle w:val="FootnoteReference"/>
        </w:rPr>
        <w:footnoteReference w:id="133"/>
      </w:r>
      <w:r w:rsidRPr="000E35E2">
        <w:t xml:space="preserve">. В соответствии с международным гуманитарным правом и внутренним правом государства-участника </w:t>
      </w:r>
      <w:r w:rsidRPr="000E35E2">
        <w:rPr>
          <w:bCs/>
        </w:rPr>
        <w:t>ВКБ</w:t>
      </w:r>
      <w:r>
        <w:rPr>
          <w:bCs/>
        </w:rPr>
        <w:t xml:space="preserve"> ООН</w:t>
      </w:r>
      <w:r w:rsidRPr="000E35E2">
        <w:t xml:space="preserve"> поручено проводить и координир</w:t>
      </w:r>
      <w:r w:rsidRPr="000E35E2">
        <w:t>о</w:t>
      </w:r>
      <w:r w:rsidRPr="000E35E2">
        <w:t>вать международные действия по защите беженцев и решению их проблем во всем м</w:t>
      </w:r>
      <w:r w:rsidRPr="000E35E2">
        <w:t>и</w:t>
      </w:r>
      <w:r w:rsidRPr="000E35E2">
        <w:t xml:space="preserve">ре. Главная цель </w:t>
      </w:r>
      <w:r w:rsidRPr="000E35E2">
        <w:rPr>
          <w:bCs/>
        </w:rPr>
        <w:t>ВКБ</w:t>
      </w:r>
      <w:r>
        <w:rPr>
          <w:bCs/>
        </w:rPr>
        <w:t xml:space="preserve"> ООН</w:t>
      </w:r>
      <w:r w:rsidRPr="000E35E2">
        <w:t xml:space="preserve"> заключается в защите прав и благополучия беженцев. </w:t>
      </w:r>
      <w:r w:rsidRPr="000E35E2">
        <w:rPr>
          <w:bCs/>
        </w:rPr>
        <w:t>ВКБ</w:t>
      </w:r>
      <w:r>
        <w:rPr>
          <w:bCs/>
        </w:rPr>
        <w:t xml:space="preserve"> ООН</w:t>
      </w:r>
      <w:r w:rsidRPr="000E35E2">
        <w:t xml:space="preserve"> стремится обеспечить, чтобы каждый мог осуществлять право искать и находить безопасное убежище в другом государстве, имея при этом возможность вернуться на родину, интегрироваться в местном сообщ</w:t>
      </w:r>
      <w:r w:rsidRPr="000E35E2">
        <w:t>е</w:t>
      </w:r>
      <w:r w:rsidRPr="000E35E2">
        <w:t xml:space="preserve">стве или переселиться в третью страну. В мандат </w:t>
      </w:r>
      <w:r w:rsidRPr="000E35E2">
        <w:rPr>
          <w:bCs/>
        </w:rPr>
        <w:t>ВКБ</w:t>
      </w:r>
      <w:r>
        <w:rPr>
          <w:bCs/>
        </w:rPr>
        <w:t xml:space="preserve"> ООН</w:t>
      </w:r>
      <w:r w:rsidRPr="000E35E2">
        <w:t xml:space="preserve"> также входит п</w:t>
      </w:r>
      <w:r w:rsidRPr="000E35E2">
        <w:t>о</w:t>
      </w:r>
      <w:r w:rsidRPr="000E35E2">
        <w:t xml:space="preserve">мощь лицам без гражданства. </w:t>
      </w:r>
      <w:r>
        <w:t>Он</w:t>
      </w:r>
      <w:r w:rsidRPr="000E35E2">
        <w:t xml:space="preserve"> работает в сотрудничестве со своими опер</w:t>
      </w:r>
      <w:r w:rsidRPr="000E35E2">
        <w:t>а</w:t>
      </w:r>
      <w:r w:rsidRPr="000E35E2">
        <w:t>тивными пар</w:t>
      </w:r>
      <w:r w:rsidRPr="000E35E2">
        <w:t>т</w:t>
      </w:r>
      <w:r w:rsidRPr="000E35E2">
        <w:t>нерами.</w:t>
      </w:r>
    </w:p>
    <w:p w:rsidR="00AD593A" w:rsidRPr="000E35E2" w:rsidRDefault="00AD593A" w:rsidP="00AD593A">
      <w:pPr>
        <w:pStyle w:val="SingleTxt"/>
      </w:pPr>
      <w:r w:rsidRPr="000E35E2">
        <w:t>153.</w:t>
      </w:r>
      <w:r w:rsidRPr="000E35E2">
        <w:tab/>
        <w:t>22</w:t>
      </w:r>
      <w:r>
        <w:t> </w:t>
      </w:r>
      <w:r w:rsidRPr="000E35E2">
        <w:t>июля 2013</w:t>
      </w:r>
      <w:r>
        <w:t> </w:t>
      </w:r>
      <w:r w:rsidRPr="000E35E2">
        <w:t xml:space="preserve">года </w:t>
      </w:r>
      <w:r w:rsidRPr="000E35E2">
        <w:rPr>
          <w:bCs/>
        </w:rPr>
        <w:t>ВКБ</w:t>
      </w:r>
      <w:r>
        <w:rPr>
          <w:bCs/>
        </w:rPr>
        <w:t xml:space="preserve"> ООН</w:t>
      </w:r>
      <w:r w:rsidRPr="000E35E2">
        <w:t xml:space="preserve"> официально передал лагерь Мтабила прав</w:t>
      </w:r>
      <w:r w:rsidRPr="000E35E2">
        <w:t>и</w:t>
      </w:r>
      <w:r w:rsidRPr="000E35E2">
        <w:t>тельству Танзании. Лагерь Мтабила был закрыт в декабре 2012 года после з</w:t>
      </w:r>
      <w:r w:rsidRPr="000E35E2">
        <w:t>а</w:t>
      </w:r>
      <w:r w:rsidRPr="000E35E2">
        <w:t>вершения процесса планомерного возвращения более 34 000</w:t>
      </w:r>
      <w:r>
        <w:t> </w:t>
      </w:r>
      <w:r w:rsidRPr="000E35E2">
        <w:t>бывших буру</w:t>
      </w:r>
      <w:r w:rsidRPr="000E35E2">
        <w:t>н</w:t>
      </w:r>
      <w:r w:rsidRPr="000E35E2">
        <w:t>дийских беженцев и перевода почти 3000</w:t>
      </w:r>
      <w:r>
        <w:t> </w:t>
      </w:r>
      <w:r w:rsidRPr="000E35E2">
        <w:t>человек, нуждающихся в дальнейшей международной защите, в лагерь Ньяругусу. Государство-участник в сотрудн</w:t>
      </w:r>
      <w:r w:rsidRPr="000E35E2">
        <w:t>и</w:t>
      </w:r>
      <w:r w:rsidRPr="000E35E2">
        <w:t xml:space="preserve">честве с </w:t>
      </w:r>
      <w:r w:rsidRPr="000E35E2">
        <w:rPr>
          <w:bCs/>
        </w:rPr>
        <w:t>ВКБ</w:t>
      </w:r>
      <w:r>
        <w:rPr>
          <w:bCs/>
        </w:rPr>
        <w:t xml:space="preserve"> ООН</w:t>
      </w:r>
      <w:r w:rsidRPr="000E35E2">
        <w:t xml:space="preserve"> и его оперативными партнерами и партнерами-исполнителями, предпринимало шаги по проведению расследований и наказ</w:t>
      </w:r>
      <w:r w:rsidRPr="000E35E2">
        <w:t>а</w:t>
      </w:r>
      <w:r w:rsidRPr="000E35E2">
        <w:t>нию всех исполнителей насильственных действий по отношению к беженцам, особенно к женщинам и девочкам</w:t>
      </w:r>
      <w:r w:rsidRPr="000E35E2">
        <w:rPr>
          <w:bCs/>
        </w:rPr>
        <w:t>. Кроме того, государство-участник силами Центра оказания правовой помощи женщинам (ЦППЖ) и танзанийской орг</w:t>
      </w:r>
      <w:r w:rsidRPr="000E35E2">
        <w:rPr>
          <w:bCs/>
        </w:rPr>
        <w:t>а</w:t>
      </w:r>
      <w:r w:rsidRPr="000E35E2">
        <w:rPr>
          <w:bCs/>
        </w:rPr>
        <w:t xml:space="preserve">низации </w:t>
      </w:r>
      <w:r>
        <w:rPr>
          <w:bCs/>
        </w:rPr>
        <w:t>"</w:t>
      </w:r>
      <w:r w:rsidRPr="000E35E2">
        <w:rPr>
          <w:bCs/>
        </w:rPr>
        <w:t>Доступное убежище</w:t>
      </w:r>
      <w:r>
        <w:rPr>
          <w:bCs/>
        </w:rPr>
        <w:t>"</w:t>
      </w:r>
      <w:r w:rsidRPr="000E35E2">
        <w:rPr>
          <w:bCs/>
        </w:rPr>
        <w:t xml:space="preserve"> (ААТ) оказывает правовую помощь нужда</w:t>
      </w:r>
      <w:r w:rsidRPr="000E35E2">
        <w:rPr>
          <w:bCs/>
        </w:rPr>
        <w:t>ю</w:t>
      </w:r>
      <w:r w:rsidRPr="000E35E2">
        <w:rPr>
          <w:bCs/>
        </w:rPr>
        <w:t>щимся беженцам</w:t>
      </w:r>
      <w:r w:rsidRPr="000E35E2">
        <w:t xml:space="preserve">. </w:t>
      </w:r>
      <w:r w:rsidRPr="000E35E2">
        <w:rPr>
          <w:bCs/>
        </w:rPr>
        <w:t>ВКБ</w:t>
      </w:r>
      <w:r>
        <w:rPr>
          <w:bCs/>
        </w:rPr>
        <w:t xml:space="preserve"> ООН</w:t>
      </w:r>
      <w:r w:rsidRPr="000E35E2">
        <w:t xml:space="preserve"> через своих партнеров-исполнителей, таких как Международный комитет спасения и ЦППЖ, оказывает юридическую помощь женщинам и девочкам – жертвам </w:t>
      </w:r>
      <w:r>
        <w:t>ГН</w:t>
      </w:r>
      <w:r w:rsidRPr="000E35E2">
        <w:t>. В</w:t>
      </w:r>
      <w:r>
        <w:t> </w:t>
      </w:r>
      <w:r w:rsidRPr="000E35E2">
        <w:t xml:space="preserve">частности, </w:t>
      </w:r>
      <w:r>
        <w:t>в</w:t>
      </w:r>
      <w:r w:rsidRPr="000E35E2">
        <w:t xml:space="preserve"> 2009</w:t>
      </w:r>
      <w:r>
        <w:t>–</w:t>
      </w:r>
      <w:r w:rsidRPr="000E35E2">
        <w:t>2013</w:t>
      </w:r>
      <w:r>
        <w:t> </w:t>
      </w:r>
      <w:r w:rsidRPr="000E35E2">
        <w:t>года</w:t>
      </w:r>
      <w:r>
        <w:t>х</w:t>
      </w:r>
      <w:r w:rsidRPr="000E35E2">
        <w:t xml:space="preserve"> ААТ ок</w:t>
      </w:r>
      <w:r w:rsidRPr="000E35E2">
        <w:t>а</w:t>
      </w:r>
      <w:r w:rsidRPr="000E35E2">
        <w:t>зала на территории государства-участника непосредственную юридическую поддержку</w:t>
      </w:r>
      <w:r>
        <w:t xml:space="preserve"> </w:t>
      </w:r>
      <w:r w:rsidRPr="000E35E2">
        <w:t>в общей сложности 515</w:t>
      </w:r>
      <w:r>
        <w:t> </w:t>
      </w:r>
      <w:r w:rsidRPr="000E35E2">
        <w:t>беженцам: 111</w:t>
      </w:r>
      <w:r>
        <w:t> </w:t>
      </w:r>
      <w:r w:rsidRPr="000E35E2">
        <w:t>женщинам и 404</w:t>
      </w:r>
      <w:r>
        <w:t> </w:t>
      </w:r>
      <w:r w:rsidRPr="000E35E2">
        <w:t xml:space="preserve">мужчинам. В тот же период ААТ оказала юридическую помощь </w:t>
      </w:r>
      <w:r>
        <w:t>пяти</w:t>
      </w:r>
      <w:r w:rsidRPr="000E35E2">
        <w:t xml:space="preserve"> мальчикам из 404 клиентов-мужчин; девочек среди лиц, которым была оказана юридическая п</w:t>
      </w:r>
      <w:r w:rsidRPr="000E35E2">
        <w:t>о</w:t>
      </w:r>
      <w:r w:rsidRPr="000E35E2">
        <w:t>мощь в этот период, не было.</w:t>
      </w:r>
    </w:p>
    <w:p w:rsidR="00AD593A" w:rsidRDefault="00AD593A" w:rsidP="00AD593A">
      <w:pPr>
        <w:pStyle w:val="SingleTxt"/>
        <w:rPr>
          <w:lang w:val="en-US"/>
        </w:rPr>
      </w:pPr>
      <w:r w:rsidRPr="000E35E2">
        <w:t>154.</w:t>
      </w:r>
      <w:r w:rsidRPr="000E35E2">
        <w:tab/>
        <w:t xml:space="preserve">Во взаимодействии с </w:t>
      </w:r>
      <w:r w:rsidRPr="000E35E2">
        <w:rPr>
          <w:bCs/>
        </w:rPr>
        <w:t>ВКБ</w:t>
      </w:r>
      <w:r>
        <w:rPr>
          <w:bCs/>
        </w:rPr>
        <w:t xml:space="preserve"> ООН</w:t>
      </w:r>
      <w:r w:rsidRPr="000E35E2">
        <w:t xml:space="preserve"> государство-участник обеспечивало же</w:t>
      </w:r>
      <w:r w:rsidRPr="000E35E2">
        <w:t>н</w:t>
      </w:r>
      <w:r w:rsidRPr="000E35E2">
        <w:t>щинам-бежен</w:t>
      </w:r>
      <w:r>
        <w:t>ц</w:t>
      </w:r>
      <w:r w:rsidRPr="000E35E2">
        <w:t>ам возможность принимать непосредственное и опосредованное участие в управлении распределением продовольственных и непродовол</w:t>
      </w:r>
      <w:r w:rsidRPr="000E35E2">
        <w:t>ь</w:t>
      </w:r>
      <w:r w:rsidRPr="000E35E2">
        <w:t>ственных товаров</w:t>
      </w:r>
      <w:r w:rsidRPr="000E35E2">
        <w:rPr>
          <w:iCs/>
        </w:rPr>
        <w:t>. В ноябре 2013</w:t>
      </w:r>
      <w:r>
        <w:rPr>
          <w:iCs/>
        </w:rPr>
        <w:t> </w:t>
      </w:r>
      <w:r w:rsidRPr="000E35E2">
        <w:rPr>
          <w:iCs/>
        </w:rPr>
        <w:t xml:space="preserve">года </w:t>
      </w:r>
      <w:r w:rsidRPr="000E35E2">
        <w:rPr>
          <w:bCs/>
        </w:rPr>
        <w:t>ВКБ</w:t>
      </w:r>
      <w:r>
        <w:rPr>
          <w:bCs/>
        </w:rPr>
        <w:t xml:space="preserve"> ООН</w:t>
      </w:r>
      <w:r w:rsidRPr="000E35E2">
        <w:rPr>
          <w:iCs/>
        </w:rPr>
        <w:t xml:space="preserve"> назначил женщин-беженцев, проживающих в лагере, представителями домохозяйств, тем самым предост</w:t>
      </w:r>
      <w:r w:rsidRPr="000E35E2">
        <w:rPr>
          <w:iCs/>
        </w:rPr>
        <w:t>а</w:t>
      </w:r>
      <w:r w:rsidRPr="000E35E2">
        <w:rPr>
          <w:iCs/>
        </w:rPr>
        <w:t>вив им возможность принять на себя ответственность за использование прод</w:t>
      </w:r>
      <w:r w:rsidRPr="000E35E2">
        <w:rPr>
          <w:iCs/>
        </w:rPr>
        <w:t>о</w:t>
      </w:r>
      <w:r w:rsidRPr="000E35E2">
        <w:rPr>
          <w:iCs/>
        </w:rPr>
        <w:t>вольственных карточек беженцев, в то время как мужчины были назначены вторыми представителями домохозяйств</w:t>
      </w:r>
      <w:r w:rsidRPr="000E35E2">
        <w:t xml:space="preserve">. Таким образом, впервые за время оказания помощи беженцам в Танзании женщины-беженцы были признаны главами домохозяйств. Ранее эти обязанности были мужской прерогативой. Государство-участник совместно с </w:t>
      </w:r>
      <w:r w:rsidRPr="000E35E2">
        <w:rPr>
          <w:bCs/>
        </w:rPr>
        <w:t>ВКБ</w:t>
      </w:r>
      <w:r>
        <w:rPr>
          <w:bCs/>
        </w:rPr>
        <w:t xml:space="preserve"> ООН</w:t>
      </w:r>
      <w:r w:rsidRPr="000E35E2">
        <w:t xml:space="preserve"> продолжает содействовать акти</w:t>
      </w:r>
      <w:r w:rsidRPr="000E35E2">
        <w:t>в</w:t>
      </w:r>
      <w:r w:rsidRPr="000E35E2">
        <w:t>ному участию женщин во всех управляющих и руководящих комитетах беже</w:t>
      </w:r>
      <w:r w:rsidRPr="000E35E2">
        <w:t>н</w:t>
      </w:r>
      <w:r w:rsidRPr="000E35E2">
        <w:t>цев в лагерях беженцев, в том числе в районах репатриации</w:t>
      </w:r>
      <w:r w:rsidRPr="000E35E2">
        <w:rPr>
          <w:iCs/>
        </w:rPr>
        <w:t>. Кроме того, гос</w:t>
      </w:r>
      <w:r w:rsidRPr="000E35E2">
        <w:rPr>
          <w:iCs/>
        </w:rPr>
        <w:t>у</w:t>
      </w:r>
      <w:r w:rsidRPr="000E35E2">
        <w:rPr>
          <w:iCs/>
        </w:rPr>
        <w:t>дарство-участник обязуется проводить индивидуальную регистрацию всех мужчин и женщин – беженцев и выдавать им соответствующие документы, обеспечивающие их личную безопасность, свободу передвижения и доступ к основным услугам</w:t>
      </w:r>
      <w:r w:rsidR="00F7009F">
        <w:rPr>
          <w:rStyle w:val="FootnoteReference"/>
          <w:iCs/>
        </w:rPr>
        <w:footnoteReference w:id="134"/>
      </w:r>
      <w:r w:rsidRPr="000E35E2">
        <w:rPr>
          <w:iCs/>
        </w:rPr>
        <w:t>. Кроме того, государство-участник продолжает обесп</w:t>
      </w:r>
      <w:r w:rsidRPr="000E35E2">
        <w:rPr>
          <w:iCs/>
        </w:rPr>
        <w:t>е</w:t>
      </w:r>
      <w:r w:rsidRPr="000E35E2">
        <w:rPr>
          <w:iCs/>
        </w:rPr>
        <w:t xml:space="preserve">чивать девочек и женщин в возрасте </w:t>
      </w:r>
      <w:r>
        <w:rPr>
          <w:iCs/>
        </w:rPr>
        <w:t xml:space="preserve">от </w:t>
      </w:r>
      <w:r w:rsidRPr="000E35E2">
        <w:rPr>
          <w:iCs/>
        </w:rPr>
        <w:t>13</w:t>
      </w:r>
      <w:r>
        <w:rPr>
          <w:iCs/>
        </w:rPr>
        <w:t xml:space="preserve"> до </w:t>
      </w:r>
      <w:r w:rsidRPr="000E35E2">
        <w:rPr>
          <w:iCs/>
        </w:rPr>
        <w:t>49</w:t>
      </w:r>
      <w:r>
        <w:rPr>
          <w:iCs/>
        </w:rPr>
        <w:t> </w:t>
      </w:r>
      <w:r w:rsidRPr="000E35E2">
        <w:rPr>
          <w:iCs/>
        </w:rPr>
        <w:t>лет, проживающих в лагерях беженцев, предметами санитарии и гигиены, что особенно важно для здоровья и достоинства женщин и девочек</w:t>
      </w:r>
      <w:r w:rsidRPr="000E35E2">
        <w:t>.</w:t>
      </w:r>
    </w:p>
    <w:p w:rsidR="00F7009F" w:rsidRPr="00F7009F" w:rsidRDefault="00F7009F" w:rsidP="00F7009F">
      <w:pPr>
        <w:pStyle w:val="SingleTxt"/>
        <w:spacing w:after="0" w:line="120" w:lineRule="exact"/>
        <w:rPr>
          <w:sz w:val="10"/>
          <w:lang w:val="en-US"/>
        </w:rPr>
      </w:pPr>
    </w:p>
    <w:p w:rsidR="00AD593A" w:rsidRPr="000E35E2" w:rsidRDefault="00AD593A" w:rsidP="00F700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7" w:name="_Toc401576677"/>
      <w:r w:rsidRPr="000E35E2">
        <w:tab/>
      </w:r>
      <w:bookmarkStart w:id="48" w:name="_Toc417398649"/>
      <w:r w:rsidRPr="000E35E2">
        <w:t>1.2.7</w:t>
      </w:r>
      <w:r w:rsidRPr="000E35E2">
        <w:tab/>
      </w:r>
      <w:bookmarkEnd w:id="47"/>
      <w:r w:rsidRPr="000E35E2">
        <w:t>Семейные отношения</w:t>
      </w:r>
      <w:bookmarkEnd w:id="48"/>
    </w:p>
    <w:p w:rsidR="00F7009F" w:rsidRPr="00F7009F" w:rsidRDefault="00F7009F" w:rsidP="00F7009F">
      <w:pPr>
        <w:pStyle w:val="SingleTxt"/>
        <w:spacing w:after="0" w:line="120" w:lineRule="exact"/>
        <w:rPr>
          <w:bCs/>
          <w:sz w:val="10"/>
        </w:rPr>
      </w:pPr>
    </w:p>
    <w:p w:rsidR="00AD593A" w:rsidRPr="000E35E2" w:rsidRDefault="00AD593A" w:rsidP="00AD593A">
      <w:pPr>
        <w:pStyle w:val="SingleTxt"/>
      </w:pPr>
      <w:r w:rsidRPr="000E35E2">
        <w:rPr>
          <w:bCs/>
        </w:rPr>
        <w:t>155.</w:t>
      </w:r>
      <w:r w:rsidRPr="000E35E2">
        <w:rPr>
          <w:bCs/>
        </w:rPr>
        <w:tab/>
        <w:t>Государство-участник выполнило рекомендацию Комитета об обеспеч</w:t>
      </w:r>
      <w:r w:rsidRPr="000E35E2">
        <w:rPr>
          <w:bCs/>
        </w:rPr>
        <w:t>е</w:t>
      </w:r>
      <w:r w:rsidRPr="000E35E2">
        <w:rPr>
          <w:bCs/>
        </w:rPr>
        <w:t>нии согласования норм гражданского, религиозного и обычного права с пол</w:t>
      </w:r>
      <w:r w:rsidRPr="000E35E2">
        <w:rPr>
          <w:bCs/>
        </w:rPr>
        <w:t>о</w:t>
      </w:r>
      <w:r w:rsidRPr="000E35E2">
        <w:rPr>
          <w:bCs/>
        </w:rPr>
        <w:t>жениями статьи 16 Конвенции. Государство-участник завершает реформиров</w:t>
      </w:r>
      <w:r w:rsidRPr="000E35E2">
        <w:rPr>
          <w:bCs/>
        </w:rPr>
        <w:t>а</w:t>
      </w:r>
      <w:r w:rsidRPr="000E35E2">
        <w:rPr>
          <w:bCs/>
        </w:rPr>
        <w:t>ние своего законодательства о брачно-семейных отношениях, с тем чтобы пр</w:t>
      </w:r>
      <w:r w:rsidRPr="000E35E2">
        <w:rPr>
          <w:bCs/>
        </w:rPr>
        <w:t>и</w:t>
      </w:r>
      <w:r w:rsidRPr="000E35E2">
        <w:rPr>
          <w:bCs/>
        </w:rPr>
        <w:t>вести свою нормативно-правовую базу в соответствие со статьями 15 и 16 Конвенции в конкретные сроки. Кроме того, в соответствии с требованиями правовой системы государства-участника, при возникновении коллизий между официальными законоположениями и обычным правом, официальные закон</w:t>
      </w:r>
      <w:r w:rsidRPr="000E35E2">
        <w:rPr>
          <w:bCs/>
        </w:rPr>
        <w:t>о</w:t>
      </w:r>
      <w:r w:rsidRPr="000E35E2">
        <w:rPr>
          <w:bCs/>
        </w:rPr>
        <w:t>положения имеют преобладающую силу</w:t>
      </w:r>
      <w:r w:rsidR="00F7009F">
        <w:rPr>
          <w:rStyle w:val="FootnoteReference"/>
          <w:bCs/>
        </w:rPr>
        <w:footnoteReference w:id="135"/>
      </w:r>
      <w:r w:rsidRPr="000E35E2">
        <w:rPr>
          <w:bCs/>
        </w:rPr>
        <w:t>. На</w:t>
      </w:r>
      <w:r>
        <w:rPr>
          <w:bCs/>
        </w:rPr>
        <w:t> </w:t>
      </w:r>
      <w:r w:rsidRPr="000E35E2">
        <w:rPr>
          <w:bCs/>
        </w:rPr>
        <w:t xml:space="preserve">конституционном уровне во втором проекте </w:t>
      </w:r>
      <w:r>
        <w:rPr>
          <w:bCs/>
        </w:rPr>
        <w:t>к</w:t>
      </w:r>
      <w:r w:rsidRPr="000E35E2">
        <w:rPr>
          <w:bCs/>
        </w:rPr>
        <w:t>онституции были приняты во внимание вопросы, касающиеся защиты достоинства мужчин и женщин во всех ситуациях, в том числе в бра</w:t>
      </w:r>
      <w:r w:rsidRPr="000E35E2">
        <w:rPr>
          <w:bCs/>
        </w:rPr>
        <w:t>ч</w:t>
      </w:r>
      <w:r w:rsidRPr="000E35E2">
        <w:rPr>
          <w:bCs/>
        </w:rPr>
        <w:t>ных отношениях</w:t>
      </w:r>
      <w:r w:rsidR="00F7009F">
        <w:rPr>
          <w:rStyle w:val="FootnoteReference"/>
          <w:bCs/>
        </w:rPr>
        <w:footnoteReference w:id="136"/>
      </w:r>
      <w:r w:rsidRPr="000E35E2">
        <w:rPr>
          <w:bCs/>
        </w:rPr>
        <w:t>.</w:t>
      </w:r>
    </w:p>
    <w:p w:rsidR="00AD593A" w:rsidRPr="000E35E2" w:rsidRDefault="00AD593A" w:rsidP="00AD593A">
      <w:pPr>
        <w:pStyle w:val="SingleTxt"/>
        <w:rPr>
          <w:bCs/>
        </w:rPr>
      </w:pPr>
      <w:r w:rsidRPr="000E35E2">
        <w:rPr>
          <w:bCs/>
        </w:rPr>
        <w:t>156.</w:t>
      </w:r>
      <w:r w:rsidRPr="000E35E2">
        <w:rPr>
          <w:bCs/>
        </w:rPr>
        <w:tab/>
        <w:t>В 2014</w:t>
      </w:r>
      <w:r w:rsidR="00F7009F">
        <w:rPr>
          <w:bCs/>
          <w:lang w:val="en-US"/>
        </w:rPr>
        <w:t> </w:t>
      </w:r>
      <w:r w:rsidRPr="000E35E2">
        <w:rPr>
          <w:bCs/>
        </w:rPr>
        <w:t>году государство-участник также провело национальную камп</w:t>
      </w:r>
      <w:r w:rsidRPr="000E35E2">
        <w:rPr>
          <w:bCs/>
        </w:rPr>
        <w:t>а</w:t>
      </w:r>
      <w:r w:rsidRPr="000E35E2">
        <w:rPr>
          <w:bCs/>
        </w:rPr>
        <w:t xml:space="preserve">нию </w:t>
      </w:r>
      <w:r w:rsidRPr="00A53274">
        <w:rPr>
          <w:bCs/>
        </w:rPr>
        <w:t xml:space="preserve">"Зона, свободная от </w:t>
      </w:r>
      <w:r>
        <w:rPr>
          <w:bCs/>
        </w:rPr>
        <w:t>детских браков</w:t>
      </w:r>
      <w:r w:rsidRPr="00A53274">
        <w:rPr>
          <w:bCs/>
        </w:rPr>
        <w:t>"</w:t>
      </w:r>
      <w:r w:rsidRPr="000E35E2">
        <w:rPr>
          <w:bCs/>
        </w:rPr>
        <w:t xml:space="preserve">, призванную расширить масштаб совместных усилий по искоренению </w:t>
      </w:r>
      <w:r>
        <w:rPr>
          <w:bCs/>
        </w:rPr>
        <w:t xml:space="preserve">детских </w:t>
      </w:r>
      <w:r w:rsidRPr="000E35E2">
        <w:rPr>
          <w:bCs/>
        </w:rPr>
        <w:t>браков в Танзании</w:t>
      </w:r>
      <w:r w:rsidRPr="000E35E2">
        <w:t>. Эта кампания перекликается с кампанией Африканского союза, начатой в мае 2014</w:t>
      </w:r>
      <w:r>
        <w:t> </w:t>
      </w:r>
      <w:r w:rsidRPr="000E35E2">
        <w:t>года. В Танзании камп</w:t>
      </w:r>
      <w:r>
        <w:t>ания стартовала в округе Тариме</w:t>
      </w:r>
      <w:r w:rsidRPr="000E35E2">
        <w:t xml:space="preserve"> област</w:t>
      </w:r>
      <w:r>
        <w:t>и</w:t>
      </w:r>
      <w:r w:rsidRPr="000E35E2">
        <w:t xml:space="preserve"> Мара. В</w:t>
      </w:r>
      <w:r>
        <w:t> </w:t>
      </w:r>
      <w:r w:rsidRPr="000E35E2">
        <w:t>августе 2014</w:t>
      </w:r>
      <w:r>
        <w:t> </w:t>
      </w:r>
      <w:r w:rsidRPr="000E35E2">
        <w:t xml:space="preserve">года </w:t>
      </w:r>
      <w:r>
        <w:t xml:space="preserve">она </w:t>
      </w:r>
      <w:r w:rsidRPr="000E35E2">
        <w:t>стартовала в Дар-эс-Саламе уже на национальном уровне, а в о</w:t>
      </w:r>
      <w:r w:rsidRPr="000E35E2">
        <w:t>к</w:t>
      </w:r>
      <w:r w:rsidRPr="000E35E2">
        <w:t>тябре 2014</w:t>
      </w:r>
      <w:r>
        <w:t> </w:t>
      </w:r>
      <w:r w:rsidRPr="000E35E2">
        <w:t>года сосредоточилась в Тариме в рамках празднования Междун</w:t>
      </w:r>
      <w:r w:rsidRPr="000E35E2">
        <w:t>а</w:t>
      </w:r>
      <w:r w:rsidRPr="000E35E2">
        <w:t>родного дня девочек</w:t>
      </w:r>
      <w:r w:rsidRPr="000E35E2">
        <w:rPr>
          <w:bCs/>
        </w:rPr>
        <w:t>. В кампании принимали участие представители разли</w:t>
      </w:r>
      <w:r w:rsidRPr="000E35E2">
        <w:rPr>
          <w:bCs/>
        </w:rPr>
        <w:t>ч</w:t>
      </w:r>
      <w:r w:rsidRPr="000E35E2">
        <w:rPr>
          <w:bCs/>
        </w:rPr>
        <w:t>ных слоев общества, в том числе девочки и мальчики</w:t>
      </w:r>
      <w:r>
        <w:rPr>
          <w:bCs/>
        </w:rPr>
        <w:t xml:space="preserve"> – </w:t>
      </w:r>
      <w:r w:rsidRPr="000E35E2">
        <w:rPr>
          <w:bCs/>
        </w:rPr>
        <w:t>подростки, молодежь, представители местных и национальных органов власти, традиционные и р</w:t>
      </w:r>
      <w:r w:rsidRPr="000E35E2">
        <w:rPr>
          <w:bCs/>
        </w:rPr>
        <w:t>е</w:t>
      </w:r>
      <w:r w:rsidRPr="000E35E2">
        <w:rPr>
          <w:bCs/>
        </w:rPr>
        <w:t xml:space="preserve">лигиозные лидеры, а также широкая общественность. </w:t>
      </w:r>
      <w:bookmarkStart w:id="49" w:name="_GoBack"/>
      <w:bookmarkEnd w:id="49"/>
    </w:p>
    <w:p w:rsidR="00AD593A" w:rsidRPr="000E35E2" w:rsidRDefault="00AD593A" w:rsidP="00AD593A">
      <w:pPr>
        <w:pStyle w:val="SingleTxt"/>
      </w:pPr>
      <w:r w:rsidRPr="000E35E2">
        <w:rPr>
          <w:bCs/>
        </w:rPr>
        <w:t>157.</w:t>
      </w:r>
      <w:r w:rsidRPr="000E35E2">
        <w:rPr>
          <w:bCs/>
        </w:rPr>
        <w:tab/>
        <w:t>На Занзибаре идет процесс пересмотра Декрета о браке (церемонии бр</w:t>
      </w:r>
      <w:r w:rsidRPr="000E35E2">
        <w:rPr>
          <w:bCs/>
        </w:rPr>
        <w:t>а</w:t>
      </w:r>
      <w:r w:rsidRPr="000E35E2">
        <w:rPr>
          <w:bCs/>
        </w:rPr>
        <w:t>косочетания и регистрации брака)</w:t>
      </w:r>
      <w:r w:rsidR="00F7009F">
        <w:rPr>
          <w:rStyle w:val="FootnoteReference"/>
          <w:bCs/>
        </w:rPr>
        <w:footnoteReference w:id="137"/>
      </w:r>
      <w:r>
        <w:rPr>
          <w:bCs/>
        </w:rPr>
        <w:t>,</w:t>
      </w:r>
      <w:r w:rsidRPr="000E35E2">
        <w:t xml:space="preserve"> с тем чтобы обязать вступающих в брак заключать брачные договоры/соглашения, в которых изложены обязанности супругов в браке и в случае его расторжения. Занзибар также пересматривает Декрет о наследовании</w:t>
      </w:r>
      <w:r w:rsidR="00F7009F">
        <w:rPr>
          <w:rStyle w:val="FootnoteReference"/>
        </w:rPr>
        <w:footnoteReference w:id="138"/>
      </w:r>
      <w:r w:rsidRPr="000E35E2">
        <w:t>, устаревший законодательный акт колониального периода, с тем чтобы процедуры наследования, которым следуют суды общей юрисдикции, были четко прописаны и надлежащим образом соблюдались. З</w:t>
      </w:r>
      <w:r w:rsidRPr="000E35E2">
        <w:t>а</w:t>
      </w:r>
      <w:r w:rsidRPr="000E35E2">
        <w:t>дача состоит в том, чтобы разработать правила процедуры, облегчающие ра</w:t>
      </w:r>
      <w:r w:rsidRPr="000E35E2">
        <w:t>с</w:t>
      </w:r>
      <w:r w:rsidRPr="000E35E2">
        <w:t xml:space="preserve">смотрение дел о наследовании в судах. </w:t>
      </w:r>
    </w:p>
    <w:p w:rsidR="00AD593A" w:rsidRDefault="00AD593A" w:rsidP="00AD593A">
      <w:pPr>
        <w:pStyle w:val="SingleTxt"/>
        <w:rPr>
          <w:bCs/>
          <w:lang w:val="en-US"/>
        </w:rPr>
      </w:pPr>
      <w:r w:rsidRPr="000E35E2">
        <w:rPr>
          <w:bCs/>
        </w:rPr>
        <w:t>158.</w:t>
      </w:r>
      <w:r w:rsidRPr="000E35E2">
        <w:rPr>
          <w:bCs/>
        </w:rPr>
        <w:tab/>
        <w:t>В рамках своей правовой системы государство-участник предусматривает, что нормы обычного права, противоречащие Конституции и официальным з</w:t>
      </w:r>
      <w:r w:rsidRPr="000E35E2">
        <w:rPr>
          <w:bCs/>
        </w:rPr>
        <w:t>а</w:t>
      </w:r>
      <w:r w:rsidRPr="000E35E2">
        <w:rPr>
          <w:bCs/>
        </w:rPr>
        <w:t xml:space="preserve">коноположениям, не имеют законной силы </w:t>
      </w:r>
      <w:r>
        <w:rPr>
          <w:bCs/>
        </w:rPr>
        <w:t>вплоть до признания их несосто</w:t>
      </w:r>
      <w:r>
        <w:rPr>
          <w:bCs/>
        </w:rPr>
        <w:t>я</w:t>
      </w:r>
      <w:r>
        <w:rPr>
          <w:bCs/>
        </w:rPr>
        <w:t>тельности</w:t>
      </w:r>
      <w:r w:rsidR="00F7009F">
        <w:rPr>
          <w:rStyle w:val="FootnoteReference"/>
          <w:bCs/>
        </w:rPr>
        <w:footnoteReference w:id="139"/>
      </w:r>
      <w:r w:rsidRPr="000E35E2">
        <w:rPr>
          <w:bCs/>
        </w:rPr>
        <w:t>.</w:t>
      </w:r>
      <w:r w:rsidRPr="000E35E2">
        <w:t xml:space="preserve"> Комитет также призвал г</w:t>
      </w:r>
      <w:r w:rsidRPr="000E35E2">
        <w:rPr>
          <w:bCs/>
        </w:rPr>
        <w:t>осударство-участник принять меры, направленные на искоренение полигамии, к чему призывает общая рекоменд</w:t>
      </w:r>
      <w:r w:rsidRPr="000E35E2">
        <w:rPr>
          <w:bCs/>
        </w:rPr>
        <w:t>а</w:t>
      </w:r>
      <w:r w:rsidRPr="000E35E2">
        <w:rPr>
          <w:bCs/>
        </w:rPr>
        <w:t>ция № 21 Комитета о равенстве в браке и в семейных отношениях. Госуда</w:t>
      </w:r>
      <w:r w:rsidRPr="000E35E2">
        <w:rPr>
          <w:bCs/>
        </w:rPr>
        <w:t>р</w:t>
      </w:r>
      <w:r w:rsidRPr="000E35E2">
        <w:rPr>
          <w:bCs/>
        </w:rPr>
        <w:t xml:space="preserve">ство-участник затронуло этот вопрос в рамках продолжающегося пересмотра и разработки </w:t>
      </w:r>
      <w:r>
        <w:rPr>
          <w:bCs/>
        </w:rPr>
        <w:t>к</w:t>
      </w:r>
      <w:r w:rsidRPr="000E35E2">
        <w:rPr>
          <w:bCs/>
        </w:rPr>
        <w:t>онституции. В ходе этого процесса граждане представляют свои рекомендации по ряду вопросов, в том числе касающихся обычного права и супружеских прав, с тем чтобы эти рекомендации нашли отражение в разраб</w:t>
      </w:r>
      <w:r w:rsidRPr="000E35E2">
        <w:rPr>
          <w:bCs/>
        </w:rPr>
        <w:t>а</w:t>
      </w:r>
      <w:r w:rsidRPr="000E35E2">
        <w:rPr>
          <w:bCs/>
        </w:rPr>
        <w:t xml:space="preserve">тываемой новой </w:t>
      </w:r>
      <w:r>
        <w:rPr>
          <w:bCs/>
        </w:rPr>
        <w:t>к</w:t>
      </w:r>
      <w:r w:rsidRPr="000E35E2">
        <w:rPr>
          <w:bCs/>
        </w:rPr>
        <w:t>онституции. К этим вопросам также относится статус обы</w:t>
      </w:r>
      <w:r w:rsidRPr="000E35E2">
        <w:rPr>
          <w:bCs/>
        </w:rPr>
        <w:t>ч</w:t>
      </w:r>
      <w:r w:rsidRPr="000E35E2">
        <w:rPr>
          <w:bCs/>
        </w:rPr>
        <w:t>ного права и супружеских прав.</w:t>
      </w:r>
    </w:p>
    <w:p w:rsidR="00F7009F" w:rsidRPr="00F7009F" w:rsidRDefault="00F7009F" w:rsidP="00F7009F">
      <w:pPr>
        <w:pStyle w:val="SingleTxt"/>
        <w:spacing w:after="0" w:line="120" w:lineRule="exact"/>
        <w:rPr>
          <w:bCs/>
          <w:sz w:val="10"/>
          <w:lang w:val="en-US"/>
        </w:rPr>
      </w:pPr>
    </w:p>
    <w:p w:rsidR="00F7009F" w:rsidRPr="00F7009F" w:rsidRDefault="00F7009F" w:rsidP="00F7009F">
      <w:pPr>
        <w:pStyle w:val="SingleTxt"/>
        <w:spacing w:after="0" w:line="120" w:lineRule="exact"/>
        <w:rPr>
          <w:bCs/>
          <w:sz w:val="10"/>
          <w:lang w:val="en-US"/>
        </w:rPr>
      </w:pPr>
    </w:p>
    <w:p w:rsidR="00AD593A" w:rsidRPr="000E35E2" w:rsidRDefault="00AD593A" w:rsidP="00F7009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0" w:name="_Toc401576678"/>
      <w:r w:rsidRPr="000E35E2">
        <w:tab/>
      </w:r>
      <w:bookmarkStart w:id="51" w:name="_Toc417398650"/>
      <w:r w:rsidRPr="000E35E2">
        <w:t>II.</w:t>
      </w:r>
      <w:r w:rsidRPr="000E35E2">
        <w:tab/>
      </w:r>
      <w:bookmarkEnd w:id="50"/>
      <w:r w:rsidRPr="000E35E2">
        <w:t>Осуществление других деклараций и планов действий</w:t>
      </w:r>
      <w:bookmarkEnd w:id="51"/>
    </w:p>
    <w:p w:rsidR="00F7009F" w:rsidRPr="00F7009F" w:rsidRDefault="00F7009F" w:rsidP="00F7009F">
      <w:pPr>
        <w:pStyle w:val="SingleTxt"/>
        <w:spacing w:after="0" w:line="120" w:lineRule="exact"/>
        <w:rPr>
          <w:sz w:val="10"/>
        </w:rPr>
      </w:pPr>
      <w:bookmarkStart w:id="52" w:name="_Toc401576679"/>
    </w:p>
    <w:p w:rsidR="00F7009F" w:rsidRPr="00F7009F" w:rsidRDefault="00F7009F" w:rsidP="00F7009F">
      <w:pPr>
        <w:pStyle w:val="SingleTxt"/>
        <w:spacing w:after="0" w:line="120" w:lineRule="exact"/>
        <w:rPr>
          <w:sz w:val="10"/>
        </w:rPr>
      </w:pPr>
    </w:p>
    <w:p w:rsidR="00AD593A" w:rsidRPr="000E35E2" w:rsidRDefault="00AD593A" w:rsidP="00F700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5E2">
        <w:tab/>
      </w:r>
      <w:bookmarkStart w:id="53" w:name="_Toc417398651"/>
      <w:r w:rsidRPr="000E35E2">
        <w:t>2.1</w:t>
      </w:r>
      <w:r w:rsidRPr="000E35E2">
        <w:tab/>
      </w:r>
      <w:bookmarkEnd w:id="52"/>
      <w:r w:rsidRPr="000E35E2">
        <w:t>Пекинская декларация и Платформа действий</w:t>
      </w:r>
      <w:bookmarkEnd w:id="53"/>
    </w:p>
    <w:p w:rsidR="00F7009F" w:rsidRPr="00F7009F" w:rsidRDefault="00F7009F" w:rsidP="00F7009F">
      <w:pPr>
        <w:pStyle w:val="SingleTxt"/>
        <w:spacing w:after="0" w:line="120" w:lineRule="exact"/>
        <w:rPr>
          <w:bCs/>
          <w:sz w:val="10"/>
        </w:rPr>
      </w:pPr>
    </w:p>
    <w:p w:rsidR="00F7009F" w:rsidRPr="00F7009F" w:rsidRDefault="00F7009F" w:rsidP="00F7009F">
      <w:pPr>
        <w:pStyle w:val="SingleTxt"/>
        <w:spacing w:after="0" w:line="120" w:lineRule="exact"/>
        <w:rPr>
          <w:bCs/>
          <w:sz w:val="10"/>
        </w:rPr>
      </w:pPr>
    </w:p>
    <w:p w:rsidR="00AD593A" w:rsidRPr="000E35E2" w:rsidRDefault="00AD593A" w:rsidP="00AD593A">
      <w:pPr>
        <w:pStyle w:val="SingleTxt"/>
        <w:rPr>
          <w:iCs/>
        </w:rPr>
      </w:pPr>
      <w:r w:rsidRPr="000E35E2">
        <w:rPr>
          <w:bCs/>
        </w:rPr>
        <w:t>159.</w:t>
      </w:r>
      <w:r w:rsidRPr="000E35E2">
        <w:rPr>
          <w:bCs/>
        </w:rPr>
        <w:tab/>
        <w:t>В отчетный период государство-участник продолжало выполнять свои обязательства в соответствии с Конвенцией по использованию в полной мере Пекинской декларации и Платформы действий, которые подкрепляют полож</w:t>
      </w:r>
      <w:r w:rsidRPr="000E35E2">
        <w:rPr>
          <w:bCs/>
        </w:rPr>
        <w:t>е</w:t>
      </w:r>
      <w:r w:rsidRPr="000E35E2">
        <w:rPr>
          <w:bCs/>
        </w:rPr>
        <w:t>ния Конвенции и были приняты на специальной сессии и четвертой Всемирной конференции по положению женщин</w:t>
      </w:r>
      <w:r w:rsidR="00F7009F" w:rsidRPr="000E35E2">
        <w:rPr>
          <w:bCs/>
        </w:rPr>
        <w:t xml:space="preserve"> </w:t>
      </w:r>
      <w:r w:rsidRPr="000E35E2">
        <w:rPr>
          <w:bCs/>
        </w:rPr>
        <w:t>(Пекин, 1995</w:t>
      </w:r>
      <w:r>
        <w:rPr>
          <w:bCs/>
        </w:rPr>
        <w:t> </w:t>
      </w:r>
      <w:r w:rsidRPr="000E35E2">
        <w:rPr>
          <w:bCs/>
        </w:rPr>
        <w:t>год)</w:t>
      </w:r>
      <w:r w:rsidRPr="000E35E2">
        <w:rPr>
          <w:iCs/>
        </w:rPr>
        <w:t xml:space="preserve">. </w:t>
      </w:r>
    </w:p>
    <w:p w:rsidR="00AD593A" w:rsidRPr="000E35E2" w:rsidRDefault="00AD593A" w:rsidP="00AD593A">
      <w:pPr>
        <w:pStyle w:val="SingleTxt"/>
      </w:pPr>
      <w:r w:rsidRPr="000E35E2">
        <w:t>160.</w:t>
      </w:r>
      <w:r w:rsidRPr="000E35E2">
        <w:tab/>
        <w:t>В отчетный период государство-участник достигло ряда успехов в деле осуществления Пекинской декларации и Платформы действий. Государство-участник учло конкретные потребности и условия Танзании и, как показано во всех разделах данного доклада, уделило приоритетное внимание отдельным областям действий в рамках осуществления Пекинской платформы действий и достижения ЦРТ. В частности, в Пекинской платформе действий были опред</w:t>
      </w:r>
      <w:r w:rsidRPr="000E35E2">
        <w:t>е</w:t>
      </w:r>
      <w:r w:rsidRPr="000E35E2">
        <w:t xml:space="preserve">лены </w:t>
      </w:r>
      <w:r>
        <w:t>12 </w:t>
      </w:r>
      <w:r w:rsidRPr="000E35E2">
        <w:t>основных областей действий, в том числе: женщины и нищета; же</w:t>
      </w:r>
      <w:r w:rsidRPr="000E35E2">
        <w:t>н</w:t>
      </w:r>
      <w:r w:rsidRPr="000E35E2">
        <w:t>щины в экономике; образование и профессиональная подготовка женщин; женщины и здоровье; насилие в отношении женщин; женщины в конфликтных ситуациях; женщины и власть и принятие решений; права человека женщин; женщины в средствах массовой информации; женщины и окружающая среда; девочки и ВИЧ/СПИД</w:t>
      </w:r>
      <w:r w:rsidRPr="000E35E2">
        <w:rPr>
          <w:vertAlign w:val="superscript"/>
        </w:rPr>
        <w:footnoteReference w:id="140"/>
      </w:r>
      <w:r w:rsidRPr="000E35E2">
        <w:t>.</w:t>
      </w:r>
    </w:p>
    <w:p w:rsidR="00AD593A" w:rsidRDefault="00AD593A" w:rsidP="00AD593A">
      <w:pPr>
        <w:pStyle w:val="SingleTxt"/>
        <w:rPr>
          <w:lang w:val="en-US"/>
        </w:rPr>
      </w:pPr>
      <w:r w:rsidRPr="000E35E2">
        <w:t>161.</w:t>
      </w:r>
      <w:r w:rsidRPr="000E35E2">
        <w:tab/>
        <w:t>В отчетный период государство-участник достигло ряда успехов в деле осуществления Пекинской декларации и Платформы действий. Правительство учло конкретные потребности и условия Танзании и уделило приоритетное внимание четырем указанным ниже областям действий в рамках осуществл</w:t>
      </w:r>
      <w:r w:rsidRPr="000E35E2">
        <w:t>е</w:t>
      </w:r>
      <w:r w:rsidRPr="000E35E2">
        <w:t>ния Пекинской платформы действий и достижения ЦРТ.</w:t>
      </w:r>
    </w:p>
    <w:p w:rsidR="00F7009F" w:rsidRPr="00F7009F" w:rsidRDefault="00F7009F" w:rsidP="00F7009F">
      <w:pPr>
        <w:pStyle w:val="SingleTxt"/>
        <w:spacing w:after="0" w:line="120" w:lineRule="exact"/>
        <w:rPr>
          <w:sz w:val="10"/>
          <w:lang w:val="en-US"/>
        </w:rPr>
      </w:pPr>
    </w:p>
    <w:p w:rsidR="00AD593A" w:rsidRPr="000E35E2" w:rsidRDefault="00AD593A" w:rsidP="00F7009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i/>
          <w:iCs/>
        </w:rPr>
      </w:pPr>
      <w:bookmarkStart w:id="54" w:name="_Toc401576680"/>
      <w:r w:rsidRPr="000E35E2">
        <w:tab/>
      </w:r>
      <w:bookmarkStart w:id="55" w:name="_Toc417398652"/>
      <w:r w:rsidRPr="000E35E2">
        <w:t>2.1.1</w:t>
      </w:r>
      <w:r w:rsidRPr="000E35E2">
        <w:tab/>
      </w:r>
      <w:bookmarkEnd w:id="54"/>
      <w:r w:rsidRPr="000E35E2">
        <w:t>Укрепление правоспособности женщин</w:t>
      </w:r>
      <w:bookmarkEnd w:id="55"/>
    </w:p>
    <w:p w:rsidR="00F7009F" w:rsidRPr="00F7009F" w:rsidRDefault="00F7009F" w:rsidP="00F7009F">
      <w:pPr>
        <w:pStyle w:val="SingleTxt"/>
        <w:spacing w:after="0" w:line="120" w:lineRule="exact"/>
        <w:rPr>
          <w:sz w:val="10"/>
        </w:rPr>
      </w:pPr>
    </w:p>
    <w:p w:rsidR="00AD593A" w:rsidRDefault="00AD593A" w:rsidP="00AD593A">
      <w:pPr>
        <w:pStyle w:val="SingleTxt"/>
        <w:rPr>
          <w:lang w:val="en-US"/>
        </w:rPr>
      </w:pPr>
      <w:r w:rsidRPr="000E35E2">
        <w:t>162.</w:t>
      </w:r>
      <w:r w:rsidRPr="000E35E2">
        <w:tab/>
        <w:t xml:space="preserve">Уровень правовой грамотности населения по-прежнему низок, и жертвы насилия в семье и </w:t>
      </w:r>
      <w:r>
        <w:t xml:space="preserve">гендерного </w:t>
      </w:r>
      <w:r w:rsidRPr="000E35E2">
        <w:t>насилия не получают надлежащей юридической помощи. Проведение серии семинаров по повышению осведомленности в о</w:t>
      </w:r>
      <w:r w:rsidRPr="000E35E2">
        <w:t>т</w:t>
      </w:r>
      <w:r w:rsidRPr="000E35E2">
        <w:t>ношении гендерных законов отчасти способствовало изменению этой ситу</w:t>
      </w:r>
      <w:r w:rsidRPr="000E35E2">
        <w:t>а</w:t>
      </w:r>
      <w:r w:rsidRPr="000E35E2">
        <w:t xml:space="preserve">ции. Кроме того, был проведен ряд исследований, направленных на повышение уровня правовой грамотности населения. Также были приняты </w:t>
      </w:r>
      <w:r>
        <w:t xml:space="preserve">пять </w:t>
      </w:r>
      <w:r w:rsidRPr="000E35E2">
        <w:t>новых з</w:t>
      </w:r>
      <w:r w:rsidRPr="000E35E2">
        <w:t>а</w:t>
      </w:r>
      <w:r w:rsidRPr="000E35E2">
        <w:t>конов, в том числе Закон о занятости (2005</w:t>
      </w:r>
      <w:r>
        <w:t> </w:t>
      </w:r>
      <w:r w:rsidRPr="000E35E2">
        <w:t>год), Закон о</w:t>
      </w:r>
      <w:r>
        <w:t> </w:t>
      </w:r>
      <w:r w:rsidRPr="000E35E2">
        <w:t>трудовых отношениях (2005</w:t>
      </w:r>
      <w:r>
        <w:t> </w:t>
      </w:r>
      <w:r w:rsidRPr="000E35E2">
        <w:t xml:space="preserve">год), </w:t>
      </w:r>
      <w:r w:rsidRPr="000E35E2">
        <w:rPr>
          <w:szCs w:val="17"/>
        </w:rPr>
        <w:t>Закон о компенсации за производственные травмы</w:t>
      </w:r>
      <w:r w:rsidRPr="000E35E2">
        <w:t xml:space="preserve"> (2005</w:t>
      </w:r>
      <w:r>
        <w:t> </w:t>
      </w:r>
      <w:r w:rsidRPr="000E35E2">
        <w:t>год), Закон о технике безопасности и гигиене труда (2005</w:t>
      </w:r>
      <w:r>
        <w:t> </w:t>
      </w:r>
      <w:r w:rsidRPr="000E35E2">
        <w:t>год) и Закон Занзибара о соц</w:t>
      </w:r>
      <w:r w:rsidRPr="000E35E2">
        <w:t>и</w:t>
      </w:r>
      <w:r w:rsidRPr="000E35E2">
        <w:t>альном обеспечении (2005</w:t>
      </w:r>
      <w:r>
        <w:t> </w:t>
      </w:r>
      <w:r w:rsidRPr="000E35E2">
        <w:t>год).</w:t>
      </w:r>
    </w:p>
    <w:p w:rsidR="00F7009F" w:rsidRPr="00F7009F" w:rsidRDefault="00F7009F" w:rsidP="00F7009F">
      <w:pPr>
        <w:pStyle w:val="SingleTxt"/>
        <w:spacing w:after="0" w:line="120" w:lineRule="exact"/>
        <w:rPr>
          <w:sz w:val="10"/>
          <w:lang w:val="en-US"/>
        </w:rPr>
      </w:pPr>
    </w:p>
    <w:p w:rsidR="00AD593A" w:rsidRPr="000E35E2" w:rsidRDefault="00AD593A" w:rsidP="00F700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6" w:name="_Toc401576681"/>
      <w:r w:rsidRPr="000E35E2">
        <w:tab/>
      </w:r>
      <w:bookmarkStart w:id="57" w:name="_Toc417398653"/>
      <w:r w:rsidRPr="000E35E2">
        <w:t>2.1.2</w:t>
      </w:r>
      <w:r w:rsidRPr="000E35E2">
        <w:tab/>
      </w:r>
      <w:bookmarkEnd w:id="56"/>
      <w:r w:rsidRPr="000E35E2">
        <w:t>Расширение экономических прав и возможностей женщин и искоренение нищеты</w:t>
      </w:r>
      <w:bookmarkEnd w:id="57"/>
    </w:p>
    <w:p w:rsidR="00F7009F" w:rsidRPr="00F7009F" w:rsidRDefault="00F7009F" w:rsidP="00F7009F">
      <w:pPr>
        <w:pStyle w:val="SingleTxt"/>
        <w:spacing w:after="0" w:line="120" w:lineRule="exact"/>
        <w:rPr>
          <w:sz w:val="10"/>
        </w:rPr>
      </w:pPr>
    </w:p>
    <w:p w:rsidR="00AD593A" w:rsidRDefault="00AD593A" w:rsidP="00AD593A">
      <w:pPr>
        <w:pStyle w:val="SingleTxt"/>
        <w:rPr>
          <w:lang w:val="en-US"/>
        </w:rPr>
      </w:pPr>
      <w:r w:rsidRPr="000E35E2">
        <w:t>163.</w:t>
      </w:r>
      <w:r w:rsidRPr="000E35E2">
        <w:tab/>
        <w:t>Доступ женщин к возможностям трудоустройства в официальном секторе ограничен; текущие статистические данные свидетельствуют о том, что же</w:t>
      </w:r>
      <w:r w:rsidRPr="000E35E2">
        <w:t>н</w:t>
      </w:r>
      <w:r w:rsidRPr="000E35E2">
        <w:t>щины составляют лишь 36,4</w:t>
      </w:r>
      <w:r>
        <w:t> </w:t>
      </w:r>
      <w:r w:rsidRPr="000E35E2">
        <w:t>процента работников официального сектора. Лишь 8,64</w:t>
      </w:r>
      <w:r>
        <w:t> </w:t>
      </w:r>
      <w:r w:rsidRPr="000E35E2">
        <w:t>процента работающих по найму женщин занимают руководящие и технические должности. Большинство женщин работа</w:t>
      </w:r>
      <w:r>
        <w:t>ю</w:t>
      </w:r>
      <w:r w:rsidRPr="000E35E2">
        <w:t>т в неформальном се</w:t>
      </w:r>
      <w:r w:rsidRPr="000E35E2">
        <w:t>к</w:t>
      </w:r>
      <w:r w:rsidRPr="000E35E2">
        <w:t>торе, занимаясь мелким бизнесом с низким уровнем доходов, в том числе ме</w:t>
      </w:r>
      <w:r w:rsidRPr="000E35E2">
        <w:t>л</w:t>
      </w:r>
      <w:r w:rsidRPr="000E35E2">
        <w:t>ким крестьянским хозяйством, разведением морских водорослей, гончарным делом и другими ремеслами.</w:t>
      </w:r>
    </w:p>
    <w:p w:rsidR="00F7009F" w:rsidRPr="00F7009F" w:rsidRDefault="00F7009F" w:rsidP="00F7009F">
      <w:pPr>
        <w:pStyle w:val="SingleTxt"/>
        <w:spacing w:after="0" w:line="120" w:lineRule="exact"/>
        <w:rPr>
          <w:sz w:val="10"/>
          <w:lang w:val="en-US"/>
        </w:rPr>
      </w:pPr>
    </w:p>
    <w:p w:rsidR="00AD593A" w:rsidRPr="000E35E2" w:rsidRDefault="00AD593A" w:rsidP="00F700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u w:val="single"/>
        </w:rPr>
      </w:pPr>
      <w:bookmarkStart w:id="58" w:name="_Toc401576682"/>
      <w:r w:rsidRPr="000E35E2">
        <w:tab/>
      </w:r>
      <w:bookmarkStart w:id="59" w:name="_Toc417398654"/>
      <w:r w:rsidRPr="000E35E2">
        <w:t>2.1.3</w:t>
      </w:r>
      <w:r w:rsidRPr="000E35E2">
        <w:tab/>
      </w:r>
      <w:bookmarkEnd w:id="58"/>
      <w:r w:rsidRPr="000E35E2">
        <w:t>Образование, профессиональная подготовка и занятость</w:t>
      </w:r>
      <w:bookmarkEnd w:id="59"/>
    </w:p>
    <w:p w:rsidR="00F7009F" w:rsidRPr="00F7009F" w:rsidRDefault="00F7009F" w:rsidP="00F7009F">
      <w:pPr>
        <w:pStyle w:val="SingleTxt"/>
        <w:spacing w:after="0" w:line="120" w:lineRule="exact"/>
        <w:rPr>
          <w:sz w:val="10"/>
        </w:rPr>
      </w:pPr>
    </w:p>
    <w:p w:rsidR="00AD593A" w:rsidRPr="000E35E2" w:rsidRDefault="00AD593A" w:rsidP="00AD593A">
      <w:pPr>
        <w:pStyle w:val="SingleTxt"/>
      </w:pPr>
      <w:r w:rsidRPr="000E35E2">
        <w:t>164.</w:t>
      </w:r>
      <w:r w:rsidRPr="000E35E2">
        <w:tab/>
        <w:t xml:space="preserve">В настоящее время выгодные возможности для женщин предлагают Фонд </w:t>
      </w:r>
      <w:r>
        <w:t>"</w:t>
      </w:r>
      <w:r w:rsidRPr="000E35E2">
        <w:t>Каруме и Киквете</w:t>
      </w:r>
      <w:r>
        <w:t>"</w:t>
      </w:r>
      <w:r w:rsidRPr="000E35E2">
        <w:t xml:space="preserve"> (Фонд КК) и ФЧСТ в рамках программы </w:t>
      </w:r>
      <w:r>
        <w:t>"</w:t>
      </w:r>
      <w:r w:rsidRPr="000E35E2">
        <w:t>Ворота для ра</w:t>
      </w:r>
      <w:r w:rsidRPr="000E35E2">
        <w:t>з</w:t>
      </w:r>
      <w:r w:rsidRPr="000E35E2">
        <w:t>вития бизнеса</w:t>
      </w:r>
      <w:r>
        <w:t>"</w:t>
      </w:r>
      <w:r w:rsidRPr="000E35E2">
        <w:t>. В 2008</w:t>
      </w:r>
      <w:r>
        <w:t>–</w:t>
      </w:r>
      <w:r w:rsidRPr="000E35E2">
        <w:t>2009</w:t>
      </w:r>
      <w:r>
        <w:t> </w:t>
      </w:r>
      <w:r w:rsidRPr="000E35E2">
        <w:t>годах Фонд КК зарезервировал для Занзибара 1,2</w:t>
      </w:r>
      <w:r>
        <w:t> </w:t>
      </w:r>
      <w:r w:rsidRPr="000E35E2">
        <w:t>млрд. танзанийских шиллингов в качестве денежного обеспечения займов, которые Народный банк Занзибара должен был предоставлять СКК и отдел</w:t>
      </w:r>
      <w:r w:rsidRPr="000E35E2">
        <w:t>ь</w:t>
      </w:r>
      <w:r w:rsidRPr="000E35E2">
        <w:t xml:space="preserve">ным </w:t>
      </w:r>
      <w:r>
        <w:t>МСП</w:t>
      </w:r>
      <w:r w:rsidRPr="000E35E2">
        <w:t>. Желающие получить заем владельцы МСП должны получить одо</w:t>
      </w:r>
      <w:r w:rsidRPr="000E35E2">
        <w:t>б</w:t>
      </w:r>
      <w:r w:rsidRPr="000E35E2">
        <w:t>рение со стороны руководителей их общин (шехиа), а СКК</w:t>
      </w:r>
      <w:r>
        <w:t xml:space="preserve"> – </w:t>
      </w:r>
      <w:r w:rsidRPr="000E35E2">
        <w:t>со стороны дол</w:t>
      </w:r>
      <w:r w:rsidRPr="000E35E2">
        <w:t>ж</w:t>
      </w:r>
      <w:r w:rsidRPr="000E35E2">
        <w:t>ностных лиц кооператива. Процентная ставка равна 10</w:t>
      </w:r>
      <w:r>
        <w:t> процентам</w:t>
      </w:r>
      <w:r w:rsidRPr="000E35E2">
        <w:t>, причем СКК не могут ссужать полученные средства более чем под 12</w:t>
      </w:r>
      <w:r>
        <w:t> процентов</w:t>
      </w:r>
      <w:r w:rsidRPr="000E35E2">
        <w:t>, в то время как процентная ставка по иным предоставляемым ими займам колебле</w:t>
      </w:r>
      <w:r w:rsidRPr="000E35E2">
        <w:t>т</w:t>
      </w:r>
      <w:r w:rsidRPr="000E35E2">
        <w:t>ся в диапазоне от 18 до 30</w:t>
      </w:r>
      <w:r>
        <w:t> процентов</w:t>
      </w:r>
      <w:r w:rsidRPr="000E35E2">
        <w:t xml:space="preserve">. Еще одну возможность представляет действующая программа </w:t>
      </w:r>
      <w:r>
        <w:t>"</w:t>
      </w:r>
      <w:r w:rsidRPr="000E35E2">
        <w:t>Ворота для развития бизнеса</w:t>
      </w:r>
      <w:r>
        <w:t>"</w:t>
      </w:r>
      <w:r w:rsidRPr="000E35E2">
        <w:t>, которая направлена на укрепление культуры предпринимательства в Танзании</w:t>
      </w:r>
      <w:r w:rsidRPr="000E35E2">
        <w:rPr>
          <w:bCs/>
        </w:rPr>
        <w:t xml:space="preserve">. Потенциальные предприниматели получают денежные средства – </w:t>
      </w:r>
      <w:r>
        <w:rPr>
          <w:bCs/>
        </w:rPr>
        <w:t>"</w:t>
      </w:r>
      <w:r w:rsidRPr="000E35E2">
        <w:rPr>
          <w:bCs/>
        </w:rPr>
        <w:t>рисковые гранты</w:t>
      </w:r>
      <w:r>
        <w:rPr>
          <w:bCs/>
        </w:rPr>
        <w:t>"</w:t>
      </w:r>
      <w:r w:rsidRPr="000E35E2">
        <w:rPr>
          <w:bCs/>
        </w:rPr>
        <w:t xml:space="preserve"> – в кач</w:t>
      </w:r>
      <w:r w:rsidRPr="000E35E2">
        <w:rPr>
          <w:bCs/>
        </w:rPr>
        <w:t>е</w:t>
      </w:r>
      <w:r w:rsidRPr="000E35E2">
        <w:rPr>
          <w:bCs/>
        </w:rPr>
        <w:t xml:space="preserve">стве стартового капитала для начала или развития бизнеса. Программа </w:t>
      </w:r>
      <w:r>
        <w:rPr>
          <w:bCs/>
        </w:rPr>
        <w:t>"</w:t>
      </w:r>
      <w:r w:rsidRPr="000E35E2">
        <w:rPr>
          <w:bCs/>
        </w:rPr>
        <w:t>Ворота для развития бизнеса</w:t>
      </w:r>
      <w:r>
        <w:rPr>
          <w:bCs/>
        </w:rPr>
        <w:t>"</w:t>
      </w:r>
      <w:r w:rsidRPr="000E35E2">
        <w:rPr>
          <w:bCs/>
        </w:rPr>
        <w:t xml:space="preserve"> сотрудничает с местными ключевыми партнерами, сп</w:t>
      </w:r>
      <w:r w:rsidRPr="000E35E2">
        <w:rPr>
          <w:bCs/>
        </w:rPr>
        <w:t>е</w:t>
      </w:r>
      <w:r w:rsidRPr="000E35E2">
        <w:rPr>
          <w:bCs/>
        </w:rPr>
        <w:t>циализирующимися в области обучения ведению бизнеса, консультирования, банковского обслуживания МСП и развития предприятий. К этим партнерам относятся ТПТПСХ, Занзибарская национальная палата торговли, промышле</w:t>
      </w:r>
      <w:r w:rsidRPr="000E35E2">
        <w:rPr>
          <w:bCs/>
        </w:rPr>
        <w:t>н</w:t>
      </w:r>
      <w:r w:rsidRPr="000E35E2">
        <w:rPr>
          <w:bCs/>
        </w:rPr>
        <w:t>ности и сельского хозяйства (ЗНПТПСХ), СИДО, Национальный банк микр</w:t>
      </w:r>
      <w:r w:rsidRPr="000E35E2">
        <w:rPr>
          <w:bCs/>
        </w:rPr>
        <w:t>о</w:t>
      </w:r>
      <w:r w:rsidRPr="000E35E2">
        <w:rPr>
          <w:bCs/>
        </w:rPr>
        <w:t>финансирования (НБ</w:t>
      </w:r>
      <w:r>
        <w:rPr>
          <w:bCs/>
        </w:rPr>
        <w:t>М</w:t>
      </w:r>
      <w:r w:rsidRPr="000E35E2">
        <w:rPr>
          <w:bCs/>
        </w:rPr>
        <w:t xml:space="preserve">) и Народный банк Занзибара. </w:t>
      </w:r>
    </w:p>
    <w:p w:rsidR="00AD593A" w:rsidRPr="000E35E2" w:rsidRDefault="00AD593A" w:rsidP="00AD593A">
      <w:pPr>
        <w:pStyle w:val="SingleTxt"/>
      </w:pPr>
      <w:r w:rsidRPr="000E35E2">
        <w:t>165.</w:t>
      </w:r>
      <w:r w:rsidRPr="000E35E2">
        <w:tab/>
        <w:t>Существующие фонды, такие как ЦФРЖП, Фонд охраны жизни и Фонд поощрения инициатив в сельских районах и развития предприятий, стремятся стимулировать женщин к использованию полученных кредитов в предприн</w:t>
      </w:r>
      <w:r w:rsidRPr="000E35E2">
        <w:t>и</w:t>
      </w:r>
      <w:r w:rsidRPr="000E35E2">
        <w:t xml:space="preserve">мательских целях. К аналогичным инициативам относится </w:t>
      </w:r>
      <w:r w:rsidRPr="000E35E2">
        <w:rPr>
          <w:bCs/>
        </w:rPr>
        <w:t>ВЕЗА – четыре</w:t>
      </w:r>
      <w:r w:rsidRPr="000E35E2">
        <w:rPr>
          <w:bCs/>
        </w:rPr>
        <w:t>х</w:t>
      </w:r>
      <w:r w:rsidRPr="000E35E2">
        <w:rPr>
          <w:bCs/>
        </w:rPr>
        <w:t xml:space="preserve">летний проект, финансируемый ЕС и </w:t>
      </w:r>
      <w:r>
        <w:rPr>
          <w:bCs/>
        </w:rPr>
        <w:t>"</w:t>
      </w:r>
      <w:r w:rsidRPr="000E35E2">
        <w:rPr>
          <w:bCs/>
        </w:rPr>
        <w:t>Кэр Австрия</w:t>
      </w:r>
      <w:r>
        <w:rPr>
          <w:bCs/>
        </w:rPr>
        <w:t>"</w:t>
      </w:r>
      <w:r w:rsidRPr="000E35E2">
        <w:rPr>
          <w:bCs/>
        </w:rPr>
        <w:t xml:space="preserve"> и осуществляемый </w:t>
      </w:r>
      <w:r>
        <w:rPr>
          <w:bCs/>
        </w:rPr>
        <w:t>"</w:t>
      </w:r>
      <w:r w:rsidRPr="000E35E2">
        <w:rPr>
          <w:bCs/>
        </w:rPr>
        <w:t>Кэр Танзания</w:t>
      </w:r>
      <w:r>
        <w:rPr>
          <w:bCs/>
        </w:rPr>
        <w:t>"</w:t>
      </w:r>
      <w:r w:rsidRPr="000E35E2">
        <w:rPr>
          <w:bCs/>
        </w:rPr>
        <w:t xml:space="preserve"> и ТАЖСМИ совместно с Организацией кредитования и развития Джозани (ОКРД), Сберегательной и кредитной ассоциацией острова Пемба (СКАП), ФАВЕ и ЗАЖЮ.</w:t>
      </w:r>
      <w:r w:rsidRPr="000E35E2">
        <w:t xml:space="preserve"> Благодаря этой программе более 3533</w:t>
      </w:r>
      <w:r>
        <w:t> </w:t>
      </w:r>
      <w:r w:rsidRPr="000E35E2">
        <w:t>жительниц Занзибара, состоявших в 161</w:t>
      </w:r>
      <w:r>
        <w:t> </w:t>
      </w:r>
      <w:r w:rsidRPr="000E35E2">
        <w:t>сельской кредитно-сберегательной группе, пол</w:t>
      </w:r>
      <w:r w:rsidRPr="000E35E2">
        <w:t>у</w:t>
      </w:r>
      <w:r w:rsidRPr="000E35E2">
        <w:t>чили помощь, направленную на повышение их доходов и преодоление соц</w:t>
      </w:r>
      <w:r w:rsidRPr="000E35E2">
        <w:t>и</w:t>
      </w:r>
      <w:r w:rsidRPr="000E35E2">
        <w:t>альных, культурных и политических препятствий к расширению их прав и возможностей. Некоторые члены АН</w:t>
      </w:r>
      <w:r>
        <w:t>П</w:t>
      </w:r>
      <w:r w:rsidRPr="000E35E2">
        <w:t>ОЗ, такие как Корпорация женщин За</w:t>
      </w:r>
      <w:r w:rsidRPr="000E35E2">
        <w:t>н</w:t>
      </w:r>
      <w:r w:rsidRPr="000E35E2">
        <w:t>зибара и Занзибарская ассоциация помощи сиротам, также проводят некоторые мероприятия, связанные с приносящими доход видами деятельности.</w:t>
      </w:r>
    </w:p>
    <w:p w:rsidR="00AD593A" w:rsidRDefault="00AD593A" w:rsidP="00AD593A">
      <w:pPr>
        <w:pStyle w:val="SingleTxt"/>
        <w:rPr>
          <w:lang w:val="en-US"/>
        </w:rPr>
      </w:pPr>
      <w:r w:rsidRPr="000E35E2">
        <w:t>166.</w:t>
      </w:r>
      <w:r w:rsidRPr="000E35E2">
        <w:tab/>
        <w:t>Основной проблемой, с которой государство-участник столкнулось в пр</w:t>
      </w:r>
      <w:r w:rsidRPr="000E35E2">
        <w:t>о</w:t>
      </w:r>
      <w:r w:rsidRPr="000E35E2">
        <w:t>цессе осуществления Пекинской декларации и Платформы действий, являются недостаточно энергичные попытки создания служб развития бизнеса (СРБ), предназначенных для того, чтобы помочь женщинам поставить или пересмо</w:t>
      </w:r>
      <w:r w:rsidRPr="000E35E2">
        <w:t>т</w:t>
      </w:r>
      <w:r w:rsidRPr="000E35E2">
        <w:t>реть цели в области трудоустройства, профессиональной подготовки и карье</w:t>
      </w:r>
      <w:r w:rsidRPr="000E35E2">
        <w:t>р</w:t>
      </w:r>
      <w:r w:rsidRPr="000E35E2">
        <w:t>ного роста.</w:t>
      </w:r>
    </w:p>
    <w:p w:rsidR="00F7009F" w:rsidRPr="00F7009F" w:rsidRDefault="00F7009F" w:rsidP="00F7009F">
      <w:pPr>
        <w:pStyle w:val="SingleTxt"/>
        <w:spacing w:after="0" w:line="120" w:lineRule="exact"/>
        <w:rPr>
          <w:sz w:val="10"/>
          <w:lang w:val="en-US"/>
        </w:rPr>
      </w:pPr>
    </w:p>
    <w:p w:rsidR="00F7009F" w:rsidRPr="00F7009F" w:rsidRDefault="00F7009F" w:rsidP="00F7009F">
      <w:pPr>
        <w:pStyle w:val="SingleTxt"/>
        <w:spacing w:after="0" w:line="120" w:lineRule="exact"/>
        <w:rPr>
          <w:sz w:val="10"/>
          <w:lang w:val="en-US"/>
        </w:rPr>
      </w:pPr>
    </w:p>
    <w:p w:rsidR="00AD593A" w:rsidRPr="000E35E2" w:rsidRDefault="00AD593A" w:rsidP="00F700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0" w:name="_Toc401576683"/>
      <w:r w:rsidRPr="000E35E2">
        <w:tab/>
      </w:r>
      <w:bookmarkStart w:id="61" w:name="_Toc417398655"/>
      <w:r w:rsidRPr="000E35E2">
        <w:t>2.2</w:t>
      </w:r>
      <w:r w:rsidRPr="000E35E2">
        <w:tab/>
      </w:r>
      <w:bookmarkEnd w:id="60"/>
      <w:r w:rsidRPr="000E35E2">
        <w:t>Цели развития тысячелетия</w:t>
      </w:r>
      <w:bookmarkEnd w:id="61"/>
    </w:p>
    <w:p w:rsidR="00F7009F" w:rsidRPr="00F7009F" w:rsidRDefault="00F7009F" w:rsidP="00F7009F">
      <w:pPr>
        <w:pStyle w:val="SingleTxt"/>
        <w:spacing w:after="0" w:line="120" w:lineRule="exact"/>
        <w:rPr>
          <w:sz w:val="10"/>
        </w:rPr>
      </w:pPr>
    </w:p>
    <w:p w:rsidR="00F7009F" w:rsidRPr="00F7009F" w:rsidRDefault="00F7009F" w:rsidP="00F7009F">
      <w:pPr>
        <w:pStyle w:val="SingleTxt"/>
        <w:spacing w:after="0" w:line="120" w:lineRule="exact"/>
        <w:rPr>
          <w:sz w:val="10"/>
        </w:rPr>
      </w:pPr>
    </w:p>
    <w:p w:rsidR="00AD593A" w:rsidRDefault="00AD593A" w:rsidP="00AD593A">
      <w:pPr>
        <w:pStyle w:val="SingleTxt"/>
        <w:rPr>
          <w:bCs/>
          <w:lang w:val="en-US"/>
        </w:rPr>
      </w:pPr>
      <w:r w:rsidRPr="000E35E2">
        <w:t>167.</w:t>
      </w:r>
      <w:r w:rsidRPr="000E35E2">
        <w:tab/>
        <w:t>В течение отчетного периода государство-участник принимало меры по эффективному осуществлению Конвенции в контексте Целей развития тысяч</w:t>
      </w:r>
      <w:r w:rsidRPr="000E35E2">
        <w:t>е</w:t>
      </w:r>
      <w:r w:rsidRPr="000E35E2">
        <w:t>летия (ЦРТ). В частности, государство-участник представило доклад об ос</w:t>
      </w:r>
      <w:r w:rsidRPr="000E35E2">
        <w:t>у</w:t>
      </w:r>
      <w:r w:rsidRPr="000E35E2">
        <w:t>ществлении ЦРТ, где сообщило о масштабах успешного осуществления ЦРТ и о проблемах, с которыми оно столкнулось при осуществлении ЦРТ</w:t>
      </w:r>
      <w:r w:rsidRPr="000E35E2">
        <w:rPr>
          <w:bCs/>
        </w:rPr>
        <w:t>.</w:t>
      </w:r>
    </w:p>
    <w:p w:rsidR="00F7009F" w:rsidRPr="00F7009F" w:rsidRDefault="00F7009F" w:rsidP="00F7009F">
      <w:pPr>
        <w:pStyle w:val="SingleTxt"/>
        <w:spacing w:after="0" w:line="120" w:lineRule="exact"/>
        <w:rPr>
          <w:bCs/>
          <w:sz w:val="10"/>
          <w:lang w:val="en-US"/>
        </w:rPr>
      </w:pPr>
    </w:p>
    <w:p w:rsidR="00F7009F" w:rsidRPr="00F7009F" w:rsidRDefault="00F7009F" w:rsidP="00F7009F">
      <w:pPr>
        <w:pStyle w:val="SingleTxt"/>
        <w:spacing w:after="0" w:line="120" w:lineRule="exact"/>
        <w:rPr>
          <w:bCs/>
          <w:sz w:val="10"/>
          <w:u w:val="single"/>
          <w:lang w:val="en-US"/>
        </w:rPr>
      </w:pPr>
    </w:p>
    <w:p w:rsidR="00AD593A" w:rsidRPr="000E35E2" w:rsidRDefault="00AD593A" w:rsidP="00F700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2" w:name="_Toc401576684"/>
      <w:r w:rsidRPr="000E35E2">
        <w:tab/>
      </w:r>
      <w:bookmarkStart w:id="63" w:name="_Toc417398656"/>
      <w:r w:rsidRPr="000E35E2">
        <w:t>2.3</w:t>
      </w:r>
      <w:r w:rsidRPr="000E35E2">
        <w:tab/>
      </w:r>
      <w:bookmarkEnd w:id="62"/>
      <w:r w:rsidRPr="000E35E2">
        <w:t>Протокол к Африканской хартии прав человека и народов, касающийся прав женщин в Африке</w:t>
      </w:r>
      <w:bookmarkEnd w:id="63"/>
    </w:p>
    <w:p w:rsidR="00F7009F" w:rsidRPr="00F7009F" w:rsidRDefault="00F7009F" w:rsidP="00F7009F">
      <w:pPr>
        <w:pStyle w:val="SingleTxt"/>
        <w:spacing w:after="0" w:line="120" w:lineRule="exact"/>
        <w:rPr>
          <w:bCs/>
          <w:sz w:val="10"/>
        </w:rPr>
      </w:pPr>
    </w:p>
    <w:p w:rsidR="00F7009F" w:rsidRPr="00F7009F" w:rsidRDefault="00F7009F" w:rsidP="00F7009F">
      <w:pPr>
        <w:pStyle w:val="SingleTxt"/>
        <w:spacing w:after="0" w:line="120" w:lineRule="exact"/>
        <w:rPr>
          <w:bCs/>
          <w:sz w:val="10"/>
        </w:rPr>
      </w:pPr>
    </w:p>
    <w:p w:rsidR="00AD593A" w:rsidRPr="000E35E2" w:rsidRDefault="00AD593A" w:rsidP="00AD593A">
      <w:pPr>
        <w:pStyle w:val="SingleTxt"/>
        <w:rPr>
          <w:bCs/>
        </w:rPr>
      </w:pPr>
      <w:r w:rsidRPr="000E35E2">
        <w:rPr>
          <w:bCs/>
        </w:rPr>
        <w:t>168.</w:t>
      </w:r>
      <w:r w:rsidRPr="000E35E2">
        <w:rPr>
          <w:bCs/>
        </w:rPr>
        <w:tab/>
        <w:t>Государство-участник является стороной Протокола к Африканской ха</w:t>
      </w:r>
      <w:r w:rsidRPr="000E35E2">
        <w:rPr>
          <w:bCs/>
        </w:rPr>
        <w:t>р</w:t>
      </w:r>
      <w:r w:rsidRPr="000E35E2">
        <w:rPr>
          <w:bCs/>
        </w:rPr>
        <w:t>тии прав человека и народов (АХПЧН), касающегося прав женщин в Африке (2003 год)</w:t>
      </w:r>
      <w:r w:rsidRPr="000E35E2">
        <w:t>. В течение отчетного периода государство-участник продолжило осуществлять Протокол в соответствии с КЛДЖ и АХПЧН.</w:t>
      </w:r>
    </w:p>
    <w:p w:rsidR="00AD593A" w:rsidRPr="00B02518" w:rsidRDefault="00AD593A" w:rsidP="00F7009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E35E2">
        <w:br w:type="page"/>
      </w:r>
      <w:r w:rsidRPr="000E35E2">
        <w:tab/>
      </w:r>
      <w:r w:rsidRPr="000E35E2">
        <w:tab/>
      </w:r>
      <w:bookmarkStart w:id="64" w:name="_Toc417398657"/>
      <w:r w:rsidRPr="000E35E2">
        <w:t>Ссылки</w:t>
      </w:r>
      <w:bookmarkEnd w:id="64"/>
    </w:p>
    <w:p w:rsidR="00F7009F" w:rsidRPr="00F7009F" w:rsidRDefault="00F7009F" w:rsidP="00F7009F">
      <w:pPr>
        <w:pStyle w:val="SingleTxt"/>
        <w:spacing w:after="0" w:line="120" w:lineRule="exact"/>
        <w:rPr>
          <w:b/>
          <w:bCs/>
          <w:iCs/>
          <w:sz w:val="10"/>
        </w:rPr>
      </w:pPr>
    </w:p>
    <w:p w:rsidR="00F7009F" w:rsidRPr="00F7009F" w:rsidRDefault="00F7009F" w:rsidP="00F7009F">
      <w:pPr>
        <w:pStyle w:val="SingleTxt"/>
        <w:spacing w:after="0" w:line="120" w:lineRule="exact"/>
        <w:rPr>
          <w:b/>
          <w:bCs/>
          <w:iCs/>
          <w:sz w:val="10"/>
        </w:rPr>
      </w:pPr>
    </w:p>
    <w:p w:rsidR="00AD593A" w:rsidRPr="000E35E2" w:rsidRDefault="00F7009F" w:rsidP="00F700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AD593A" w:rsidRPr="000E35E2">
        <w:t>Международные документы по правам человека</w:t>
      </w:r>
    </w:p>
    <w:p w:rsidR="00F7009F" w:rsidRPr="00F7009F" w:rsidRDefault="00F7009F" w:rsidP="00F7009F">
      <w:pPr>
        <w:pStyle w:val="SingleTxt"/>
        <w:spacing w:after="0" w:line="120" w:lineRule="exact"/>
        <w:rPr>
          <w:b/>
          <w:bCs/>
          <w:i/>
          <w:iCs/>
          <w:sz w:val="10"/>
        </w:rPr>
      </w:pPr>
    </w:p>
    <w:p w:rsidR="00AD593A" w:rsidRPr="00F7009F" w:rsidRDefault="00F7009F" w:rsidP="00F700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AD593A" w:rsidRPr="00F7009F">
        <w:t>Конвенции</w:t>
      </w:r>
    </w:p>
    <w:p w:rsidR="00F7009F" w:rsidRPr="00F7009F" w:rsidRDefault="00F7009F" w:rsidP="00F7009F">
      <w:pPr>
        <w:pStyle w:val="SingleTxt"/>
        <w:spacing w:after="0" w:line="120" w:lineRule="exact"/>
        <w:jc w:val="left"/>
        <w:rPr>
          <w:sz w:val="10"/>
        </w:rPr>
      </w:pPr>
    </w:p>
    <w:p w:rsidR="00AD593A" w:rsidRPr="000E35E2" w:rsidRDefault="00AD593A" w:rsidP="00AD593A">
      <w:pPr>
        <w:pStyle w:val="SingleTxt"/>
        <w:jc w:val="left"/>
      </w:pPr>
      <w:r w:rsidRPr="000E35E2">
        <w:t>Африканская хартия прав человека и народов (1981 год)</w:t>
      </w:r>
    </w:p>
    <w:p w:rsidR="00AD593A" w:rsidRPr="000E35E2" w:rsidRDefault="00AD593A" w:rsidP="00AD593A">
      <w:pPr>
        <w:pStyle w:val="SingleTxt"/>
        <w:jc w:val="left"/>
      </w:pPr>
      <w:r w:rsidRPr="000E35E2">
        <w:t>Африканская хартия о правах и благосостоянии ребенка (1990 год)</w:t>
      </w:r>
    </w:p>
    <w:p w:rsidR="00AD593A" w:rsidRPr="000E35E2" w:rsidRDefault="00AD593A" w:rsidP="00AD593A">
      <w:pPr>
        <w:pStyle w:val="SingleTxt"/>
        <w:jc w:val="left"/>
      </w:pPr>
      <w:r w:rsidRPr="000E35E2">
        <w:t>Конвенция о равном вознаграждении мужчин и женщин за труд равной ценн</w:t>
      </w:r>
      <w:r w:rsidRPr="000E35E2">
        <w:t>о</w:t>
      </w:r>
      <w:r w:rsidRPr="000E35E2">
        <w:t>сти (1951 год)</w:t>
      </w:r>
    </w:p>
    <w:p w:rsidR="00AD593A" w:rsidRPr="000E35E2" w:rsidRDefault="00AD593A" w:rsidP="00AD593A">
      <w:pPr>
        <w:pStyle w:val="SingleTxt"/>
        <w:jc w:val="left"/>
        <w:rPr>
          <w:bCs/>
          <w:iCs/>
        </w:rPr>
      </w:pPr>
      <w:r w:rsidRPr="000E35E2">
        <w:rPr>
          <w:bCs/>
          <w:iCs/>
        </w:rPr>
        <w:t>Конвенция о ликвидации всех форм дискри</w:t>
      </w:r>
      <w:r>
        <w:rPr>
          <w:bCs/>
          <w:iCs/>
        </w:rPr>
        <w:t>минации в отношении женщин (КЛД</w:t>
      </w:r>
      <w:r w:rsidRPr="000E35E2">
        <w:rPr>
          <w:bCs/>
          <w:iCs/>
        </w:rPr>
        <w:t>Ж)</w:t>
      </w:r>
    </w:p>
    <w:p w:rsidR="00AD593A" w:rsidRPr="000E35E2" w:rsidRDefault="00AD593A" w:rsidP="00AD593A">
      <w:pPr>
        <w:pStyle w:val="SingleTxt"/>
        <w:jc w:val="left"/>
      </w:pPr>
      <w:r w:rsidRPr="000E35E2">
        <w:t xml:space="preserve">Конвенция о дискриминации в области труда и занятий (1958 год) </w:t>
      </w:r>
    </w:p>
    <w:p w:rsidR="00AD593A" w:rsidRPr="000E35E2" w:rsidRDefault="00AD593A" w:rsidP="00AD593A">
      <w:pPr>
        <w:pStyle w:val="SingleTxt"/>
        <w:jc w:val="left"/>
      </w:pPr>
      <w:r w:rsidRPr="000E35E2">
        <w:t>Конвенция об охране материнства (2000 год)</w:t>
      </w:r>
    </w:p>
    <w:p w:rsidR="00AD593A" w:rsidRPr="000E35E2" w:rsidRDefault="00AD593A" w:rsidP="00AD593A">
      <w:pPr>
        <w:pStyle w:val="SingleTxt"/>
        <w:jc w:val="left"/>
      </w:pPr>
      <w:r w:rsidRPr="000E35E2">
        <w:t>Конвенция о правах ребенка (1989 год)</w:t>
      </w:r>
    </w:p>
    <w:p w:rsidR="00AD593A" w:rsidRPr="000E35E2" w:rsidRDefault="00AD593A" w:rsidP="00AD593A">
      <w:pPr>
        <w:pStyle w:val="SingleTxt"/>
        <w:jc w:val="left"/>
      </w:pPr>
      <w:r w:rsidRPr="000E35E2">
        <w:t>Конвенция о работниках с семейными обязанностями (1981 год)</w:t>
      </w:r>
    </w:p>
    <w:p w:rsidR="00AD593A" w:rsidRPr="000E35E2" w:rsidRDefault="00AD593A" w:rsidP="00AD593A">
      <w:pPr>
        <w:pStyle w:val="SingleTxt"/>
        <w:jc w:val="left"/>
      </w:pPr>
      <w:r w:rsidRPr="000E35E2">
        <w:t>Факультативный протокол к Африканской хартии прав человека и народов, к</w:t>
      </w:r>
      <w:r w:rsidRPr="000E35E2">
        <w:t>а</w:t>
      </w:r>
      <w:r w:rsidRPr="000E35E2">
        <w:t>сающийся учреждения Африканского суда по правам человека (1998 год), OAU Doc. OAU/LEG/EXP/AFCHPR/PROT (III), 9 июня 1998 года</w:t>
      </w:r>
    </w:p>
    <w:p w:rsidR="00AD593A" w:rsidRPr="000E35E2" w:rsidRDefault="00AD593A" w:rsidP="00AD593A">
      <w:pPr>
        <w:pStyle w:val="SingleTxt"/>
        <w:jc w:val="left"/>
      </w:pPr>
      <w:r w:rsidRPr="000E35E2">
        <w:t>Протокол к Африканской хартии прав человека и народов</w:t>
      </w:r>
      <w:r>
        <w:t xml:space="preserve"> (АХПЧН),</w:t>
      </w:r>
      <w:r w:rsidRPr="000E35E2">
        <w:t xml:space="preserve"> </w:t>
      </w:r>
      <w:r>
        <w:t>каса</w:t>
      </w:r>
      <w:r>
        <w:t>ю</w:t>
      </w:r>
      <w:r>
        <w:t>щийся</w:t>
      </w:r>
      <w:r w:rsidRPr="000E35E2">
        <w:t xml:space="preserve"> прав женщин в Африке (2003</w:t>
      </w:r>
      <w:r>
        <w:t> </w:t>
      </w:r>
      <w:r w:rsidRPr="000E35E2">
        <w:t>год) (принят 11</w:t>
      </w:r>
      <w:r>
        <w:t> </w:t>
      </w:r>
      <w:r w:rsidRPr="000E35E2">
        <w:t>июля 2003</w:t>
      </w:r>
      <w:r>
        <w:t> </w:t>
      </w:r>
      <w:r w:rsidRPr="000E35E2">
        <w:t>года и вступил в силу 25</w:t>
      </w:r>
      <w:r>
        <w:t> </w:t>
      </w:r>
      <w:r w:rsidRPr="000E35E2">
        <w:t>ноября 2005</w:t>
      </w:r>
      <w:r>
        <w:t> </w:t>
      </w:r>
      <w:r w:rsidRPr="000E35E2">
        <w:t>года)</w:t>
      </w:r>
    </w:p>
    <w:p w:rsidR="00AD593A" w:rsidRDefault="00AD593A" w:rsidP="00AD593A">
      <w:pPr>
        <w:pStyle w:val="SingleTxt"/>
        <w:jc w:val="left"/>
        <w:rPr>
          <w:lang w:val="en-US"/>
        </w:rPr>
      </w:pPr>
      <w:r w:rsidRPr="000E35E2">
        <w:t>Заявление САДК по вопросам положения женщин и развития (1997 год)</w:t>
      </w:r>
    </w:p>
    <w:p w:rsidR="00F7009F" w:rsidRPr="00F7009F" w:rsidRDefault="00F7009F" w:rsidP="00F7009F">
      <w:pPr>
        <w:pStyle w:val="SingleTxt"/>
        <w:spacing w:after="0" w:line="120" w:lineRule="exact"/>
        <w:jc w:val="left"/>
        <w:rPr>
          <w:sz w:val="10"/>
          <w:lang w:val="en-US"/>
        </w:rPr>
      </w:pPr>
    </w:p>
    <w:p w:rsidR="00AD593A" w:rsidRPr="00F7009F" w:rsidRDefault="00F7009F" w:rsidP="00F700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AD593A" w:rsidRPr="00F7009F">
        <w:t>Декларации и планы действий</w:t>
      </w:r>
    </w:p>
    <w:p w:rsidR="00F7009F" w:rsidRPr="00F7009F" w:rsidRDefault="00F7009F" w:rsidP="00F7009F">
      <w:pPr>
        <w:pStyle w:val="SingleTxt"/>
        <w:spacing w:after="0" w:line="120" w:lineRule="exact"/>
        <w:jc w:val="left"/>
        <w:rPr>
          <w:sz w:val="10"/>
        </w:rPr>
      </w:pPr>
    </w:p>
    <w:p w:rsidR="00AD593A" w:rsidRPr="000E35E2" w:rsidRDefault="00AD593A" w:rsidP="00AD593A">
      <w:pPr>
        <w:pStyle w:val="SingleTxt"/>
        <w:jc w:val="left"/>
      </w:pPr>
      <w:r w:rsidRPr="000E35E2">
        <w:t>Пекинская платформа действий (1995 год)</w:t>
      </w:r>
    </w:p>
    <w:p w:rsidR="00AD593A" w:rsidRPr="000E35E2" w:rsidRDefault="00AD593A" w:rsidP="00AD593A">
      <w:pPr>
        <w:pStyle w:val="SingleTxt"/>
        <w:jc w:val="left"/>
      </w:pPr>
      <w:r w:rsidRPr="000E35E2">
        <w:t>Декларация об эпидемии ВИЧ/СПИДа, принятая на XI Международной конф</w:t>
      </w:r>
      <w:r w:rsidRPr="000E35E2">
        <w:t>е</w:t>
      </w:r>
      <w:r w:rsidRPr="000E35E2">
        <w:t>ренции по СПИДу и ЗППП в Африке (1999</w:t>
      </w:r>
      <w:r>
        <w:t> </w:t>
      </w:r>
      <w:r w:rsidRPr="000E35E2">
        <w:t>год)</w:t>
      </w:r>
    </w:p>
    <w:p w:rsidR="00AD593A" w:rsidRPr="000E35E2" w:rsidRDefault="00AD593A" w:rsidP="00AD593A">
      <w:pPr>
        <w:pStyle w:val="SingleTxt"/>
        <w:jc w:val="left"/>
      </w:pPr>
      <w:r>
        <w:t>План</w:t>
      </w:r>
      <w:r w:rsidRPr="000E35E2">
        <w:t xml:space="preserve"> действий Международной конференции по народонаселению и развитию (1994</w:t>
      </w:r>
      <w:r>
        <w:t> </w:t>
      </w:r>
      <w:r w:rsidRPr="000E35E2">
        <w:t>год)</w:t>
      </w:r>
    </w:p>
    <w:p w:rsidR="00AD593A" w:rsidRPr="000E35E2" w:rsidRDefault="00AD593A" w:rsidP="00AD593A">
      <w:pPr>
        <w:pStyle w:val="SingleTxt"/>
        <w:jc w:val="left"/>
      </w:pPr>
      <w:r w:rsidRPr="000E35E2">
        <w:t>Декларация тысячелетия Организации Объединенных Наций (2000</w:t>
      </w:r>
      <w:r>
        <w:t> </w:t>
      </w:r>
      <w:r w:rsidRPr="000E35E2">
        <w:t>год)</w:t>
      </w:r>
    </w:p>
    <w:p w:rsidR="00AD593A" w:rsidRDefault="00AD593A" w:rsidP="00AD593A">
      <w:pPr>
        <w:pStyle w:val="SingleTxt"/>
        <w:jc w:val="left"/>
        <w:rPr>
          <w:lang w:val="en-US"/>
        </w:rPr>
      </w:pPr>
      <w:r w:rsidRPr="000E35E2">
        <w:t xml:space="preserve">Декларация </w:t>
      </w:r>
      <w:r>
        <w:t>"</w:t>
      </w:r>
      <w:r w:rsidRPr="000E35E2">
        <w:t>Женщины Африки за культуру мира и программа женщин в инт</w:t>
      </w:r>
      <w:r w:rsidRPr="000E35E2">
        <w:t>е</w:t>
      </w:r>
      <w:r w:rsidRPr="000E35E2">
        <w:t>ресах культуры мира в Африке</w:t>
      </w:r>
      <w:r>
        <w:t>"</w:t>
      </w:r>
      <w:r w:rsidRPr="000E35E2">
        <w:t>, принятая на закрытии Панафриканской ко</w:t>
      </w:r>
      <w:r w:rsidRPr="000E35E2">
        <w:t>н</w:t>
      </w:r>
      <w:r w:rsidRPr="000E35E2">
        <w:t>ференции в Занзибаре в 1999 году</w:t>
      </w:r>
    </w:p>
    <w:p w:rsidR="00F7009F" w:rsidRPr="00F7009F" w:rsidRDefault="00F7009F" w:rsidP="00F7009F">
      <w:pPr>
        <w:pStyle w:val="SingleTxt"/>
        <w:spacing w:after="0" w:line="120" w:lineRule="exact"/>
        <w:jc w:val="left"/>
        <w:rPr>
          <w:sz w:val="10"/>
          <w:lang w:val="en-US"/>
        </w:rPr>
      </w:pPr>
    </w:p>
    <w:p w:rsidR="00AD593A" w:rsidRPr="00F7009F" w:rsidRDefault="00F7009F" w:rsidP="00F700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AD593A" w:rsidRPr="00F7009F">
        <w:t>Конституции</w:t>
      </w:r>
    </w:p>
    <w:p w:rsidR="00F7009F" w:rsidRPr="00F7009F" w:rsidRDefault="00F7009F" w:rsidP="00F7009F">
      <w:pPr>
        <w:pStyle w:val="SingleTxt"/>
        <w:spacing w:after="0" w:line="120" w:lineRule="exact"/>
        <w:rPr>
          <w:sz w:val="10"/>
        </w:rPr>
      </w:pPr>
    </w:p>
    <w:p w:rsidR="00AD593A" w:rsidRPr="000E35E2" w:rsidRDefault="00AD593A" w:rsidP="00AD593A">
      <w:pPr>
        <w:pStyle w:val="SingleTxt"/>
      </w:pPr>
      <w:r w:rsidRPr="000E35E2">
        <w:t>Конституция Объединенной Республики Танзания (1977 год)</w:t>
      </w:r>
    </w:p>
    <w:p w:rsidR="00AD593A" w:rsidRPr="000E35E2" w:rsidRDefault="00AD593A" w:rsidP="00AD593A">
      <w:pPr>
        <w:pStyle w:val="SingleTxt"/>
      </w:pPr>
      <w:r w:rsidRPr="000E35E2">
        <w:t>Конституция Занзибара (1984 год)</w:t>
      </w:r>
    </w:p>
    <w:p w:rsidR="00AD593A" w:rsidRPr="000E35E2" w:rsidRDefault="00AD593A" w:rsidP="00AD593A">
      <w:pPr>
        <w:pStyle w:val="SingleTxt"/>
      </w:pPr>
      <w:r w:rsidRPr="000E35E2">
        <w:t>Проект конституции Объединенной Республики Танзания (3 июня 2013 года)</w:t>
      </w:r>
    </w:p>
    <w:p w:rsidR="00AD593A" w:rsidRPr="000E35E2" w:rsidRDefault="00AD593A" w:rsidP="00AD593A">
      <w:pPr>
        <w:pStyle w:val="SingleTxt"/>
      </w:pPr>
      <w:r w:rsidRPr="000E35E2">
        <w:t>Второй проект конституции Объединенной Республики Танзания (30 декабря 2013</w:t>
      </w:r>
      <w:r>
        <w:t> </w:t>
      </w:r>
      <w:r w:rsidRPr="000E35E2">
        <w:t>года)</w:t>
      </w:r>
    </w:p>
    <w:p w:rsidR="00AD593A" w:rsidRPr="00F7009F" w:rsidRDefault="00F7009F" w:rsidP="00F700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AD593A" w:rsidRPr="00F7009F">
        <w:t>Политические</w:t>
      </w:r>
      <w:r w:rsidR="00AD593A" w:rsidRPr="00F7009F">
        <w:rPr>
          <w:lang w:val="en-US"/>
        </w:rPr>
        <w:t xml:space="preserve"> </w:t>
      </w:r>
      <w:r w:rsidR="00AD593A" w:rsidRPr="00F7009F">
        <w:t>стратегии</w:t>
      </w:r>
    </w:p>
    <w:p w:rsidR="00F7009F" w:rsidRPr="00F7009F" w:rsidRDefault="00F7009F" w:rsidP="00F7009F">
      <w:pPr>
        <w:pStyle w:val="SingleTxt"/>
        <w:spacing w:after="0" w:line="120" w:lineRule="exact"/>
        <w:rPr>
          <w:sz w:val="10"/>
          <w:lang w:val="en-US"/>
        </w:rPr>
      </w:pPr>
    </w:p>
    <w:p w:rsidR="00AD593A" w:rsidRPr="000E35E2" w:rsidRDefault="00AD593A" w:rsidP="00AD593A">
      <w:pPr>
        <w:pStyle w:val="SingleTxt"/>
        <w:rPr>
          <w:lang w:val="en-US"/>
        </w:rPr>
      </w:pPr>
      <w:r w:rsidRPr="006605A0">
        <w:rPr>
          <w:lang w:val="en-US"/>
        </w:rPr>
        <w:t>Child</w:t>
      </w:r>
      <w:r w:rsidRPr="000E35E2">
        <w:rPr>
          <w:lang w:val="en-US"/>
        </w:rPr>
        <w:t xml:space="preserve"> </w:t>
      </w:r>
      <w:r w:rsidRPr="006605A0">
        <w:rPr>
          <w:lang w:val="en-US"/>
        </w:rPr>
        <w:t>Development</w:t>
      </w:r>
      <w:r w:rsidRPr="000E35E2">
        <w:rPr>
          <w:lang w:val="en-US"/>
        </w:rPr>
        <w:t xml:space="preserve"> </w:t>
      </w:r>
      <w:r w:rsidRPr="006605A0">
        <w:rPr>
          <w:lang w:val="en-US"/>
        </w:rPr>
        <w:t>Policy</w:t>
      </w:r>
      <w:r w:rsidRPr="000E35E2">
        <w:rPr>
          <w:lang w:val="en-US"/>
        </w:rPr>
        <w:t xml:space="preserve"> (2008)</w:t>
      </w:r>
    </w:p>
    <w:p w:rsidR="00AD593A" w:rsidRPr="006605A0" w:rsidRDefault="00AD593A" w:rsidP="00AD593A">
      <w:pPr>
        <w:pStyle w:val="SingleTxt"/>
        <w:rPr>
          <w:lang w:val="en-US"/>
        </w:rPr>
      </w:pPr>
      <w:r w:rsidRPr="006605A0">
        <w:rPr>
          <w:lang w:val="en-US"/>
        </w:rPr>
        <w:t>National Employment Policy (2008)</w:t>
      </w:r>
    </w:p>
    <w:p w:rsidR="00AD593A" w:rsidRPr="006605A0" w:rsidRDefault="00AD593A" w:rsidP="00AD593A">
      <w:pPr>
        <w:pStyle w:val="SingleTxt"/>
        <w:rPr>
          <w:lang w:val="en-US"/>
        </w:rPr>
      </w:pPr>
      <w:r w:rsidRPr="006605A0">
        <w:rPr>
          <w:lang w:val="en-US"/>
        </w:rPr>
        <w:t>National Social Security Policy (2003)</w:t>
      </w:r>
    </w:p>
    <w:p w:rsidR="00AD593A" w:rsidRPr="006605A0" w:rsidRDefault="00AD593A" w:rsidP="00AD593A">
      <w:pPr>
        <w:pStyle w:val="SingleTxt"/>
        <w:jc w:val="left"/>
        <w:rPr>
          <w:lang w:val="en-US"/>
        </w:rPr>
      </w:pPr>
      <w:r w:rsidRPr="006605A0">
        <w:rPr>
          <w:lang w:val="en-US"/>
        </w:rPr>
        <w:t xml:space="preserve">Prime Minister’s Office, Tanzania Commission for AIDS (TACAIDS), </w:t>
      </w:r>
      <w:r w:rsidRPr="006605A0">
        <w:rPr>
          <w:i/>
          <w:iCs/>
          <w:lang w:val="en-US"/>
        </w:rPr>
        <w:t xml:space="preserve">National HIV Policy 2011 </w:t>
      </w:r>
      <w:r w:rsidRPr="006605A0">
        <w:rPr>
          <w:lang w:val="en-US"/>
        </w:rPr>
        <w:t>Dar es Salaam: Prime Minister’s Office and TACAIDS. (Final Draft), 2012</w:t>
      </w:r>
    </w:p>
    <w:p w:rsidR="00AD593A" w:rsidRPr="006605A0" w:rsidRDefault="00AD593A" w:rsidP="00AD593A">
      <w:pPr>
        <w:pStyle w:val="SingleTxt"/>
        <w:rPr>
          <w:lang w:val="en-US"/>
        </w:rPr>
      </w:pPr>
      <w:r w:rsidRPr="006605A0">
        <w:rPr>
          <w:lang w:val="en-US"/>
        </w:rPr>
        <w:t>Zanzibar Education Policy</w:t>
      </w:r>
    </w:p>
    <w:p w:rsidR="00AD593A" w:rsidRPr="006605A0" w:rsidRDefault="00AD593A" w:rsidP="00AD593A">
      <w:pPr>
        <w:pStyle w:val="SingleTxt"/>
        <w:rPr>
          <w:lang w:val="en-US"/>
        </w:rPr>
      </w:pPr>
      <w:r w:rsidRPr="006605A0">
        <w:rPr>
          <w:lang w:val="en-US"/>
        </w:rPr>
        <w:t>Zanzibar Women Development Policy (2001)</w:t>
      </w:r>
    </w:p>
    <w:p w:rsidR="00F7009F" w:rsidRPr="00F7009F" w:rsidRDefault="00F7009F" w:rsidP="00F7009F">
      <w:pPr>
        <w:pStyle w:val="SingleTxt"/>
        <w:spacing w:after="0" w:line="120" w:lineRule="exact"/>
        <w:rPr>
          <w:b/>
          <w:sz w:val="10"/>
        </w:rPr>
      </w:pPr>
    </w:p>
    <w:p w:rsidR="00AD593A" w:rsidRPr="00F7009F" w:rsidRDefault="00F7009F" w:rsidP="00F700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AD593A" w:rsidRPr="00F7009F">
        <w:t>Законодательные</w:t>
      </w:r>
      <w:r w:rsidR="00AD593A" w:rsidRPr="00F7009F">
        <w:rPr>
          <w:lang w:val="en-US"/>
        </w:rPr>
        <w:t xml:space="preserve"> </w:t>
      </w:r>
      <w:r w:rsidR="00AD593A" w:rsidRPr="00F7009F">
        <w:t>акты</w:t>
      </w:r>
    </w:p>
    <w:p w:rsidR="00F7009F" w:rsidRPr="00F7009F" w:rsidRDefault="00F7009F" w:rsidP="00F7009F">
      <w:pPr>
        <w:pStyle w:val="SingleTxt"/>
        <w:spacing w:after="0" w:line="120" w:lineRule="exact"/>
        <w:rPr>
          <w:sz w:val="10"/>
          <w:lang w:val="en-US"/>
        </w:rPr>
      </w:pPr>
    </w:p>
    <w:p w:rsidR="00AD593A" w:rsidRPr="006605A0" w:rsidRDefault="00AD593A" w:rsidP="00AD593A">
      <w:pPr>
        <w:pStyle w:val="SingleTxt"/>
        <w:rPr>
          <w:lang w:val="en-US"/>
        </w:rPr>
      </w:pPr>
      <w:r w:rsidRPr="006605A0">
        <w:rPr>
          <w:lang w:val="en-US"/>
        </w:rPr>
        <w:t>Appellate Jurisdiction Act (1979), Cap. 141 R.E. 2002</w:t>
      </w:r>
    </w:p>
    <w:p w:rsidR="00AD593A" w:rsidRPr="006605A0" w:rsidRDefault="00AD593A" w:rsidP="00AD593A">
      <w:pPr>
        <w:pStyle w:val="SingleTxt"/>
        <w:rPr>
          <w:bCs/>
          <w:lang w:val="en-US"/>
        </w:rPr>
      </w:pPr>
      <w:r w:rsidRPr="006605A0">
        <w:rPr>
          <w:bCs/>
          <w:lang w:val="en-US"/>
        </w:rPr>
        <w:t>Basic Rights and Duties Enforcement Act (1994), Cap. 3, R.E. 2002</w:t>
      </w:r>
    </w:p>
    <w:p w:rsidR="00AD593A" w:rsidRPr="006605A0" w:rsidRDefault="00AD593A" w:rsidP="00AD593A">
      <w:pPr>
        <w:pStyle w:val="SingleTxt"/>
        <w:rPr>
          <w:bCs/>
          <w:lang w:val="en-US"/>
        </w:rPr>
      </w:pPr>
      <w:r w:rsidRPr="006605A0">
        <w:rPr>
          <w:bCs/>
          <w:lang w:val="en-US"/>
        </w:rPr>
        <w:t>Commission for Human Rights and Good Governance Act, No. 7 of 2001</w:t>
      </w:r>
    </w:p>
    <w:p w:rsidR="00AD593A" w:rsidRPr="006605A0" w:rsidRDefault="00AD593A" w:rsidP="00AD593A">
      <w:pPr>
        <w:pStyle w:val="SingleTxt"/>
        <w:jc w:val="left"/>
        <w:rPr>
          <w:bCs/>
          <w:lang w:val="en-US"/>
        </w:rPr>
      </w:pPr>
      <w:r w:rsidRPr="006605A0">
        <w:rPr>
          <w:lang w:val="en-US"/>
        </w:rPr>
        <w:t>Constitution (Consequential, Transitional and Temporary Provisions) Act (1984),</w:t>
      </w:r>
      <w:r w:rsidRPr="006605A0">
        <w:rPr>
          <w:bCs/>
          <w:lang w:val="en-US"/>
        </w:rPr>
        <w:t xml:space="preserve"> Act No.</w:t>
      </w:r>
      <w:r w:rsidRPr="00B02518">
        <w:rPr>
          <w:bCs/>
          <w:lang w:val="en-US"/>
        </w:rPr>
        <w:t> </w:t>
      </w:r>
      <w:r w:rsidRPr="006605A0">
        <w:rPr>
          <w:bCs/>
          <w:lang w:val="en-US"/>
        </w:rPr>
        <w:t>16 of 1984</w:t>
      </w:r>
    </w:p>
    <w:p w:rsidR="00AD593A" w:rsidRPr="006605A0" w:rsidRDefault="00AD593A" w:rsidP="00AD593A">
      <w:pPr>
        <w:pStyle w:val="SingleTxt"/>
        <w:rPr>
          <w:bCs/>
          <w:lang w:val="en-US"/>
        </w:rPr>
      </w:pPr>
      <w:r w:rsidRPr="006605A0">
        <w:rPr>
          <w:lang w:val="en-US"/>
        </w:rPr>
        <w:t xml:space="preserve">Constitution (Fifth Amendment) Act (1984), </w:t>
      </w:r>
      <w:r w:rsidRPr="006605A0">
        <w:rPr>
          <w:bCs/>
          <w:lang w:val="en-US"/>
        </w:rPr>
        <w:t>Act No. 5 of 1984</w:t>
      </w:r>
    </w:p>
    <w:p w:rsidR="00AD593A" w:rsidRPr="006605A0" w:rsidRDefault="00AD593A" w:rsidP="00AD593A">
      <w:pPr>
        <w:pStyle w:val="SingleTxt"/>
        <w:rPr>
          <w:lang w:val="en-US"/>
        </w:rPr>
      </w:pPr>
      <w:r w:rsidRPr="006605A0">
        <w:rPr>
          <w:lang w:val="en-US"/>
        </w:rPr>
        <w:t>Constitutional Review Act (2011), Cap. 83 R.E. 2012</w:t>
      </w:r>
    </w:p>
    <w:p w:rsidR="00AD593A" w:rsidRPr="006605A0" w:rsidRDefault="00AD593A" w:rsidP="00AD593A">
      <w:pPr>
        <w:pStyle w:val="SingleTxt"/>
        <w:rPr>
          <w:lang w:val="en-US"/>
        </w:rPr>
      </w:pPr>
      <w:r w:rsidRPr="006605A0">
        <w:rPr>
          <w:lang w:val="en-US"/>
        </w:rPr>
        <w:t>Education Act, Cap. 353 R.E. 2002</w:t>
      </w:r>
    </w:p>
    <w:p w:rsidR="00AD593A" w:rsidRPr="006605A0" w:rsidRDefault="00AD593A" w:rsidP="00AD593A">
      <w:pPr>
        <w:pStyle w:val="SingleTxt"/>
        <w:rPr>
          <w:lang w:val="en-US"/>
        </w:rPr>
      </w:pPr>
      <w:r w:rsidRPr="006605A0">
        <w:rPr>
          <w:lang w:val="en-US"/>
        </w:rPr>
        <w:t>Election Act (1985)</w:t>
      </w:r>
    </w:p>
    <w:p w:rsidR="00AD593A" w:rsidRPr="006605A0" w:rsidRDefault="00AD593A" w:rsidP="00AD593A">
      <w:pPr>
        <w:pStyle w:val="SingleTxt"/>
        <w:rPr>
          <w:lang w:val="en-US"/>
        </w:rPr>
      </w:pPr>
      <w:r w:rsidRPr="006605A0">
        <w:rPr>
          <w:lang w:val="en-US"/>
        </w:rPr>
        <w:t>Election Expenses Act (2010)</w:t>
      </w:r>
    </w:p>
    <w:p w:rsidR="00AD593A" w:rsidRPr="006605A0" w:rsidRDefault="00AD593A" w:rsidP="00AD593A">
      <w:pPr>
        <w:pStyle w:val="SingleTxt"/>
        <w:rPr>
          <w:lang w:val="en-US"/>
        </w:rPr>
      </w:pPr>
      <w:r w:rsidRPr="006605A0">
        <w:rPr>
          <w:lang w:val="en-US"/>
        </w:rPr>
        <w:t>HIV/AIDS (Prevention and Control) Act (2008), Act No. 28 of 2008</w:t>
      </w:r>
    </w:p>
    <w:p w:rsidR="00AD593A" w:rsidRPr="006605A0" w:rsidRDefault="00AD593A" w:rsidP="00AD593A">
      <w:pPr>
        <w:pStyle w:val="SingleTxt"/>
        <w:jc w:val="left"/>
        <w:rPr>
          <w:lang w:val="en-US"/>
        </w:rPr>
      </w:pPr>
      <w:r w:rsidRPr="006605A0">
        <w:rPr>
          <w:lang w:val="en-US"/>
        </w:rPr>
        <w:t>Indian Succession Act (1965) (The Indian Succession Act was made applicable in</w:t>
      </w:r>
      <w:r w:rsidRPr="000A38D4">
        <w:rPr>
          <w:lang w:val="en-US"/>
        </w:rPr>
        <w:t> </w:t>
      </w:r>
      <w:r w:rsidRPr="006605A0">
        <w:rPr>
          <w:lang w:val="en-US"/>
        </w:rPr>
        <w:t>Tanzania vide the Indian Acts (Application) Ordinance, Cap. 2 of the Laws of</w:t>
      </w:r>
      <w:r w:rsidRPr="000A38D4">
        <w:rPr>
          <w:lang w:val="en-US"/>
        </w:rPr>
        <w:t> </w:t>
      </w:r>
      <w:r w:rsidRPr="006605A0">
        <w:rPr>
          <w:lang w:val="en-US"/>
        </w:rPr>
        <w:t>Tanganyika</w:t>
      </w:r>
    </w:p>
    <w:p w:rsidR="00AD593A" w:rsidRPr="006605A0" w:rsidRDefault="00AD593A" w:rsidP="00AD593A">
      <w:pPr>
        <w:pStyle w:val="SingleTxt"/>
        <w:rPr>
          <w:lang w:val="en-US"/>
        </w:rPr>
      </w:pPr>
      <w:r w:rsidRPr="006605A0">
        <w:rPr>
          <w:lang w:val="en-US"/>
        </w:rPr>
        <w:t>Judicature and Application of Laws Act, Cap. 358 R.E. 2002</w:t>
      </w:r>
    </w:p>
    <w:p w:rsidR="00AD593A" w:rsidRPr="006605A0" w:rsidRDefault="00AD593A" w:rsidP="00AD593A">
      <w:pPr>
        <w:pStyle w:val="SingleTxt"/>
        <w:rPr>
          <w:lang w:val="en-US"/>
        </w:rPr>
      </w:pPr>
      <w:r w:rsidRPr="006605A0">
        <w:rPr>
          <w:lang w:val="en-US"/>
        </w:rPr>
        <w:t>Judicial Services Act, Cap 237 R.E. 2002</w:t>
      </w:r>
    </w:p>
    <w:p w:rsidR="00AD593A" w:rsidRPr="006605A0" w:rsidRDefault="00AD593A" w:rsidP="00AD593A">
      <w:pPr>
        <w:pStyle w:val="SingleTxt"/>
        <w:rPr>
          <w:lang w:val="en-US"/>
        </w:rPr>
      </w:pPr>
      <w:r w:rsidRPr="006605A0">
        <w:rPr>
          <w:lang w:val="en-US"/>
        </w:rPr>
        <w:t>Labour Institutions Act, No. 7 of 2004</w:t>
      </w:r>
    </w:p>
    <w:p w:rsidR="00AD593A" w:rsidRPr="006605A0" w:rsidRDefault="00AD593A" w:rsidP="00AD593A">
      <w:pPr>
        <w:pStyle w:val="SingleTxt"/>
        <w:rPr>
          <w:lang w:val="en-US"/>
        </w:rPr>
      </w:pPr>
      <w:r w:rsidRPr="006605A0">
        <w:rPr>
          <w:lang w:val="en-US"/>
        </w:rPr>
        <w:t>Law of Contract Act, Cap. 345 R.E. 2002</w:t>
      </w:r>
    </w:p>
    <w:p w:rsidR="00AD593A" w:rsidRPr="006605A0" w:rsidRDefault="00AD593A" w:rsidP="00AD593A">
      <w:pPr>
        <w:pStyle w:val="SingleTxt"/>
        <w:rPr>
          <w:lang w:val="en-US"/>
        </w:rPr>
      </w:pPr>
      <w:r w:rsidRPr="006605A0">
        <w:rPr>
          <w:lang w:val="en-US"/>
        </w:rPr>
        <w:t>Law of Marriage Act (1971), Cap. 29 R.E. 2002</w:t>
      </w:r>
    </w:p>
    <w:p w:rsidR="00AD593A" w:rsidRPr="006605A0" w:rsidRDefault="00AD593A" w:rsidP="00AD593A">
      <w:pPr>
        <w:pStyle w:val="SingleTxt"/>
        <w:rPr>
          <w:lang w:val="en-US"/>
        </w:rPr>
      </w:pPr>
      <w:r w:rsidRPr="006605A0">
        <w:rPr>
          <w:lang w:val="en-US"/>
        </w:rPr>
        <w:t>Law of the Child Act (2009)</w:t>
      </w:r>
    </w:p>
    <w:p w:rsidR="00AD593A" w:rsidRPr="006605A0" w:rsidRDefault="00AD593A" w:rsidP="00AD593A">
      <w:pPr>
        <w:pStyle w:val="SingleTxt"/>
        <w:rPr>
          <w:lang w:val="en-US"/>
        </w:rPr>
      </w:pPr>
      <w:r w:rsidRPr="006605A0">
        <w:rPr>
          <w:lang w:val="en-US"/>
        </w:rPr>
        <w:t>Law Reform Commission of Tanzania Act (1981), Cap. 171 R.E. 2002</w:t>
      </w:r>
    </w:p>
    <w:p w:rsidR="00AD593A" w:rsidRPr="006605A0" w:rsidRDefault="00AD593A" w:rsidP="00AD593A">
      <w:pPr>
        <w:pStyle w:val="SingleTxt"/>
        <w:rPr>
          <w:lang w:val="en-US"/>
        </w:rPr>
      </w:pPr>
      <w:r w:rsidRPr="006605A0">
        <w:rPr>
          <w:lang w:val="en-US"/>
        </w:rPr>
        <w:t>Magistrates’ Court Act (1984), Cap. 11 R.E. 2002</w:t>
      </w:r>
    </w:p>
    <w:p w:rsidR="00AD593A" w:rsidRPr="006605A0" w:rsidRDefault="00AD593A" w:rsidP="00AD593A">
      <w:pPr>
        <w:pStyle w:val="SingleTxt"/>
        <w:jc w:val="left"/>
        <w:rPr>
          <w:lang w:val="en-US"/>
        </w:rPr>
      </w:pPr>
      <w:r w:rsidRPr="006605A0">
        <w:rPr>
          <w:lang w:val="en-US"/>
        </w:rPr>
        <w:t>Marriage (Solemnization and Registration) Decree, Cap. 92 of the Laws of</w:t>
      </w:r>
      <w:r w:rsidRPr="000A38D4">
        <w:rPr>
          <w:lang w:val="en-US"/>
        </w:rPr>
        <w:t> </w:t>
      </w:r>
      <w:r w:rsidRPr="006605A0">
        <w:rPr>
          <w:lang w:val="en-US"/>
        </w:rPr>
        <w:t>Zanzibar</w:t>
      </w:r>
    </w:p>
    <w:p w:rsidR="00AD593A" w:rsidRPr="006605A0" w:rsidRDefault="00AD593A" w:rsidP="00AD593A">
      <w:pPr>
        <w:pStyle w:val="SingleTxt"/>
        <w:rPr>
          <w:lang w:val="en-US"/>
        </w:rPr>
      </w:pPr>
      <w:r w:rsidRPr="006605A0">
        <w:rPr>
          <w:lang w:val="en-US"/>
        </w:rPr>
        <w:t>Occupational Safety and Health, No. 5 of 2003</w:t>
      </w:r>
    </w:p>
    <w:p w:rsidR="00AD593A" w:rsidRPr="006605A0" w:rsidRDefault="00AD593A" w:rsidP="00AD593A">
      <w:pPr>
        <w:pStyle w:val="SingleTxt"/>
        <w:rPr>
          <w:lang w:val="en-US"/>
        </w:rPr>
      </w:pPr>
      <w:r w:rsidRPr="006605A0">
        <w:rPr>
          <w:lang w:val="en-US"/>
        </w:rPr>
        <w:t>Penal Code, Cap. 16 R.E. 2002</w:t>
      </w:r>
    </w:p>
    <w:p w:rsidR="00AD593A" w:rsidRPr="006605A0" w:rsidRDefault="00AD593A" w:rsidP="00AD593A">
      <w:pPr>
        <w:pStyle w:val="SingleTxt"/>
        <w:rPr>
          <w:lang w:val="en-US"/>
        </w:rPr>
      </w:pPr>
      <w:r w:rsidRPr="006605A0">
        <w:rPr>
          <w:lang w:val="en-US"/>
        </w:rPr>
        <w:t>Persons with Disabilities Act (2010)</w:t>
      </w:r>
    </w:p>
    <w:p w:rsidR="00AD593A" w:rsidRPr="006605A0" w:rsidRDefault="00AD593A" w:rsidP="00AD593A">
      <w:pPr>
        <w:pStyle w:val="SingleTxt"/>
        <w:rPr>
          <w:lang w:val="en-US"/>
        </w:rPr>
      </w:pPr>
      <w:r w:rsidRPr="006605A0">
        <w:rPr>
          <w:lang w:val="en-US"/>
        </w:rPr>
        <w:t>Political Parties Act (1992)</w:t>
      </w:r>
    </w:p>
    <w:p w:rsidR="00AD593A" w:rsidRPr="006605A0" w:rsidRDefault="00AD593A" w:rsidP="00AD593A">
      <w:pPr>
        <w:pStyle w:val="SingleTxt"/>
        <w:rPr>
          <w:lang w:val="en-US"/>
        </w:rPr>
      </w:pPr>
      <w:r w:rsidRPr="006605A0">
        <w:rPr>
          <w:lang w:val="en-US"/>
        </w:rPr>
        <w:t>Probate and Administration of Estates Act, Cap. 352 R.E. 2002</w:t>
      </w:r>
    </w:p>
    <w:p w:rsidR="00AD593A" w:rsidRPr="006605A0" w:rsidRDefault="00AD593A" w:rsidP="00AD593A">
      <w:pPr>
        <w:pStyle w:val="SingleTxt"/>
        <w:rPr>
          <w:lang w:val="en-US"/>
        </w:rPr>
      </w:pPr>
      <w:r w:rsidRPr="006605A0">
        <w:rPr>
          <w:lang w:val="en-US"/>
        </w:rPr>
        <w:t>Public Service Act (2002) Act No. 8 of 2002 (as amended by Act No. 18 of 2007)</w:t>
      </w:r>
    </w:p>
    <w:p w:rsidR="00AD593A" w:rsidRPr="006605A0" w:rsidRDefault="00AD593A" w:rsidP="00AD593A">
      <w:pPr>
        <w:pStyle w:val="SingleTxt"/>
        <w:rPr>
          <w:lang w:val="en-US"/>
        </w:rPr>
      </w:pPr>
      <w:r w:rsidRPr="006605A0">
        <w:rPr>
          <w:lang w:val="en-US"/>
        </w:rPr>
        <w:t>Public Service (Negotiating Machinery) Act</w:t>
      </w:r>
      <w:r w:rsidRPr="006605A0">
        <w:rPr>
          <w:b/>
          <w:lang w:val="en-US"/>
        </w:rPr>
        <w:t>,</w:t>
      </w:r>
      <w:r w:rsidRPr="006605A0">
        <w:rPr>
          <w:lang w:val="en-US"/>
        </w:rPr>
        <w:t xml:space="preserve"> No. 19 of 2003</w:t>
      </w:r>
    </w:p>
    <w:p w:rsidR="00AD593A" w:rsidRPr="006605A0" w:rsidRDefault="00AD593A" w:rsidP="00AD593A">
      <w:pPr>
        <w:pStyle w:val="SingleTxt"/>
        <w:rPr>
          <w:lang w:val="en-US"/>
        </w:rPr>
      </w:pPr>
      <w:r w:rsidRPr="006605A0">
        <w:rPr>
          <w:lang w:val="en-US"/>
        </w:rPr>
        <w:t>Sexual Offences Special Provisions Act, Act No. 4 of 1998</w:t>
      </w:r>
    </w:p>
    <w:p w:rsidR="00AD593A" w:rsidRPr="006605A0" w:rsidRDefault="00AD593A" w:rsidP="00AD593A">
      <w:pPr>
        <w:pStyle w:val="SingleTxt"/>
        <w:rPr>
          <w:lang w:val="en-US"/>
        </w:rPr>
      </w:pPr>
      <w:r w:rsidRPr="006605A0">
        <w:rPr>
          <w:lang w:val="en-US"/>
        </w:rPr>
        <w:t>Social Security Regulation Act (2010)</w:t>
      </w:r>
    </w:p>
    <w:p w:rsidR="00AD593A" w:rsidRPr="006605A0" w:rsidRDefault="00AD593A" w:rsidP="00AD593A">
      <w:pPr>
        <w:pStyle w:val="SingleTxt"/>
        <w:rPr>
          <w:lang w:val="en-US"/>
        </w:rPr>
      </w:pPr>
      <w:r w:rsidRPr="006605A0">
        <w:rPr>
          <w:lang w:val="en-US"/>
        </w:rPr>
        <w:t>Spinsters and Single Parent Child Act</w:t>
      </w:r>
    </w:p>
    <w:p w:rsidR="00AD593A" w:rsidRPr="006605A0" w:rsidRDefault="00AD593A" w:rsidP="00AD593A">
      <w:pPr>
        <w:pStyle w:val="SingleTxt"/>
        <w:rPr>
          <w:lang w:val="en-US"/>
        </w:rPr>
      </w:pPr>
      <w:r w:rsidRPr="006605A0">
        <w:rPr>
          <w:lang w:val="en-US"/>
        </w:rPr>
        <w:t>Succession Decree, Cap. 21 of the Laws of Zanzibar</w:t>
      </w:r>
    </w:p>
    <w:p w:rsidR="00AD593A" w:rsidRPr="006605A0" w:rsidRDefault="00AD593A" w:rsidP="00AD593A">
      <w:pPr>
        <w:pStyle w:val="SingleTxt"/>
        <w:rPr>
          <w:lang w:val="en-US"/>
        </w:rPr>
      </w:pPr>
      <w:r w:rsidRPr="006605A0">
        <w:rPr>
          <w:lang w:val="en-US"/>
        </w:rPr>
        <w:t>Trade Unions Act, Cap. 244 R.E. 2002</w:t>
      </w:r>
    </w:p>
    <w:p w:rsidR="00AD593A" w:rsidRPr="006605A0" w:rsidRDefault="00AD593A" w:rsidP="00AD593A">
      <w:pPr>
        <w:pStyle w:val="SingleTxt"/>
        <w:rPr>
          <w:lang w:val="en-US"/>
        </w:rPr>
      </w:pPr>
      <w:r w:rsidRPr="006605A0">
        <w:rPr>
          <w:lang w:val="en-US"/>
        </w:rPr>
        <w:t>Village Land Act (1999)</w:t>
      </w:r>
    </w:p>
    <w:p w:rsidR="00AD593A" w:rsidRPr="006605A0" w:rsidRDefault="00AD593A" w:rsidP="00AD593A">
      <w:pPr>
        <w:pStyle w:val="SingleTxt"/>
        <w:rPr>
          <w:lang w:val="en-US"/>
        </w:rPr>
      </w:pPr>
      <w:r w:rsidRPr="006605A0">
        <w:rPr>
          <w:lang w:val="en-US"/>
        </w:rPr>
        <w:t>Zanzibar Children’s Act (2011)</w:t>
      </w:r>
    </w:p>
    <w:p w:rsidR="00AD593A" w:rsidRPr="006605A0" w:rsidRDefault="00AD593A" w:rsidP="00AD593A">
      <w:pPr>
        <w:pStyle w:val="SingleTxt"/>
        <w:rPr>
          <w:lang w:val="en-US"/>
        </w:rPr>
      </w:pPr>
      <w:r w:rsidRPr="006605A0">
        <w:rPr>
          <w:lang w:val="en-US"/>
        </w:rPr>
        <w:t>Zanzibar Education Act, No. 6 of 1982</w:t>
      </w:r>
    </w:p>
    <w:p w:rsidR="00AD593A" w:rsidRPr="006605A0" w:rsidRDefault="00AD593A" w:rsidP="00AD593A">
      <w:pPr>
        <w:pStyle w:val="SingleTxt"/>
        <w:rPr>
          <w:lang w:val="en-US"/>
        </w:rPr>
      </w:pPr>
      <w:r w:rsidRPr="006605A0">
        <w:rPr>
          <w:lang w:val="en-US"/>
        </w:rPr>
        <w:t>Zanzibar Elections Act (No. 11 of 1984)</w:t>
      </w:r>
    </w:p>
    <w:p w:rsidR="00AD593A" w:rsidRPr="006605A0" w:rsidRDefault="00AD593A" w:rsidP="00AD593A">
      <w:pPr>
        <w:pStyle w:val="SingleTxt"/>
        <w:rPr>
          <w:lang w:val="en-US"/>
        </w:rPr>
      </w:pPr>
      <w:r w:rsidRPr="006605A0">
        <w:rPr>
          <w:lang w:val="en-US"/>
        </w:rPr>
        <w:t>Zanzibar Employment Act (2005), Act No. 1 of 2005</w:t>
      </w:r>
    </w:p>
    <w:p w:rsidR="00AD593A" w:rsidRPr="006605A0" w:rsidRDefault="00AD593A" w:rsidP="00AD593A">
      <w:pPr>
        <w:pStyle w:val="SingleTxt"/>
        <w:rPr>
          <w:lang w:val="en-US"/>
        </w:rPr>
      </w:pPr>
      <w:r w:rsidRPr="006605A0">
        <w:rPr>
          <w:lang w:val="en-US"/>
        </w:rPr>
        <w:t>Zanzibar High Court Act, Act No. 2 of 1985</w:t>
      </w:r>
    </w:p>
    <w:p w:rsidR="00AD593A" w:rsidRPr="006605A0" w:rsidRDefault="00AD593A" w:rsidP="00AD593A">
      <w:pPr>
        <w:pStyle w:val="SingleTxt"/>
        <w:rPr>
          <w:lang w:val="en-US"/>
        </w:rPr>
      </w:pPr>
      <w:r w:rsidRPr="006605A0">
        <w:rPr>
          <w:lang w:val="en-US"/>
        </w:rPr>
        <w:t>Zanzibar Kadhi’s Court Act, Act No. 3 of 1985</w:t>
      </w:r>
    </w:p>
    <w:p w:rsidR="00AD593A" w:rsidRPr="006605A0" w:rsidRDefault="00AD593A" w:rsidP="00AD593A">
      <w:pPr>
        <w:pStyle w:val="SingleTxt"/>
        <w:rPr>
          <w:lang w:val="en-US"/>
        </w:rPr>
      </w:pPr>
      <w:r w:rsidRPr="006605A0">
        <w:rPr>
          <w:lang w:val="en-US"/>
        </w:rPr>
        <w:t>Zanzibar Magistrates’ Courts Act, Act No. 6 of 1985</w:t>
      </w:r>
    </w:p>
    <w:p w:rsidR="00AD593A" w:rsidRPr="006605A0" w:rsidRDefault="00AD593A" w:rsidP="00AD593A">
      <w:pPr>
        <w:pStyle w:val="SingleTxt"/>
        <w:rPr>
          <w:lang w:val="en-US"/>
        </w:rPr>
      </w:pPr>
      <w:r w:rsidRPr="006605A0">
        <w:rPr>
          <w:bCs/>
          <w:lang w:val="en-US"/>
        </w:rPr>
        <w:t xml:space="preserve">Zanzibar </w:t>
      </w:r>
      <w:r w:rsidRPr="006605A0">
        <w:rPr>
          <w:lang w:val="en-US"/>
        </w:rPr>
        <w:t>Penal Act (2004)</w:t>
      </w:r>
    </w:p>
    <w:p w:rsidR="00AD593A" w:rsidRPr="006605A0" w:rsidRDefault="00AD593A" w:rsidP="00AD593A">
      <w:pPr>
        <w:pStyle w:val="SingleTxt"/>
        <w:rPr>
          <w:lang w:val="en-US"/>
        </w:rPr>
      </w:pPr>
      <w:r w:rsidRPr="006605A0">
        <w:rPr>
          <w:lang w:val="en-US"/>
        </w:rPr>
        <w:t>Zanzibar Persons with Disabilities (Rights and Privileges) Act (2006)</w:t>
      </w:r>
    </w:p>
    <w:p w:rsidR="00F7009F" w:rsidRPr="00F7009F" w:rsidRDefault="00F7009F" w:rsidP="00F7009F">
      <w:pPr>
        <w:pStyle w:val="SingleTxt"/>
        <w:spacing w:after="0" w:line="120" w:lineRule="exact"/>
        <w:rPr>
          <w:b/>
          <w:sz w:val="10"/>
        </w:rPr>
      </w:pPr>
    </w:p>
    <w:p w:rsidR="00AD593A" w:rsidRPr="00F7009F" w:rsidRDefault="00F7009F" w:rsidP="00F700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AD593A" w:rsidRPr="00F7009F">
        <w:t>Нормативные</w:t>
      </w:r>
      <w:r w:rsidR="00AD593A" w:rsidRPr="00F7009F">
        <w:rPr>
          <w:lang w:val="en-US"/>
        </w:rPr>
        <w:t xml:space="preserve"> </w:t>
      </w:r>
      <w:r w:rsidR="00AD593A" w:rsidRPr="00F7009F">
        <w:t>акты</w:t>
      </w:r>
    </w:p>
    <w:p w:rsidR="00F7009F" w:rsidRPr="00F7009F" w:rsidRDefault="00F7009F" w:rsidP="00F7009F">
      <w:pPr>
        <w:pStyle w:val="SingleTxt"/>
        <w:spacing w:after="0" w:line="120" w:lineRule="exact"/>
        <w:jc w:val="left"/>
        <w:rPr>
          <w:bCs/>
          <w:sz w:val="10"/>
          <w:lang w:val="en-US"/>
        </w:rPr>
      </w:pPr>
    </w:p>
    <w:p w:rsidR="00AD593A" w:rsidRPr="006605A0" w:rsidRDefault="00AD593A" w:rsidP="00AD593A">
      <w:pPr>
        <w:pStyle w:val="SingleTxt"/>
        <w:jc w:val="left"/>
        <w:rPr>
          <w:bCs/>
          <w:lang w:val="en-US"/>
        </w:rPr>
      </w:pPr>
      <w:r w:rsidRPr="006605A0">
        <w:rPr>
          <w:bCs/>
          <w:lang w:val="en-US"/>
        </w:rPr>
        <w:t>Commission for Human Rights and Good Governance (Complaints Procedure) Re</w:t>
      </w:r>
      <w:r w:rsidRPr="006605A0">
        <w:rPr>
          <w:bCs/>
          <w:lang w:val="en-US"/>
        </w:rPr>
        <w:t>g</w:t>
      </w:r>
      <w:r w:rsidRPr="006605A0">
        <w:rPr>
          <w:bCs/>
          <w:lang w:val="en-US"/>
        </w:rPr>
        <w:t>ulations (2003)</w:t>
      </w:r>
    </w:p>
    <w:p w:rsidR="00AD593A" w:rsidRPr="006605A0" w:rsidRDefault="00AD593A" w:rsidP="00AD593A">
      <w:pPr>
        <w:pStyle w:val="SingleTxt"/>
        <w:jc w:val="left"/>
        <w:rPr>
          <w:bCs/>
          <w:lang w:val="en-US"/>
        </w:rPr>
      </w:pPr>
      <w:r w:rsidRPr="006605A0">
        <w:rPr>
          <w:lang w:val="en-US"/>
        </w:rPr>
        <w:t>Employment and Labour Relations (Code of Good Practice) Rules (2007)</w:t>
      </w:r>
    </w:p>
    <w:p w:rsidR="00AD593A" w:rsidRPr="006605A0" w:rsidRDefault="00AD593A" w:rsidP="00AD593A">
      <w:pPr>
        <w:pStyle w:val="SingleTxt"/>
        <w:jc w:val="left"/>
        <w:rPr>
          <w:lang w:val="en-US"/>
        </w:rPr>
      </w:pPr>
      <w:r w:rsidRPr="006605A0">
        <w:rPr>
          <w:lang w:val="en-US"/>
        </w:rPr>
        <w:t>Labour Institutions Act (Ethics and Code of Conduct for Mediators and Arbitrators) Rules (2007), GN. No. 66, dated 23</w:t>
      </w:r>
      <w:r w:rsidRPr="006605A0">
        <w:rPr>
          <w:vertAlign w:val="superscript"/>
          <w:lang w:val="en-US"/>
        </w:rPr>
        <w:t>rd</w:t>
      </w:r>
      <w:r w:rsidRPr="006605A0">
        <w:rPr>
          <w:lang w:val="en-US"/>
        </w:rPr>
        <w:t xml:space="preserve"> March 2007</w:t>
      </w:r>
    </w:p>
    <w:p w:rsidR="00AD593A" w:rsidRPr="006605A0" w:rsidRDefault="00AD593A" w:rsidP="00AD593A">
      <w:pPr>
        <w:pStyle w:val="SingleTxt"/>
        <w:jc w:val="left"/>
        <w:rPr>
          <w:lang w:val="en-US"/>
        </w:rPr>
      </w:pPr>
      <w:r w:rsidRPr="006605A0">
        <w:rPr>
          <w:lang w:val="en-US"/>
        </w:rPr>
        <w:t>Labour Institutions (Mediation and Arbitration Guidelines) Rules, GN. No. 67 of</w:t>
      </w:r>
      <w:r w:rsidRPr="005D4ED5">
        <w:rPr>
          <w:lang w:val="en-US"/>
        </w:rPr>
        <w:t> </w:t>
      </w:r>
      <w:r w:rsidRPr="006605A0">
        <w:rPr>
          <w:lang w:val="en-US"/>
        </w:rPr>
        <w:t>2007</w:t>
      </w:r>
    </w:p>
    <w:p w:rsidR="00AD593A" w:rsidRPr="006605A0" w:rsidRDefault="00AD593A" w:rsidP="00AD593A">
      <w:pPr>
        <w:pStyle w:val="SingleTxt"/>
        <w:jc w:val="left"/>
        <w:rPr>
          <w:lang w:val="en-US"/>
        </w:rPr>
      </w:pPr>
      <w:r w:rsidRPr="006605A0">
        <w:rPr>
          <w:lang w:val="en-US"/>
        </w:rPr>
        <w:t>High Court of the United Republic of Tanzania Labour Court (Labour Division) (Zonal Centres) (Establishment) Rules (2010), GN No. 209 of 11 June 2010</w:t>
      </w:r>
    </w:p>
    <w:p w:rsidR="00AD593A" w:rsidRPr="006605A0" w:rsidRDefault="00AD593A" w:rsidP="00AD593A">
      <w:pPr>
        <w:pStyle w:val="SingleTxt"/>
        <w:jc w:val="left"/>
        <w:rPr>
          <w:lang w:val="en-US"/>
        </w:rPr>
      </w:pPr>
      <w:r w:rsidRPr="006605A0">
        <w:rPr>
          <w:lang w:val="en-US"/>
        </w:rPr>
        <w:t>Labour Institutions (Regulation of Wages and Terms of Employment) Order (2007), GN. No. 223 of 16</w:t>
      </w:r>
      <w:r w:rsidRPr="006605A0">
        <w:rPr>
          <w:vertAlign w:val="superscript"/>
          <w:lang w:val="en-US"/>
        </w:rPr>
        <w:t>th</w:t>
      </w:r>
      <w:r w:rsidRPr="006605A0">
        <w:rPr>
          <w:lang w:val="en-US"/>
        </w:rPr>
        <w:t xml:space="preserve"> November 2007</w:t>
      </w:r>
    </w:p>
    <w:p w:rsidR="00AD593A" w:rsidRPr="006605A0" w:rsidRDefault="00AD593A" w:rsidP="00AD593A">
      <w:pPr>
        <w:pStyle w:val="SingleTxt"/>
        <w:jc w:val="left"/>
        <w:rPr>
          <w:spacing w:val="2"/>
          <w:lang w:val="en-US"/>
        </w:rPr>
      </w:pPr>
      <w:r w:rsidRPr="006605A0">
        <w:rPr>
          <w:spacing w:val="2"/>
          <w:lang w:val="en-US"/>
        </w:rPr>
        <w:t>Primary School (Compulsory Enrolment and Attendance) Rules (1979) [G.N. No. 280 of 2002]</w:t>
      </w:r>
    </w:p>
    <w:p w:rsidR="00AD593A" w:rsidRPr="006605A0" w:rsidRDefault="00AD593A" w:rsidP="00AD593A">
      <w:pPr>
        <w:pStyle w:val="SingleTxt"/>
        <w:jc w:val="left"/>
        <w:rPr>
          <w:lang w:val="en-US"/>
        </w:rPr>
      </w:pPr>
      <w:r w:rsidRPr="006605A0">
        <w:rPr>
          <w:lang w:val="en-US"/>
        </w:rPr>
        <w:t>Public Service Regulations (2003)</w:t>
      </w:r>
    </w:p>
    <w:p w:rsidR="00AD593A" w:rsidRPr="006605A0" w:rsidRDefault="00AD593A" w:rsidP="00AD593A">
      <w:pPr>
        <w:pStyle w:val="SingleTxt"/>
        <w:jc w:val="left"/>
        <w:rPr>
          <w:lang w:val="en-US"/>
        </w:rPr>
      </w:pPr>
      <w:r w:rsidRPr="006605A0">
        <w:rPr>
          <w:lang w:val="en-US"/>
        </w:rPr>
        <w:t>Regulation of Wages and Terms of Employment Order (2010), GN No. 172 of 30</w:t>
      </w:r>
      <w:r w:rsidRPr="006605A0">
        <w:rPr>
          <w:vertAlign w:val="superscript"/>
          <w:lang w:val="en-US"/>
        </w:rPr>
        <w:t>th </w:t>
      </w:r>
      <w:r w:rsidRPr="006605A0">
        <w:rPr>
          <w:lang w:val="en-US"/>
        </w:rPr>
        <w:t>April 2010</w:t>
      </w:r>
    </w:p>
    <w:p w:rsidR="00AD593A" w:rsidRDefault="00AD593A" w:rsidP="00AD593A">
      <w:pPr>
        <w:pStyle w:val="SingleTxt"/>
        <w:jc w:val="left"/>
        <w:rPr>
          <w:lang w:val="en-US"/>
        </w:rPr>
      </w:pPr>
      <w:r w:rsidRPr="006605A0">
        <w:rPr>
          <w:lang w:val="en-US"/>
        </w:rPr>
        <w:t>Rules on Will, Third Schedule to the Local Customary Law (Declaration) (1963) (No. 4) Oder, GN. No. 436 of 1963</w:t>
      </w:r>
    </w:p>
    <w:p w:rsidR="00F7009F" w:rsidRPr="00F7009F" w:rsidRDefault="00F7009F" w:rsidP="00F7009F">
      <w:pPr>
        <w:pStyle w:val="SingleTxt"/>
        <w:spacing w:after="0" w:line="120" w:lineRule="exact"/>
        <w:jc w:val="left"/>
        <w:rPr>
          <w:sz w:val="10"/>
          <w:lang w:val="en-US"/>
        </w:rPr>
      </w:pPr>
    </w:p>
    <w:p w:rsidR="00AD593A" w:rsidRPr="00F7009F" w:rsidRDefault="00F7009F" w:rsidP="00F700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AD593A" w:rsidRPr="00F7009F">
        <w:t>Судебные</w:t>
      </w:r>
      <w:r w:rsidR="00AD593A" w:rsidRPr="00F7009F">
        <w:rPr>
          <w:lang w:val="en-US"/>
        </w:rPr>
        <w:t xml:space="preserve"> </w:t>
      </w:r>
      <w:r w:rsidR="00AD593A" w:rsidRPr="00F7009F">
        <w:t>дела</w:t>
      </w:r>
    </w:p>
    <w:p w:rsidR="00F7009F" w:rsidRPr="00F7009F" w:rsidRDefault="00F7009F" w:rsidP="00F7009F">
      <w:pPr>
        <w:pStyle w:val="SingleTxt"/>
        <w:spacing w:after="0" w:line="120" w:lineRule="exact"/>
        <w:rPr>
          <w:i/>
          <w:sz w:val="10"/>
          <w:lang w:val="en-US"/>
        </w:rPr>
      </w:pPr>
    </w:p>
    <w:p w:rsidR="00AD593A" w:rsidRPr="006605A0" w:rsidRDefault="00AD593A" w:rsidP="00AD593A">
      <w:pPr>
        <w:pStyle w:val="SingleTxt"/>
        <w:rPr>
          <w:lang w:val="en-US"/>
        </w:rPr>
      </w:pPr>
      <w:r w:rsidRPr="006605A0">
        <w:rPr>
          <w:i/>
          <w:lang w:val="en-US"/>
        </w:rPr>
        <w:t>Abubakar Haji Yakubu v Air Tanzania Co. Ltd.</w:t>
      </w:r>
      <w:r w:rsidRPr="006605A0">
        <w:rPr>
          <w:lang w:val="en-US"/>
        </w:rPr>
        <w:t xml:space="preserve"> High Court of Tanzania (Labour D</w:t>
      </w:r>
      <w:r w:rsidRPr="006605A0">
        <w:rPr>
          <w:lang w:val="en-US"/>
        </w:rPr>
        <w:t>i</w:t>
      </w:r>
      <w:r w:rsidRPr="006605A0">
        <w:rPr>
          <w:lang w:val="en-US"/>
        </w:rPr>
        <w:t>vision) at Dar es Salaam, Revision No. 162 of 2011 (unreported)</w:t>
      </w:r>
    </w:p>
    <w:p w:rsidR="00AD593A" w:rsidRPr="006605A0" w:rsidRDefault="00AD593A" w:rsidP="00AD593A">
      <w:pPr>
        <w:pStyle w:val="SingleTxt"/>
        <w:rPr>
          <w:lang w:val="en-US"/>
        </w:rPr>
      </w:pPr>
      <w:r w:rsidRPr="006605A0">
        <w:rPr>
          <w:i/>
          <w:lang w:val="en-US"/>
        </w:rPr>
        <w:t>AG v Maria Mselemu</w:t>
      </w:r>
      <w:r w:rsidRPr="006605A0">
        <w:rPr>
          <w:lang w:val="en-US"/>
        </w:rPr>
        <w:t xml:space="preserve"> High Court of Tanzania (Labour Division) at Dar es Salaam, Labour Revision No. 270 of 2008 (Unreported) [consolidated with </w:t>
      </w:r>
      <w:r w:rsidRPr="006605A0">
        <w:rPr>
          <w:i/>
          <w:lang w:val="en-US"/>
        </w:rPr>
        <w:t>AG v Allan Mu</w:t>
      </w:r>
      <w:r w:rsidRPr="006605A0">
        <w:rPr>
          <w:i/>
          <w:lang w:val="en-US"/>
        </w:rPr>
        <w:t>l</w:t>
      </w:r>
      <w:r w:rsidRPr="006605A0">
        <w:rPr>
          <w:i/>
          <w:lang w:val="en-US"/>
        </w:rPr>
        <w:t>la</w:t>
      </w:r>
      <w:r w:rsidRPr="006605A0">
        <w:rPr>
          <w:lang w:val="en-US"/>
        </w:rPr>
        <w:t xml:space="preserve"> High Court of Tanzania (Labour Division) at Dar es Salaam, Labour Revision No. 271 of 2008 (unreported)]</w:t>
      </w:r>
    </w:p>
    <w:p w:rsidR="00AD593A" w:rsidRPr="006605A0" w:rsidRDefault="00AD593A" w:rsidP="00AD593A">
      <w:pPr>
        <w:pStyle w:val="SingleTxt"/>
        <w:rPr>
          <w:bCs/>
          <w:lang w:val="en-US"/>
        </w:rPr>
      </w:pPr>
      <w:r w:rsidRPr="006605A0">
        <w:rPr>
          <w:i/>
          <w:lang w:val="en-US"/>
        </w:rPr>
        <w:t>Attorney-General v Chama cha Walimu Tanzania</w:t>
      </w:r>
      <w:r w:rsidRPr="006605A0">
        <w:rPr>
          <w:lang w:val="en-US"/>
        </w:rPr>
        <w:t xml:space="preserve"> High Court of Tanzania (Labour Division) at Dar es Salaam, </w:t>
      </w:r>
      <w:r w:rsidRPr="006605A0">
        <w:rPr>
          <w:bCs/>
          <w:lang w:val="en-US"/>
        </w:rPr>
        <w:t>Application No. 19 of 2008 (unreported)</w:t>
      </w:r>
    </w:p>
    <w:p w:rsidR="00AD593A" w:rsidRPr="006605A0" w:rsidRDefault="00AD593A" w:rsidP="00AD593A">
      <w:pPr>
        <w:pStyle w:val="SingleTxt"/>
        <w:rPr>
          <w:lang w:val="en-US"/>
        </w:rPr>
      </w:pPr>
      <w:r w:rsidRPr="006605A0">
        <w:rPr>
          <w:i/>
          <w:lang w:val="en-US"/>
        </w:rPr>
        <w:t xml:space="preserve">Amir Adam Timan v The Republic of The Sudan </w:t>
      </w:r>
      <w:r w:rsidRPr="006605A0">
        <w:rPr>
          <w:lang w:val="en-US"/>
        </w:rPr>
        <w:t>Application No. 005/2012</w:t>
      </w:r>
    </w:p>
    <w:p w:rsidR="00AD593A" w:rsidRPr="006605A0" w:rsidRDefault="00AD593A" w:rsidP="00AD593A">
      <w:pPr>
        <w:pStyle w:val="SingleTxt"/>
        <w:rPr>
          <w:lang w:val="en-US"/>
        </w:rPr>
      </w:pPr>
      <w:r w:rsidRPr="006605A0">
        <w:rPr>
          <w:i/>
          <w:lang w:val="en-US"/>
        </w:rPr>
        <w:t>Attorney-General v Rev. Christopher Mtikila</w:t>
      </w:r>
      <w:r w:rsidRPr="006605A0">
        <w:rPr>
          <w:lang w:val="en-US"/>
        </w:rPr>
        <w:t>, Civil Appeal No. 45 of 2009 (unr</w:t>
      </w:r>
      <w:r w:rsidRPr="006605A0">
        <w:rPr>
          <w:lang w:val="en-US"/>
        </w:rPr>
        <w:t>e</w:t>
      </w:r>
      <w:r w:rsidRPr="006605A0">
        <w:rPr>
          <w:lang w:val="en-US"/>
        </w:rPr>
        <w:t>ported)</w:t>
      </w:r>
    </w:p>
    <w:p w:rsidR="00AD593A" w:rsidRPr="006605A0" w:rsidRDefault="00AD593A" w:rsidP="00AD593A">
      <w:pPr>
        <w:pStyle w:val="SingleTxt"/>
        <w:rPr>
          <w:lang w:val="en-US"/>
        </w:rPr>
      </w:pPr>
      <w:r w:rsidRPr="006605A0">
        <w:rPr>
          <w:i/>
          <w:lang w:val="en-US"/>
        </w:rPr>
        <w:t>Elizabeth Stephen &amp; Another v AG</w:t>
      </w:r>
      <w:r w:rsidRPr="006605A0">
        <w:rPr>
          <w:lang w:val="en-US"/>
        </w:rPr>
        <w:t xml:space="preserve"> High Court of Tanzania at Dar es Salaam, Misc. Civil Cause No. 82 of 2005 (unreported)</w:t>
      </w:r>
    </w:p>
    <w:p w:rsidR="00AD593A" w:rsidRPr="006605A0" w:rsidRDefault="00AD593A" w:rsidP="00AD593A">
      <w:pPr>
        <w:pStyle w:val="SingleTxt"/>
        <w:rPr>
          <w:lang w:val="en-US"/>
        </w:rPr>
      </w:pPr>
      <w:r w:rsidRPr="006605A0">
        <w:rPr>
          <w:i/>
          <w:lang w:val="en-US"/>
        </w:rPr>
        <w:t xml:space="preserve">Femi Falana v African Union </w:t>
      </w:r>
      <w:r w:rsidRPr="006605A0">
        <w:rPr>
          <w:lang w:val="en-US"/>
        </w:rPr>
        <w:t>Application No. 001/2011 (AfCHPR)</w:t>
      </w:r>
    </w:p>
    <w:p w:rsidR="00AD593A" w:rsidRPr="006605A0" w:rsidRDefault="00AD593A" w:rsidP="00AD593A">
      <w:pPr>
        <w:pStyle w:val="SingleTxt"/>
        <w:rPr>
          <w:bCs/>
          <w:lang w:val="en-US"/>
        </w:rPr>
      </w:pPr>
      <w:r w:rsidRPr="006605A0">
        <w:rPr>
          <w:bCs/>
          <w:i/>
          <w:iCs/>
          <w:lang w:val="en-US"/>
        </w:rPr>
        <w:t xml:space="preserve">Ibrahimu Korosso &amp; 134 Others </w:t>
      </w:r>
      <w:r w:rsidRPr="006605A0">
        <w:rPr>
          <w:bCs/>
          <w:i/>
          <w:lang w:val="en-US"/>
        </w:rPr>
        <w:t>together with the Legal and Human Rights Centre v</w:t>
      </w:r>
      <w:r w:rsidRPr="006605A0">
        <w:rPr>
          <w:bCs/>
          <w:lang w:val="en-US"/>
        </w:rPr>
        <w:t xml:space="preserve"> </w:t>
      </w:r>
      <w:r w:rsidRPr="006605A0">
        <w:rPr>
          <w:bCs/>
          <w:i/>
          <w:lang w:val="en-US"/>
        </w:rPr>
        <w:t>District Commissioner and the Police Officer in Command of Serengeti District t</w:t>
      </w:r>
      <w:r w:rsidRPr="006605A0">
        <w:rPr>
          <w:bCs/>
          <w:i/>
          <w:lang w:val="en-US"/>
        </w:rPr>
        <w:t>o</w:t>
      </w:r>
      <w:r w:rsidRPr="006605A0">
        <w:rPr>
          <w:bCs/>
          <w:i/>
          <w:lang w:val="en-US"/>
        </w:rPr>
        <w:t>gether with the Attorney General</w:t>
      </w:r>
      <w:r w:rsidRPr="006605A0">
        <w:rPr>
          <w:bCs/>
          <w:lang w:val="en-US"/>
        </w:rPr>
        <w:t>, HBUB/</w:t>
      </w:r>
      <w:hyperlink r:id="rId14" w:history="1">
        <w:r w:rsidRPr="006605A0">
          <w:rPr>
            <w:rStyle w:val="Hyperlink"/>
            <w:bCs/>
            <w:lang w:val="en-US"/>
          </w:rPr>
          <w:t>S/1032/2002/2003/MARA</w:t>
        </w:r>
      </w:hyperlink>
    </w:p>
    <w:p w:rsidR="00AD593A" w:rsidRPr="006605A0" w:rsidRDefault="00AD593A" w:rsidP="00AD593A">
      <w:pPr>
        <w:pStyle w:val="SingleTxt"/>
        <w:rPr>
          <w:lang w:val="en-US"/>
        </w:rPr>
      </w:pPr>
      <w:r w:rsidRPr="006605A0">
        <w:rPr>
          <w:i/>
          <w:lang w:val="en-US"/>
        </w:rPr>
        <w:t>Julius Ishengoma Francis Ndyanabo v A.G.</w:t>
      </w:r>
      <w:r w:rsidRPr="006605A0">
        <w:rPr>
          <w:lang w:val="en-US"/>
        </w:rPr>
        <w:t xml:space="preserve"> Court of Appeal of Tanzania at Dar es Salaam, Civil Appeal No. 64 of 2001 (Unreported)</w:t>
      </w:r>
    </w:p>
    <w:p w:rsidR="00AD593A" w:rsidRPr="006605A0" w:rsidRDefault="00AD593A" w:rsidP="00AD593A">
      <w:pPr>
        <w:pStyle w:val="SingleTxt"/>
        <w:rPr>
          <w:lang w:val="en-US"/>
        </w:rPr>
      </w:pPr>
      <w:r w:rsidRPr="006605A0">
        <w:rPr>
          <w:i/>
          <w:lang w:val="en-US"/>
        </w:rPr>
        <w:t xml:space="preserve">Legal and Human Rights Centre, Lawyers Environmental Action Team &amp; National Organisation for Legal Assistance v A.G. </w:t>
      </w:r>
      <w:r w:rsidRPr="006605A0">
        <w:rPr>
          <w:lang w:val="en-US"/>
        </w:rPr>
        <w:t>High Court of Tanzania at Dar es Salaam, Miscellaneous Civil Cause No. 77 of 2005 (Unreported)</w:t>
      </w:r>
    </w:p>
    <w:p w:rsidR="00AD593A" w:rsidRPr="006605A0" w:rsidRDefault="00AD593A" w:rsidP="00AD593A">
      <w:pPr>
        <w:pStyle w:val="SingleTxt"/>
        <w:rPr>
          <w:lang w:val="en-US"/>
        </w:rPr>
      </w:pPr>
      <w:r w:rsidRPr="006605A0">
        <w:rPr>
          <w:i/>
          <w:lang w:val="en-US"/>
        </w:rPr>
        <w:t xml:space="preserve">Michelot Yogogombaye v Senegal </w:t>
      </w:r>
      <w:r w:rsidRPr="006605A0">
        <w:rPr>
          <w:lang w:val="en-US"/>
        </w:rPr>
        <w:t>Application No. 001/2008 (AfCHPR)</w:t>
      </w:r>
    </w:p>
    <w:p w:rsidR="00AD593A" w:rsidRPr="006605A0" w:rsidRDefault="00AD593A" w:rsidP="00AD593A">
      <w:pPr>
        <w:pStyle w:val="SingleTxt"/>
        <w:rPr>
          <w:lang w:val="en-US"/>
        </w:rPr>
      </w:pPr>
      <w:r w:rsidRPr="006605A0">
        <w:rPr>
          <w:bCs/>
          <w:i/>
          <w:lang w:val="en-US"/>
        </w:rPr>
        <w:t>Rukia M. Utope v The Principal Secretary, Ministry of State (Women and Children)</w:t>
      </w:r>
      <w:r w:rsidRPr="006605A0">
        <w:rPr>
          <w:bCs/>
          <w:lang w:val="en-US"/>
        </w:rPr>
        <w:t xml:space="preserve"> High Court of Zanzibar at Zanzibar, Miscellaneous Civil Application No. 15 of 1999 (unreported)</w:t>
      </w:r>
    </w:p>
    <w:p w:rsidR="00AD593A" w:rsidRPr="006605A0" w:rsidRDefault="00AD593A" w:rsidP="00AD593A">
      <w:pPr>
        <w:pStyle w:val="SingleTxt"/>
        <w:rPr>
          <w:spacing w:val="2"/>
          <w:lang w:val="en-US"/>
        </w:rPr>
      </w:pPr>
      <w:r w:rsidRPr="006605A0">
        <w:rPr>
          <w:i/>
          <w:spacing w:val="2"/>
          <w:lang w:val="en-US"/>
        </w:rPr>
        <w:t>Salim Kitojo v Vodacom (T) Ltd</w:t>
      </w:r>
      <w:r w:rsidRPr="006605A0">
        <w:rPr>
          <w:spacing w:val="2"/>
          <w:lang w:val="en-US"/>
        </w:rPr>
        <w:t>. High Court of Tanzania (Labour Division) at Dar es Salaam, Labour Division No. 5 of 2010 (Unreported)</w:t>
      </w:r>
    </w:p>
    <w:p w:rsidR="00AD593A" w:rsidRPr="006605A0" w:rsidRDefault="00AD593A" w:rsidP="00AD593A">
      <w:pPr>
        <w:pStyle w:val="SingleTxt"/>
        <w:rPr>
          <w:lang w:val="en-US"/>
        </w:rPr>
      </w:pPr>
      <w:r w:rsidRPr="006605A0">
        <w:rPr>
          <w:i/>
          <w:lang w:val="en-US"/>
        </w:rPr>
        <w:t>Tanganyika Law Society &amp; Legal and Human Rights Centre and rev. Christopher Mtikila v The United Republic of Tanzania</w:t>
      </w:r>
      <w:r w:rsidRPr="006605A0">
        <w:rPr>
          <w:lang w:val="en-US"/>
        </w:rPr>
        <w:t>), Applications No. 008&amp;9/2011, African Court on Human and Peoples’ Rights (AfCHPR)</w:t>
      </w:r>
    </w:p>
    <w:p w:rsidR="00AD593A" w:rsidRPr="006605A0" w:rsidRDefault="00AD593A" w:rsidP="00AD593A">
      <w:pPr>
        <w:pStyle w:val="SingleTxt"/>
        <w:rPr>
          <w:lang w:val="en-US"/>
        </w:rPr>
      </w:pPr>
      <w:r w:rsidRPr="006605A0">
        <w:rPr>
          <w:i/>
          <w:lang w:val="en-US"/>
        </w:rPr>
        <w:t>Tanzania Railway Ltd. v The Minister for Labour, Employment and Youth Develo</w:t>
      </w:r>
      <w:r w:rsidRPr="006605A0">
        <w:rPr>
          <w:i/>
          <w:lang w:val="en-US"/>
        </w:rPr>
        <w:t>p</w:t>
      </w:r>
      <w:r w:rsidRPr="006605A0">
        <w:rPr>
          <w:i/>
          <w:lang w:val="en-US"/>
        </w:rPr>
        <w:t xml:space="preserve">ment &amp; 2 Others </w:t>
      </w:r>
      <w:r w:rsidRPr="006605A0">
        <w:rPr>
          <w:lang w:val="en-US"/>
        </w:rPr>
        <w:t>High Court of Tanzania (Labour Division) at Dar es Salaam, A</w:t>
      </w:r>
      <w:r w:rsidRPr="006605A0">
        <w:rPr>
          <w:lang w:val="en-US"/>
        </w:rPr>
        <w:t>p</w:t>
      </w:r>
      <w:r w:rsidRPr="006605A0">
        <w:rPr>
          <w:lang w:val="en-US"/>
        </w:rPr>
        <w:t>plication No. 4 of 2008 (unreported)</w:t>
      </w:r>
    </w:p>
    <w:p w:rsidR="00AD593A" w:rsidRPr="006605A0" w:rsidRDefault="00AD593A" w:rsidP="00AD593A">
      <w:pPr>
        <w:pStyle w:val="SingleTxt"/>
        <w:rPr>
          <w:lang w:val="en-US"/>
        </w:rPr>
      </w:pPr>
      <w:r w:rsidRPr="006605A0">
        <w:rPr>
          <w:i/>
          <w:lang w:val="en-US"/>
        </w:rPr>
        <w:t>TUICO v AG</w:t>
      </w:r>
      <w:r w:rsidRPr="006605A0">
        <w:rPr>
          <w:lang w:val="en-US"/>
        </w:rPr>
        <w:t xml:space="preserve"> High Court of Tanzania (Labour Division) at Dar es Salaam, Applic</w:t>
      </w:r>
      <w:r w:rsidRPr="006605A0">
        <w:rPr>
          <w:lang w:val="en-US"/>
        </w:rPr>
        <w:t>a</w:t>
      </w:r>
      <w:r w:rsidRPr="006605A0">
        <w:rPr>
          <w:lang w:val="en-US"/>
        </w:rPr>
        <w:t>tion No.</w:t>
      </w:r>
      <w:r w:rsidRPr="00B02518">
        <w:rPr>
          <w:lang w:val="en-US"/>
        </w:rPr>
        <w:t> </w:t>
      </w:r>
      <w:r w:rsidRPr="006605A0">
        <w:rPr>
          <w:lang w:val="en-US"/>
        </w:rPr>
        <w:t>37 of 2008 (unreported)</w:t>
      </w:r>
    </w:p>
    <w:p w:rsidR="00AD593A" w:rsidRPr="00F7009F" w:rsidRDefault="00F7009F" w:rsidP="00F700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AD593A" w:rsidRPr="00F7009F">
        <w:t>Краткая</w:t>
      </w:r>
      <w:r w:rsidR="00AD593A" w:rsidRPr="00F7009F">
        <w:rPr>
          <w:lang w:val="en-US"/>
        </w:rPr>
        <w:t xml:space="preserve"> </w:t>
      </w:r>
      <w:r w:rsidR="00AD593A" w:rsidRPr="00F7009F">
        <w:t>библиография</w:t>
      </w:r>
    </w:p>
    <w:p w:rsidR="00F7009F" w:rsidRPr="00F7009F" w:rsidRDefault="00F7009F" w:rsidP="00F7009F">
      <w:pPr>
        <w:pStyle w:val="SingleTxt"/>
        <w:spacing w:after="0" w:line="120" w:lineRule="exact"/>
        <w:rPr>
          <w:bCs/>
          <w:sz w:val="10"/>
          <w:lang w:val="en-US"/>
        </w:rPr>
      </w:pPr>
    </w:p>
    <w:p w:rsidR="00AD593A" w:rsidRPr="006605A0" w:rsidRDefault="00AD593A" w:rsidP="00AD593A">
      <w:pPr>
        <w:pStyle w:val="SingleTxt"/>
        <w:rPr>
          <w:bCs/>
          <w:lang w:val="en-US"/>
        </w:rPr>
      </w:pPr>
      <w:r w:rsidRPr="006605A0">
        <w:rPr>
          <w:bCs/>
          <w:lang w:val="en-US"/>
        </w:rPr>
        <w:t xml:space="preserve">Chama cha Mapinduzi, </w:t>
      </w:r>
      <w:r w:rsidRPr="006605A0">
        <w:rPr>
          <w:bCs/>
          <w:i/>
          <w:iCs/>
          <w:lang w:val="en-US"/>
        </w:rPr>
        <w:t>1983 NEC Proposals for Changes in the Constitution of the United Republic and the Constitution of the Revolutionary Government of Zanzibar</w:t>
      </w:r>
      <w:r w:rsidRPr="006605A0">
        <w:rPr>
          <w:bCs/>
          <w:lang w:val="en-US"/>
        </w:rPr>
        <w:t xml:space="preserve"> Dodoma: C.C.M. Department of Propaganda and Mass Mobilization, 1983</w:t>
      </w:r>
    </w:p>
    <w:p w:rsidR="00AD593A" w:rsidRPr="006605A0" w:rsidRDefault="00AD593A" w:rsidP="00AD593A">
      <w:pPr>
        <w:pStyle w:val="SingleTxt"/>
        <w:rPr>
          <w:lang w:val="en-US"/>
        </w:rPr>
      </w:pPr>
      <w:r w:rsidRPr="006605A0">
        <w:rPr>
          <w:lang w:val="en-US"/>
        </w:rPr>
        <w:t>Kamanga, K.C., "The Tanzania Draft Constitution of 2013: Panacea or Pandora’s Box?" Available at www.ippmedia.com/fornted?l=55968</w:t>
      </w:r>
    </w:p>
    <w:p w:rsidR="00AD593A" w:rsidRPr="006605A0" w:rsidRDefault="00AD593A" w:rsidP="00AD593A">
      <w:pPr>
        <w:pStyle w:val="SingleTxt"/>
        <w:rPr>
          <w:bCs/>
          <w:lang w:val="en-US"/>
        </w:rPr>
      </w:pPr>
      <w:r w:rsidRPr="006605A0">
        <w:rPr>
          <w:bCs/>
          <w:lang w:val="en-US"/>
        </w:rPr>
        <w:t xml:space="preserve">Kisanga, R.H., </w:t>
      </w:r>
      <w:r w:rsidRPr="006605A0">
        <w:rPr>
          <w:bCs/>
          <w:iCs/>
          <w:lang w:val="en-US"/>
        </w:rPr>
        <w:t>"The State of Human Rights in Tanzania – The Commission for H</w:t>
      </w:r>
      <w:r w:rsidRPr="006605A0">
        <w:rPr>
          <w:bCs/>
          <w:iCs/>
          <w:lang w:val="en-US"/>
        </w:rPr>
        <w:t>u</w:t>
      </w:r>
      <w:r w:rsidRPr="006605A0">
        <w:rPr>
          <w:bCs/>
          <w:iCs/>
          <w:lang w:val="en-US"/>
        </w:rPr>
        <w:t>man Rights and Good Governance: Role, Constraints and Prospects,"</w:t>
      </w:r>
      <w:r w:rsidRPr="006605A0">
        <w:rPr>
          <w:bCs/>
          <w:lang w:val="en-US"/>
        </w:rPr>
        <w:t xml:space="preserve"> a paper pr</w:t>
      </w:r>
      <w:r w:rsidRPr="006605A0">
        <w:rPr>
          <w:bCs/>
          <w:lang w:val="en-US"/>
        </w:rPr>
        <w:t>e</w:t>
      </w:r>
      <w:r w:rsidRPr="006605A0">
        <w:rPr>
          <w:bCs/>
          <w:lang w:val="en-US"/>
        </w:rPr>
        <w:t>sented at the Half-Annual General Meeting of the Tanganyika Law Society, Bagamoyo, 8</w:t>
      </w:r>
      <w:r w:rsidRPr="006605A0">
        <w:rPr>
          <w:bCs/>
          <w:vertAlign w:val="superscript"/>
          <w:lang w:val="en-US"/>
        </w:rPr>
        <w:t>th</w:t>
      </w:r>
      <w:r w:rsidRPr="006605A0">
        <w:rPr>
          <w:bCs/>
          <w:lang w:val="en-US"/>
        </w:rPr>
        <w:t xml:space="preserve"> August 2003</w:t>
      </w:r>
    </w:p>
    <w:p w:rsidR="00AD593A" w:rsidRPr="006605A0" w:rsidRDefault="00AD593A" w:rsidP="00AD593A">
      <w:pPr>
        <w:pStyle w:val="SingleTxt"/>
        <w:rPr>
          <w:lang w:val="en-US"/>
        </w:rPr>
      </w:pPr>
      <w:r w:rsidRPr="006605A0">
        <w:rPr>
          <w:lang w:val="en-US"/>
        </w:rPr>
        <w:t xml:space="preserve">Mashamba, C.J., "Protection of Basic Employee Rights in Tanzania" </w:t>
      </w:r>
      <w:r w:rsidRPr="006605A0">
        <w:rPr>
          <w:i/>
          <w:lang w:val="en-US"/>
        </w:rPr>
        <w:t>African Human Rights Law Journal</w:t>
      </w:r>
      <w:r w:rsidRPr="006605A0">
        <w:rPr>
          <w:lang w:val="en-US"/>
        </w:rPr>
        <w:t xml:space="preserve"> Vol. 7 No. 2, 2007</w:t>
      </w:r>
    </w:p>
    <w:p w:rsidR="00AD593A" w:rsidRPr="006605A0" w:rsidRDefault="00AD593A" w:rsidP="00AD593A">
      <w:pPr>
        <w:pStyle w:val="SingleTxt"/>
        <w:rPr>
          <w:lang w:val="en-US"/>
        </w:rPr>
      </w:pPr>
      <w:r w:rsidRPr="006605A0">
        <w:rPr>
          <w:lang w:val="en-US"/>
        </w:rPr>
        <w:t xml:space="preserve">Mashamba, C.J., "Legal Protection of Working Children in Tanzania" </w:t>
      </w:r>
      <w:r w:rsidRPr="006605A0">
        <w:rPr>
          <w:i/>
          <w:lang w:val="en-US"/>
        </w:rPr>
        <w:t>St. Augustine Law Journal</w:t>
      </w:r>
      <w:r w:rsidRPr="006605A0">
        <w:rPr>
          <w:lang w:val="en-US"/>
        </w:rPr>
        <w:t xml:space="preserve"> Vol. 1 No. 1, 2011</w:t>
      </w:r>
    </w:p>
    <w:p w:rsidR="00AD593A" w:rsidRPr="006605A0" w:rsidRDefault="00AD593A" w:rsidP="00AD593A">
      <w:pPr>
        <w:pStyle w:val="SingleTxt"/>
        <w:rPr>
          <w:lang w:val="en-US"/>
        </w:rPr>
      </w:pPr>
      <w:r w:rsidRPr="006605A0">
        <w:rPr>
          <w:lang w:val="en-US"/>
        </w:rPr>
        <w:t>Peter, C.M., "The Draft Constitution of 2013: A Silent Revolution". Available at www.ippmedia.com/fornted?l=55690</w:t>
      </w:r>
    </w:p>
    <w:p w:rsidR="00AD593A" w:rsidRPr="006605A0" w:rsidRDefault="00AD593A" w:rsidP="00AD593A">
      <w:pPr>
        <w:pStyle w:val="SingleTxt"/>
        <w:rPr>
          <w:lang w:val="en-US"/>
        </w:rPr>
      </w:pPr>
      <w:r w:rsidRPr="006605A0">
        <w:rPr>
          <w:lang w:val="en-US"/>
        </w:rPr>
        <w:t>Revolutionary Government of Zanzibar</w:t>
      </w:r>
      <w:r w:rsidRPr="006605A0">
        <w:rPr>
          <w:i/>
          <w:lang w:val="en-US"/>
        </w:rPr>
        <w:t>, Sera na Uratibu wa Uchangiaji wa Gh</w:t>
      </w:r>
      <w:r w:rsidRPr="006605A0">
        <w:rPr>
          <w:i/>
          <w:lang w:val="en-US"/>
        </w:rPr>
        <w:t>a</w:t>
      </w:r>
      <w:r w:rsidRPr="006605A0">
        <w:rPr>
          <w:i/>
          <w:lang w:val="en-US"/>
        </w:rPr>
        <w:t>rama za Elimu katika Skuli za Serikali.</w:t>
      </w:r>
      <w:r w:rsidRPr="006605A0">
        <w:rPr>
          <w:lang w:val="en-US"/>
        </w:rPr>
        <w:t xml:space="preserve"> Mwongozo wa Kazi Na. 10, Toleo la 1999</w:t>
      </w:r>
    </w:p>
    <w:p w:rsidR="00AD593A" w:rsidRPr="006605A0" w:rsidRDefault="00AD593A" w:rsidP="00AD593A">
      <w:pPr>
        <w:pStyle w:val="SingleTxt"/>
        <w:rPr>
          <w:lang w:val="en-US"/>
        </w:rPr>
      </w:pPr>
      <w:r w:rsidRPr="006605A0">
        <w:rPr>
          <w:lang w:val="en-US"/>
        </w:rPr>
        <w:t xml:space="preserve">Revolutionary Government of Zanzibar, </w:t>
      </w:r>
      <w:r w:rsidRPr="006605A0">
        <w:rPr>
          <w:i/>
          <w:lang w:val="en-US"/>
        </w:rPr>
        <w:t>Comprehensive Multi-year Plan –</w:t>
      </w:r>
      <w:r w:rsidRPr="005D4ED5">
        <w:rPr>
          <w:i/>
          <w:lang w:val="en-US"/>
        </w:rPr>
        <w:t xml:space="preserve"> </w:t>
      </w:r>
      <w:r w:rsidRPr="006605A0">
        <w:rPr>
          <w:i/>
          <w:lang w:val="en-US"/>
        </w:rPr>
        <w:t>Zanzibar, 2010-2014</w:t>
      </w:r>
      <w:r w:rsidRPr="006605A0">
        <w:rPr>
          <w:lang w:val="en-US"/>
        </w:rPr>
        <w:t>. EPI/MoHSW Zanzibar, July 2009. Available on http://www.who.int/immunization_</w:t>
      </w:r>
      <w:r w:rsidRPr="008759F1">
        <w:rPr>
          <w:lang w:val="en-US"/>
        </w:rPr>
        <w:br/>
      </w:r>
      <w:r w:rsidRPr="006605A0">
        <w:rPr>
          <w:lang w:val="en-US"/>
        </w:rPr>
        <w:t>financing/countries/cmyp/Zanzibar_cMYP_2010-2014.pdf (accessed 23 November 2011)</w:t>
      </w:r>
    </w:p>
    <w:p w:rsidR="00AD593A" w:rsidRPr="006605A0" w:rsidRDefault="00AD593A" w:rsidP="00AD593A">
      <w:pPr>
        <w:pStyle w:val="SingleTxt"/>
        <w:rPr>
          <w:lang w:val="en-US"/>
        </w:rPr>
      </w:pPr>
      <w:r w:rsidRPr="006605A0">
        <w:rPr>
          <w:lang w:val="en-US"/>
        </w:rPr>
        <w:t xml:space="preserve">Serikali ya Mapinduzi Zanzibar, </w:t>
      </w:r>
      <w:r w:rsidRPr="006605A0">
        <w:rPr>
          <w:i/>
          <w:lang w:val="en-US"/>
        </w:rPr>
        <w:t>Mapitio ya Hali Ya Uchumi ya Utekelezaji wa Mpango wa Maendeleo Zanzibar 2009/2010</w:t>
      </w:r>
      <w:r w:rsidRPr="006605A0">
        <w:rPr>
          <w:lang w:val="en-US"/>
        </w:rPr>
        <w:t xml:space="preserve"> Zanzibar: Serikali ya Mapinduzi Za</w:t>
      </w:r>
      <w:r w:rsidRPr="006605A0">
        <w:rPr>
          <w:lang w:val="en-US"/>
        </w:rPr>
        <w:t>n</w:t>
      </w:r>
      <w:r w:rsidRPr="006605A0">
        <w:rPr>
          <w:lang w:val="en-US"/>
        </w:rPr>
        <w:t>zibar 2010</w:t>
      </w:r>
    </w:p>
    <w:p w:rsidR="00AD593A" w:rsidRPr="006605A0" w:rsidRDefault="00AD593A" w:rsidP="00AD593A">
      <w:pPr>
        <w:pStyle w:val="SingleTxt"/>
        <w:rPr>
          <w:lang w:val="en-US"/>
        </w:rPr>
      </w:pPr>
      <w:r w:rsidRPr="006605A0">
        <w:rPr>
          <w:lang w:val="en-US"/>
        </w:rPr>
        <w:t>Shangali, T.W., "Recruitment and Selection in the Public Service: The Case of Ta</w:t>
      </w:r>
      <w:r w:rsidRPr="006605A0">
        <w:rPr>
          <w:lang w:val="en-US"/>
        </w:rPr>
        <w:t>n</w:t>
      </w:r>
      <w:r w:rsidRPr="006605A0">
        <w:rPr>
          <w:lang w:val="en-US"/>
        </w:rPr>
        <w:t>zania". A paper presented at the CAPAM Conference on Governance Excellence: Managing Human Potential, held in Arusha, Tanzania, on 2-5 March 2009</w:t>
      </w:r>
    </w:p>
    <w:p w:rsidR="00AD593A" w:rsidRPr="006605A0" w:rsidRDefault="00AD593A" w:rsidP="00AD593A">
      <w:pPr>
        <w:pStyle w:val="SingleTxt"/>
        <w:rPr>
          <w:lang w:val="en-US"/>
        </w:rPr>
      </w:pPr>
      <w:r w:rsidRPr="006605A0">
        <w:rPr>
          <w:lang w:val="en-US"/>
        </w:rPr>
        <w:t xml:space="preserve">United Republic of Tanzania, </w:t>
      </w:r>
      <w:r w:rsidRPr="006605A0">
        <w:rPr>
          <w:i/>
          <w:lang w:val="en-US"/>
        </w:rPr>
        <w:t>Participatory Agricultural Development and Empo</w:t>
      </w:r>
      <w:r w:rsidRPr="006605A0">
        <w:rPr>
          <w:i/>
          <w:lang w:val="en-US"/>
        </w:rPr>
        <w:t>w</w:t>
      </w:r>
      <w:r w:rsidRPr="006605A0">
        <w:rPr>
          <w:i/>
          <w:lang w:val="en-US"/>
        </w:rPr>
        <w:t>erment Project (PADEP): Resettlement Policy Framework</w:t>
      </w:r>
      <w:r w:rsidRPr="006605A0">
        <w:rPr>
          <w:lang w:val="en-US"/>
        </w:rPr>
        <w:t xml:space="preserve"> Dar es Salaam: Ministry of Agriculture and Food Security, 2003</w:t>
      </w:r>
    </w:p>
    <w:p w:rsidR="00F7009F" w:rsidRPr="00F7009F" w:rsidRDefault="00F7009F" w:rsidP="00F7009F">
      <w:pPr>
        <w:pStyle w:val="SingleTxt"/>
        <w:spacing w:after="0" w:line="120" w:lineRule="exact"/>
        <w:rPr>
          <w:b/>
          <w:sz w:val="10"/>
        </w:rPr>
      </w:pPr>
    </w:p>
    <w:p w:rsidR="00AD593A" w:rsidRPr="000E35E2" w:rsidRDefault="00F7009F" w:rsidP="00F700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AD593A" w:rsidRPr="000E35E2">
        <w:t>Доклады</w:t>
      </w:r>
    </w:p>
    <w:p w:rsidR="00F7009F" w:rsidRPr="00F7009F" w:rsidRDefault="00F7009F" w:rsidP="00F7009F">
      <w:pPr>
        <w:pStyle w:val="SingleTxt"/>
        <w:spacing w:after="0" w:line="120" w:lineRule="exact"/>
        <w:rPr>
          <w:sz w:val="10"/>
          <w:lang w:val="en-US"/>
        </w:rPr>
      </w:pPr>
    </w:p>
    <w:p w:rsidR="00AD593A" w:rsidRPr="006605A0" w:rsidRDefault="00AD593A" w:rsidP="00AD593A">
      <w:pPr>
        <w:pStyle w:val="SingleTxt"/>
        <w:rPr>
          <w:lang w:val="en-US"/>
        </w:rPr>
      </w:pPr>
      <w:r w:rsidRPr="006605A0">
        <w:rPr>
          <w:lang w:val="en-US"/>
        </w:rPr>
        <w:t>Law Reform Commission of Tanzania, "Statutory System of Compensation to Vi</w:t>
      </w:r>
      <w:r w:rsidRPr="006605A0">
        <w:rPr>
          <w:lang w:val="en-US"/>
        </w:rPr>
        <w:t>c</w:t>
      </w:r>
      <w:r w:rsidRPr="006605A0">
        <w:rPr>
          <w:lang w:val="en-US"/>
        </w:rPr>
        <w:t>tims of Crime." Report of the Law Reform Commission of Tanzania presented to A</w:t>
      </w:r>
      <w:r w:rsidRPr="006605A0">
        <w:rPr>
          <w:lang w:val="en-US"/>
        </w:rPr>
        <w:t>t</w:t>
      </w:r>
      <w:r w:rsidRPr="006605A0">
        <w:rPr>
          <w:lang w:val="en-US"/>
        </w:rPr>
        <w:t>torney-General and the Minister for Justice in May 1987</w:t>
      </w:r>
    </w:p>
    <w:p w:rsidR="00AD593A" w:rsidRPr="006605A0" w:rsidRDefault="00AD593A" w:rsidP="00AD593A">
      <w:pPr>
        <w:pStyle w:val="SingleTxt"/>
        <w:rPr>
          <w:lang w:val="en-US"/>
        </w:rPr>
      </w:pPr>
      <w:r w:rsidRPr="006605A0">
        <w:rPr>
          <w:lang w:val="en-US"/>
        </w:rPr>
        <w:t xml:space="preserve">Law Reform Commission of Tanzania, "Report on the Review and Drafting of the Proposed Provisions for the Amendment of the Sexual Offences Laws as Amended by SOSPA 1998" Dar es Salaam: Law Reform Commission of Tanzania, March 2009. </w:t>
      </w:r>
    </w:p>
    <w:p w:rsidR="00AD593A" w:rsidRPr="006605A0" w:rsidRDefault="00AD593A" w:rsidP="00AD593A">
      <w:pPr>
        <w:pStyle w:val="SingleTxt"/>
        <w:rPr>
          <w:lang w:val="en-US"/>
        </w:rPr>
      </w:pPr>
      <w:r w:rsidRPr="006605A0">
        <w:rPr>
          <w:lang w:val="en-US"/>
        </w:rPr>
        <w:t xml:space="preserve">Legal and Human Rights Centre and Zanzibar Legal Services Centre, </w:t>
      </w:r>
      <w:r w:rsidRPr="006605A0">
        <w:rPr>
          <w:i/>
          <w:lang w:val="en-US"/>
        </w:rPr>
        <w:t>Tanzania H</w:t>
      </w:r>
      <w:r w:rsidRPr="006605A0">
        <w:rPr>
          <w:i/>
          <w:lang w:val="en-US"/>
        </w:rPr>
        <w:t>u</w:t>
      </w:r>
      <w:r w:rsidRPr="006605A0">
        <w:rPr>
          <w:i/>
          <w:lang w:val="en-US"/>
        </w:rPr>
        <w:t>man Rights Report 2010</w:t>
      </w:r>
      <w:r w:rsidRPr="006605A0">
        <w:rPr>
          <w:lang w:val="en-US"/>
        </w:rPr>
        <w:t xml:space="preserve"> Dar es Salaam: Legal and Human Rights Centre, 2011</w:t>
      </w:r>
    </w:p>
    <w:p w:rsidR="00AD593A" w:rsidRPr="006605A0" w:rsidRDefault="00AD593A" w:rsidP="00AD593A">
      <w:pPr>
        <w:pStyle w:val="SingleTxt"/>
        <w:rPr>
          <w:lang w:val="en-US"/>
        </w:rPr>
      </w:pPr>
      <w:r w:rsidRPr="006605A0">
        <w:rPr>
          <w:lang w:val="en-US"/>
        </w:rPr>
        <w:t xml:space="preserve">Revolutionary Government of Zanzibar, </w:t>
      </w:r>
      <w:r w:rsidRPr="006605A0">
        <w:rPr>
          <w:i/>
          <w:lang w:val="en-US"/>
        </w:rPr>
        <w:t>National Election Report 2010</w:t>
      </w:r>
    </w:p>
    <w:p w:rsidR="00AD593A" w:rsidRPr="006605A0" w:rsidRDefault="00AD593A" w:rsidP="00AD593A">
      <w:pPr>
        <w:pStyle w:val="SingleTxt"/>
        <w:rPr>
          <w:spacing w:val="2"/>
          <w:lang w:val="en-US"/>
        </w:rPr>
      </w:pPr>
      <w:r w:rsidRPr="006605A0">
        <w:rPr>
          <w:spacing w:val="2"/>
          <w:lang w:val="en-US"/>
        </w:rPr>
        <w:t xml:space="preserve">United Republic of Tanzania, </w:t>
      </w:r>
      <w:r w:rsidRPr="006605A0">
        <w:rPr>
          <w:i/>
          <w:spacing w:val="2"/>
          <w:lang w:val="en-US"/>
        </w:rPr>
        <w:t>Tanzania Demographic and Health Survey 1996</w:t>
      </w:r>
      <w:r w:rsidRPr="006605A0">
        <w:rPr>
          <w:spacing w:val="2"/>
          <w:lang w:val="en-US"/>
        </w:rPr>
        <w:t xml:space="preserve"> Dar es Salaam: National Bureau of Statistics, 1997</w:t>
      </w:r>
    </w:p>
    <w:p w:rsidR="00AD593A" w:rsidRPr="006605A0" w:rsidRDefault="00AD593A" w:rsidP="00AD593A">
      <w:pPr>
        <w:pStyle w:val="SingleTxt"/>
        <w:rPr>
          <w:lang w:val="en-US"/>
        </w:rPr>
      </w:pPr>
      <w:r w:rsidRPr="006605A0">
        <w:rPr>
          <w:lang w:val="en-US"/>
        </w:rPr>
        <w:t xml:space="preserve">United Republic of Tanzania, </w:t>
      </w:r>
      <w:r w:rsidRPr="006605A0">
        <w:rPr>
          <w:i/>
          <w:lang w:val="en-US"/>
        </w:rPr>
        <w:t>Tanzania Demographic and Health Survey 2004-2005</w:t>
      </w:r>
      <w:r w:rsidRPr="006605A0">
        <w:rPr>
          <w:lang w:val="en-US"/>
        </w:rPr>
        <w:t xml:space="preserve"> Dar es Salaam: National Bureau of Statistics, June 2005</w:t>
      </w:r>
    </w:p>
    <w:p w:rsidR="00AD593A" w:rsidRPr="006605A0" w:rsidRDefault="00AD593A" w:rsidP="00AD593A">
      <w:pPr>
        <w:pStyle w:val="SingleTxt"/>
        <w:rPr>
          <w:lang w:val="en-US"/>
        </w:rPr>
      </w:pPr>
      <w:r w:rsidRPr="006605A0">
        <w:rPr>
          <w:lang w:val="en-US"/>
        </w:rPr>
        <w:t xml:space="preserve">United Republic of Tanzania, </w:t>
      </w:r>
      <w:r w:rsidRPr="006605A0">
        <w:rPr>
          <w:i/>
          <w:lang w:val="en-US"/>
        </w:rPr>
        <w:t>Tanzania Poverty and Human Development Report 2005</w:t>
      </w:r>
      <w:r w:rsidRPr="006605A0">
        <w:rPr>
          <w:lang w:val="en-US"/>
        </w:rPr>
        <w:t xml:space="preserve"> Dar es Salaam: Research and Analysis Working Group/Mkuki na Nyota Pu</w:t>
      </w:r>
      <w:r w:rsidRPr="006605A0">
        <w:rPr>
          <w:lang w:val="en-US"/>
        </w:rPr>
        <w:t>b</w:t>
      </w:r>
      <w:r w:rsidRPr="006605A0">
        <w:rPr>
          <w:lang w:val="en-US"/>
        </w:rPr>
        <w:t>lishers, 2005</w:t>
      </w:r>
    </w:p>
    <w:p w:rsidR="00AD593A" w:rsidRPr="006605A0" w:rsidRDefault="00AD593A" w:rsidP="00AD593A">
      <w:pPr>
        <w:pStyle w:val="SingleTxt"/>
        <w:rPr>
          <w:lang w:val="en-US"/>
        </w:rPr>
      </w:pPr>
      <w:r w:rsidRPr="006605A0">
        <w:rPr>
          <w:lang w:val="en-US"/>
        </w:rPr>
        <w:t xml:space="preserve">United Republic of Tanzania, </w:t>
      </w:r>
      <w:r w:rsidRPr="006605A0">
        <w:rPr>
          <w:i/>
          <w:lang w:val="en-US"/>
        </w:rPr>
        <w:t>Poverty and Human Development Report 2009</w:t>
      </w:r>
      <w:r w:rsidRPr="006605A0">
        <w:rPr>
          <w:lang w:val="en-US"/>
        </w:rPr>
        <w:t xml:space="preserve"> Dar es Salaam: Research and Analysis Working Group (MKUKUTA Monitoring System, Ministry of Finance and Economic Affairs), 2009</w:t>
      </w:r>
    </w:p>
    <w:p w:rsidR="00AD593A" w:rsidRPr="006605A0" w:rsidRDefault="00AD593A" w:rsidP="00AD593A">
      <w:pPr>
        <w:pStyle w:val="SingleTxt"/>
        <w:rPr>
          <w:spacing w:val="2"/>
          <w:lang w:val="en-US"/>
        </w:rPr>
      </w:pPr>
      <w:r w:rsidRPr="006605A0">
        <w:rPr>
          <w:spacing w:val="2"/>
          <w:lang w:val="en-US"/>
        </w:rPr>
        <w:t xml:space="preserve">United Republic of Tanzania, </w:t>
      </w:r>
      <w:r w:rsidRPr="006605A0">
        <w:rPr>
          <w:i/>
          <w:spacing w:val="2"/>
          <w:lang w:val="en-US"/>
        </w:rPr>
        <w:t>Tanzania Demographic and Health Survey 2010</w:t>
      </w:r>
      <w:r w:rsidRPr="006605A0">
        <w:rPr>
          <w:spacing w:val="2"/>
          <w:lang w:val="en-US"/>
        </w:rPr>
        <w:t xml:space="preserve"> Dar es Salaam: National Bureau of Statistics, 2011</w:t>
      </w:r>
    </w:p>
    <w:p w:rsidR="00AD593A" w:rsidRPr="006605A0" w:rsidRDefault="00AD593A" w:rsidP="00AD593A">
      <w:pPr>
        <w:pStyle w:val="SingleTxt"/>
      </w:pPr>
      <w:r w:rsidRPr="006605A0">
        <w:rPr>
          <w:lang w:val="en-US"/>
        </w:rPr>
        <w:t>United Republic of Tanzania, "An Analysis of the Situation for Children in Conflict with the Law in Tanzania." Dar es Salaam: MoCLA/UNICEF, 2011; and United R</w:t>
      </w:r>
      <w:r w:rsidRPr="006605A0">
        <w:rPr>
          <w:lang w:val="en-US"/>
        </w:rPr>
        <w:t>e</w:t>
      </w:r>
      <w:r w:rsidRPr="006605A0">
        <w:rPr>
          <w:lang w:val="en-US"/>
        </w:rPr>
        <w:t>public of Tanzania, "An Analysis of the Situation for Access to Justice for Under</w:t>
      </w:r>
      <w:r w:rsidRPr="006605A0">
        <w:rPr>
          <w:lang w:val="en-US"/>
        </w:rPr>
        <w:noBreakHyphen/>
        <w:t xml:space="preserve">18 Children in Tanzania." </w:t>
      </w:r>
      <w:r w:rsidRPr="000E35E2">
        <w:t>Dar</w:t>
      </w:r>
      <w:r w:rsidRPr="006605A0">
        <w:t xml:space="preserve"> </w:t>
      </w:r>
      <w:r w:rsidRPr="000E35E2">
        <w:t>es</w:t>
      </w:r>
      <w:r w:rsidRPr="006605A0">
        <w:t xml:space="preserve"> </w:t>
      </w:r>
      <w:r w:rsidRPr="000E35E2">
        <w:t>Salaam</w:t>
      </w:r>
      <w:r w:rsidRPr="006605A0">
        <w:t xml:space="preserve">: </w:t>
      </w:r>
      <w:r w:rsidRPr="000E35E2">
        <w:t>MoCLA</w:t>
      </w:r>
      <w:r w:rsidRPr="006605A0">
        <w:t>/</w:t>
      </w:r>
      <w:r w:rsidRPr="000E35E2">
        <w:t>UNICEF</w:t>
      </w:r>
      <w:r w:rsidRPr="006605A0">
        <w:t>, 2011</w:t>
      </w:r>
    </w:p>
    <w:p w:rsidR="00AD593A" w:rsidRDefault="00AD593A" w:rsidP="00AD593A">
      <w:pPr>
        <w:pStyle w:val="SingleTxt"/>
      </w:pPr>
      <w:r w:rsidRPr="000E35E2">
        <w:t>Генеральный секретарь Организации Объединенных Наций</w:t>
      </w:r>
      <w:r>
        <w:t>.</w:t>
      </w:r>
      <w:r w:rsidRPr="000E35E2">
        <w:t xml:space="preserve"> </w:t>
      </w:r>
      <w:r w:rsidRPr="005D4ED5">
        <w:t>Исследование по вопросу о насилии в отношении детей</w:t>
      </w:r>
      <w:r>
        <w:t>,</w:t>
      </w:r>
      <w:r w:rsidRPr="005D4ED5">
        <w:t xml:space="preserve"> </w:t>
      </w:r>
      <w:r w:rsidRPr="000E35E2">
        <w:t>Нью-Йорк: Организация Объединенных Наций, 2006 год (</w:t>
      </w:r>
      <w:hyperlink r:id="rId15" w:history="1">
        <w:r w:rsidRPr="000E35E2">
          <w:rPr>
            <w:rStyle w:val="Hyperlink"/>
          </w:rPr>
          <w:t>A/61/299</w:t>
        </w:r>
      </w:hyperlink>
      <w:r w:rsidRPr="000E35E2">
        <w:t>)</w:t>
      </w:r>
    </w:p>
    <w:p w:rsidR="00AD593A" w:rsidRPr="006605A0" w:rsidRDefault="00AD593A" w:rsidP="00AD593A">
      <w:pPr>
        <w:pStyle w:val="SingleTxt"/>
        <w:rPr>
          <w:lang w:val="en-US"/>
        </w:rPr>
      </w:pPr>
      <w:r w:rsidRPr="006605A0">
        <w:rPr>
          <w:lang w:val="en-US"/>
        </w:rPr>
        <w:t xml:space="preserve">United Republic of Tanzania, </w:t>
      </w:r>
      <w:r w:rsidRPr="006605A0">
        <w:rPr>
          <w:i/>
          <w:lang w:val="en-US"/>
        </w:rPr>
        <w:t>Violence Against Children in Tanzania: Findings from a National Survey 2009</w:t>
      </w:r>
      <w:r w:rsidRPr="006605A0">
        <w:rPr>
          <w:lang w:val="en-US"/>
        </w:rPr>
        <w:t xml:space="preserve"> Dar es Salaam: UNICEF/US Centre for Disease Control and Prevention/Muhimbili University of Health and Allied Sciences, August 2011</w:t>
      </w:r>
    </w:p>
    <w:p w:rsidR="00AD593A" w:rsidRPr="006605A0" w:rsidRDefault="00AD593A" w:rsidP="00AD593A">
      <w:pPr>
        <w:pStyle w:val="SingleTxt"/>
        <w:rPr>
          <w:lang w:val="en-US"/>
        </w:rPr>
      </w:pPr>
      <w:r w:rsidRPr="006605A0">
        <w:rPr>
          <w:lang w:val="en-US"/>
        </w:rPr>
        <w:t>United Republic of Tanzania, "Tanzania 3</w:t>
      </w:r>
      <w:r w:rsidRPr="006605A0">
        <w:rPr>
          <w:vertAlign w:val="superscript"/>
          <w:lang w:val="en-US"/>
        </w:rPr>
        <w:t>rd</w:t>
      </w:r>
      <w:r w:rsidRPr="006605A0">
        <w:rPr>
          <w:lang w:val="en-US"/>
        </w:rPr>
        <w:t>, 4</w:t>
      </w:r>
      <w:r w:rsidRPr="006605A0">
        <w:rPr>
          <w:vertAlign w:val="superscript"/>
          <w:lang w:val="en-US"/>
        </w:rPr>
        <w:t>th</w:t>
      </w:r>
      <w:r w:rsidRPr="006605A0">
        <w:rPr>
          <w:lang w:val="en-US"/>
        </w:rPr>
        <w:t xml:space="preserve"> and 5</w:t>
      </w:r>
      <w:r w:rsidRPr="006605A0">
        <w:rPr>
          <w:vertAlign w:val="superscript"/>
          <w:lang w:val="en-US"/>
        </w:rPr>
        <w:t>th</w:t>
      </w:r>
      <w:r w:rsidRPr="006605A0">
        <w:rPr>
          <w:lang w:val="en-US"/>
        </w:rPr>
        <w:t xml:space="preserve"> Reports on the Implement</w:t>
      </w:r>
      <w:r w:rsidRPr="006605A0">
        <w:rPr>
          <w:lang w:val="en-US"/>
        </w:rPr>
        <w:t>a</w:t>
      </w:r>
      <w:r w:rsidRPr="006605A0">
        <w:rPr>
          <w:lang w:val="en-US"/>
        </w:rPr>
        <w:t>tion of the Convention on the Rights of the Child (CRC) 2005-2011", submitted to the CROC by the Ministry of Community Development, Gender and Children (Ta</w:t>
      </w:r>
      <w:r w:rsidRPr="006605A0">
        <w:rPr>
          <w:lang w:val="en-US"/>
        </w:rPr>
        <w:t>n</w:t>
      </w:r>
      <w:r w:rsidRPr="006605A0">
        <w:rPr>
          <w:lang w:val="en-US"/>
        </w:rPr>
        <w:t>zania Mainland) and the Ministry of Social Welfare, Youth, Women and Children Development (Zanzibar), 9</w:t>
      </w:r>
      <w:r w:rsidRPr="00B02518">
        <w:rPr>
          <w:vertAlign w:val="superscript"/>
          <w:lang w:val="en-US"/>
        </w:rPr>
        <w:t> </w:t>
      </w:r>
      <w:r w:rsidRPr="006605A0">
        <w:rPr>
          <w:lang w:val="en-US"/>
        </w:rPr>
        <w:t>January 2012</w:t>
      </w:r>
    </w:p>
    <w:p w:rsidR="00F7009F" w:rsidRPr="00F7009F" w:rsidRDefault="00F7009F" w:rsidP="00F7009F">
      <w:pPr>
        <w:pStyle w:val="SingleTxt"/>
        <w:spacing w:after="0" w:line="120" w:lineRule="exact"/>
        <w:rPr>
          <w:b/>
          <w:sz w:val="10"/>
        </w:rPr>
      </w:pPr>
    </w:p>
    <w:p w:rsidR="00AD593A" w:rsidRPr="000E35E2" w:rsidRDefault="00F7009F" w:rsidP="00F700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AD593A" w:rsidRPr="000E35E2">
        <w:t>Заключительные</w:t>
      </w:r>
      <w:r w:rsidR="00AD593A" w:rsidRPr="000E35E2">
        <w:rPr>
          <w:lang w:val="en-US"/>
        </w:rPr>
        <w:t xml:space="preserve"> </w:t>
      </w:r>
      <w:r w:rsidR="00AD593A" w:rsidRPr="000E35E2">
        <w:t>замечания</w:t>
      </w:r>
      <w:r w:rsidR="00AD593A" w:rsidRPr="006605A0">
        <w:rPr>
          <w:lang w:val="en-US"/>
        </w:rPr>
        <w:t>/</w:t>
      </w:r>
      <w:r w:rsidR="00AD593A" w:rsidRPr="000E35E2">
        <w:t>рекомендации</w:t>
      </w:r>
    </w:p>
    <w:p w:rsidR="00F7009F" w:rsidRPr="00F7009F" w:rsidRDefault="00F7009F" w:rsidP="00F7009F">
      <w:pPr>
        <w:pStyle w:val="SingleTxt"/>
        <w:spacing w:after="0" w:line="120" w:lineRule="exact"/>
        <w:rPr>
          <w:sz w:val="10"/>
          <w:lang w:val="en-US"/>
        </w:rPr>
      </w:pPr>
    </w:p>
    <w:p w:rsidR="00AD593A" w:rsidRPr="006605A0" w:rsidRDefault="00AD593A" w:rsidP="00AD593A">
      <w:pPr>
        <w:pStyle w:val="SingleTxt"/>
        <w:rPr>
          <w:lang w:val="en-US"/>
        </w:rPr>
      </w:pPr>
      <w:r w:rsidRPr="006605A0">
        <w:rPr>
          <w:lang w:val="en-US"/>
        </w:rPr>
        <w:t>African Committee of Experts on the Rights and Welfare of the Child (ACERWC), "Concluding Recommendations on the United Republic of Tanzania Report on the Status and Implementation of the African Charter on the Rights and Welfare of the Child", 2010</w:t>
      </w:r>
    </w:p>
    <w:p w:rsidR="00AD593A" w:rsidRDefault="00AD593A" w:rsidP="00AD593A">
      <w:pPr>
        <w:pStyle w:val="SingleTxt"/>
      </w:pPr>
      <w:r w:rsidRPr="000E35E2">
        <w:rPr>
          <w:bCs/>
        </w:rPr>
        <w:t>Комитет по ликвидации дискриминации в отношении женщин</w:t>
      </w:r>
      <w:r>
        <w:rPr>
          <w:bCs/>
          <w:iCs/>
        </w:rPr>
        <w:t>.</w:t>
      </w:r>
      <w:r w:rsidRPr="000E35E2">
        <w:rPr>
          <w:bCs/>
          <w:iCs/>
        </w:rPr>
        <w:t xml:space="preserve"> Заключител</w:t>
      </w:r>
      <w:r w:rsidRPr="000E35E2">
        <w:rPr>
          <w:bCs/>
          <w:iCs/>
        </w:rPr>
        <w:t>ь</w:t>
      </w:r>
      <w:r w:rsidRPr="000E35E2">
        <w:rPr>
          <w:bCs/>
          <w:iCs/>
        </w:rPr>
        <w:t xml:space="preserve">ные замечания в отношении Объединенной Республики Танзания </w:t>
      </w:r>
      <w:r w:rsidRPr="000E35E2">
        <w:t>(</w:t>
      </w:r>
      <w:hyperlink r:id="rId16" w:history="1">
        <w:r w:rsidRPr="000E35E2">
          <w:rPr>
            <w:rStyle w:val="Hyperlink"/>
          </w:rPr>
          <w:t>A/63/38</w:t>
        </w:r>
      </w:hyperlink>
      <w:r w:rsidRPr="000E35E2">
        <w:t>), 2008 год</w:t>
      </w:r>
    </w:p>
    <w:p w:rsidR="00AD593A" w:rsidRPr="000E35E2" w:rsidRDefault="00AD593A" w:rsidP="00AD593A">
      <w:pPr>
        <w:pStyle w:val="SingleTxt"/>
        <w:rPr>
          <w:bCs/>
        </w:rPr>
      </w:pPr>
      <w:r w:rsidRPr="000E35E2">
        <w:t>Комитет по правам ребенка</w:t>
      </w:r>
      <w:r>
        <w:t>.</w:t>
      </w:r>
      <w:r w:rsidRPr="000E35E2">
        <w:t xml:space="preserve"> Рассмотрение докладов, представл</w:t>
      </w:r>
      <w:r>
        <w:t>яем</w:t>
      </w:r>
      <w:r w:rsidRPr="000E35E2">
        <w:t>ых госуда</w:t>
      </w:r>
      <w:r w:rsidRPr="000E35E2">
        <w:t>р</w:t>
      </w:r>
      <w:r w:rsidRPr="000E35E2">
        <w:t>ствами-участниками в соответствии со статьей</w:t>
      </w:r>
      <w:r>
        <w:t> </w:t>
      </w:r>
      <w:r w:rsidRPr="000E35E2">
        <w:t>40 Конвенции</w:t>
      </w:r>
      <w:r w:rsidR="00765231">
        <w:t xml:space="preserve"> — </w:t>
      </w:r>
      <w:r w:rsidRPr="000E35E2">
        <w:t>Заключител</w:t>
      </w:r>
      <w:r w:rsidRPr="000E35E2">
        <w:t>ь</w:t>
      </w:r>
      <w:r w:rsidRPr="000E35E2">
        <w:t>ные замечания Комитета по правам ребенка: Объединенная Республика Танз</w:t>
      </w:r>
      <w:r w:rsidRPr="000E35E2">
        <w:t>а</w:t>
      </w:r>
      <w:r w:rsidRPr="000E35E2">
        <w:t xml:space="preserve">ния </w:t>
      </w:r>
      <w:r>
        <w:t>(</w:t>
      </w:r>
      <w:hyperlink r:id="rId17" w:history="1">
        <w:r w:rsidRPr="000E35E2">
          <w:rPr>
            <w:rStyle w:val="Hyperlink"/>
          </w:rPr>
          <w:t>CRC/C/TZA/CO/2</w:t>
        </w:r>
      </w:hyperlink>
      <w:r>
        <w:t>)</w:t>
      </w:r>
      <w:r w:rsidRPr="000E35E2">
        <w:t>, 2</w:t>
      </w:r>
      <w:r>
        <w:t> </w:t>
      </w:r>
      <w:r w:rsidRPr="000E35E2">
        <w:t>июня 2006</w:t>
      </w:r>
      <w:r>
        <w:t> </w:t>
      </w:r>
      <w:r w:rsidRPr="000E35E2">
        <w:t>года</w:t>
      </w:r>
      <w:r w:rsidRPr="000E35E2">
        <w:rPr>
          <w:bCs/>
        </w:rPr>
        <w:t>, пункты 63</w:t>
      </w:r>
      <w:r>
        <w:rPr>
          <w:bCs/>
        </w:rPr>
        <w:t xml:space="preserve"> и </w:t>
      </w:r>
      <w:r w:rsidRPr="000E35E2">
        <w:rPr>
          <w:bCs/>
        </w:rPr>
        <w:t>64</w:t>
      </w:r>
    </w:p>
    <w:p w:rsidR="00AD593A" w:rsidRDefault="00AD593A" w:rsidP="00AD593A">
      <w:pPr>
        <w:pStyle w:val="SingleTxt"/>
        <w:rPr>
          <w:spacing w:val="2"/>
          <w:lang w:val="en-US"/>
        </w:rPr>
      </w:pPr>
      <w:r w:rsidRPr="000E35E2">
        <w:rPr>
          <w:spacing w:val="2"/>
        </w:rPr>
        <w:t>Комитет Организации Объединенных Наций по правам ребенка (КПР)</w:t>
      </w:r>
      <w:r>
        <w:rPr>
          <w:spacing w:val="2"/>
        </w:rPr>
        <w:t>.</w:t>
      </w:r>
      <w:r w:rsidRPr="000E35E2">
        <w:rPr>
          <w:spacing w:val="2"/>
        </w:rPr>
        <w:t xml:space="preserve"> Рассмо</w:t>
      </w:r>
      <w:r w:rsidRPr="000E35E2">
        <w:rPr>
          <w:spacing w:val="2"/>
        </w:rPr>
        <w:t>т</w:t>
      </w:r>
      <w:r w:rsidRPr="000E35E2">
        <w:rPr>
          <w:spacing w:val="2"/>
        </w:rPr>
        <w:t xml:space="preserve">рение докладов, </w:t>
      </w:r>
      <w:r>
        <w:rPr>
          <w:spacing w:val="2"/>
        </w:rPr>
        <w:t>представляемых</w:t>
      </w:r>
      <w:r w:rsidRPr="000E35E2">
        <w:rPr>
          <w:spacing w:val="2"/>
        </w:rPr>
        <w:t xml:space="preserve"> государствами-участниками в</w:t>
      </w:r>
      <w:r>
        <w:rPr>
          <w:spacing w:val="2"/>
        </w:rPr>
        <w:t> </w:t>
      </w:r>
      <w:r w:rsidRPr="000E35E2">
        <w:rPr>
          <w:spacing w:val="2"/>
        </w:rPr>
        <w:t>соответствии со статьей</w:t>
      </w:r>
      <w:r>
        <w:rPr>
          <w:spacing w:val="2"/>
        </w:rPr>
        <w:t> </w:t>
      </w:r>
      <w:r w:rsidRPr="000E35E2">
        <w:rPr>
          <w:spacing w:val="2"/>
        </w:rPr>
        <w:t>44 Конвенции – Заключительные замечания</w:t>
      </w:r>
      <w:r>
        <w:rPr>
          <w:spacing w:val="2"/>
        </w:rPr>
        <w:t>:</w:t>
      </w:r>
      <w:r w:rsidRPr="000E35E2">
        <w:rPr>
          <w:spacing w:val="2"/>
        </w:rPr>
        <w:t xml:space="preserve"> Объединенная Республика Танзания</w:t>
      </w:r>
      <w:r>
        <w:rPr>
          <w:spacing w:val="2"/>
        </w:rPr>
        <w:t>"</w:t>
      </w:r>
      <w:r w:rsidRPr="000E35E2">
        <w:rPr>
          <w:spacing w:val="2"/>
        </w:rPr>
        <w:t>, 42</w:t>
      </w:r>
      <w:r>
        <w:rPr>
          <w:spacing w:val="2"/>
        </w:rPr>
        <w:t>-я</w:t>
      </w:r>
      <w:r w:rsidRPr="000E35E2">
        <w:rPr>
          <w:spacing w:val="2"/>
        </w:rPr>
        <w:t xml:space="preserve"> сессия, 21</w:t>
      </w:r>
      <w:r>
        <w:rPr>
          <w:spacing w:val="2"/>
        </w:rPr>
        <w:t> </w:t>
      </w:r>
      <w:r w:rsidRPr="000E35E2">
        <w:rPr>
          <w:spacing w:val="2"/>
        </w:rPr>
        <w:t>июня 2006</w:t>
      </w:r>
      <w:r>
        <w:rPr>
          <w:spacing w:val="2"/>
        </w:rPr>
        <w:t> </w:t>
      </w:r>
      <w:r w:rsidRPr="000E35E2">
        <w:rPr>
          <w:spacing w:val="2"/>
        </w:rPr>
        <w:t>года (</w:t>
      </w:r>
      <w:hyperlink r:id="rId18" w:history="1">
        <w:r w:rsidRPr="000E35E2">
          <w:rPr>
            <w:rStyle w:val="Hyperlink"/>
            <w:spacing w:val="2"/>
          </w:rPr>
          <w:t>CRC/C/TZA/CO/2</w:t>
        </w:r>
      </w:hyperlink>
      <w:r w:rsidRPr="000E35E2">
        <w:rPr>
          <w:spacing w:val="2"/>
        </w:rPr>
        <w:t>), пункты 51</w:t>
      </w:r>
      <w:r>
        <w:rPr>
          <w:spacing w:val="2"/>
        </w:rPr>
        <w:t xml:space="preserve"> и </w:t>
      </w:r>
      <w:r w:rsidRPr="000E35E2">
        <w:rPr>
          <w:spacing w:val="2"/>
        </w:rPr>
        <w:t>52</w:t>
      </w:r>
    </w:p>
    <w:p w:rsidR="00F7009F" w:rsidRPr="00F7009F" w:rsidRDefault="00F7009F" w:rsidP="00F7009F">
      <w:pPr>
        <w:pStyle w:val="SingleTxt"/>
        <w:spacing w:after="0" w:line="120" w:lineRule="exact"/>
        <w:rPr>
          <w:sz w:val="10"/>
          <w:lang w:val="en-US"/>
        </w:rPr>
      </w:pPr>
    </w:p>
    <w:p w:rsidR="00AD593A" w:rsidRPr="000E35E2" w:rsidRDefault="00F7009F" w:rsidP="00F700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AD593A" w:rsidRPr="000E35E2">
        <w:t>Другие</w:t>
      </w:r>
      <w:r w:rsidR="00AD593A" w:rsidRPr="000E35E2">
        <w:rPr>
          <w:lang w:val="en-US"/>
        </w:rPr>
        <w:t xml:space="preserve"> </w:t>
      </w:r>
      <w:r w:rsidR="00AD593A" w:rsidRPr="000E35E2">
        <w:t>официальные</w:t>
      </w:r>
      <w:r w:rsidR="00AD593A" w:rsidRPr="000E35E2">
        <w:rPr>
          <w:lang w:val="en-US"/>
        </w:rPr>
        <w:t xml:space="preserve"> </w:t>
      </w:r>
      <w:r w:rsidR="00AD593A" w:rsidRPr="000E35E2">
        <w:t>документы</w:t>
      </w:r>
    </w:p>
    <w:p w:rsidR="00F7009F" w:rsidRPr="00F7009F" w:rsidRDefault="00F7009F" w:rsidP="00F7009F">
      <w:pPr>
        <w:pStyle w:val="SingleTxt"/>
        <w:spacing w:after="0" w:line="120" w:lineRule="exact"/>
        <w:rPr>
          <w:sz w:val="10"/>
          <w:lang w:val="en-US"/>
        </w:rPr>
      </w:pPr>
    </w:p>
    <w:p w:rsidR="00AD593A" w:rsidRPr="006605A0" w:rsidRDefault="00AD593A" w:rsidP="00AD593A">
      <w:pPr>
        <w:pStyle w:val="SingleTxt"/>
        <w:keepNext/>
        <w:keepLines/>
        <w:rPr>
          <w:lang w:val="en-US"/>
        </w:rPr>
      </w:pPr>
      <w:r w:rsidRPr="006605A0">
        <w:rPr>
          <w:lang w:val="en-US"/>
        </w:rPr>
        <w:t>Gender</w:t>
      </w:r>
      <w:r w:rsidRPr="000E35E2">
        <w:rPr>
          <w:lang w:val="en-US"/>
        </w:rPr>
        <w:t xml:space="preserve"> </w:t>
      </w:r>
      <w:r w:rsidRPr="006605A0">
        <w:rPr>
          <w:lang w:val="en-US"/>
        </w:rPr>
        <w:t>and</w:t>
      </w:r>
      <w:r w:rsidRPr="000E35E2">
        <w:rPr>
          <w:lang w:val="en-US"/>
        </w:rPr>
        <w:t xml:space="preserve"> </w:t>
      </w:r>
      <w:r w:rsidRPr="006605A0">
        <w:rPr>
          <w:lang w:val="en-US"/>
        </w:rPr>
        <w:t>Children</w:t>
      </w:r>
      <w:r w:rsidRPr="000E35E2">
        <w:rPr>
          <w:lang w:val="en-US"/>
        </w:rPr>
        <w:t xml:space="preserve"> </w:t>
      </w:r>
      <w:r w:rsidRPr="006605A0">
        <w:rPr>
          <w:lang w:val="en-US"/>
        </w:rPr>
        <w:t>Desks</w:t>
      </w:r>
      <w:r w:rsidRPr="000E35E2">
        <w:rPr>
          <w:lang w:val="en-US"/>
        </w:rPr>
        <w:t>/</w:t>
      </w:r>
      <w:r w:rsidRPr="006605A0">
        <w:rPr>
          <w:lang w:val="en-US"/>
        </w:rPr>
        <w:t>Tanzania</w:t>
      </w:r>
      <w:r w:rsidRPr="000E35E2">
        <w:rPr>
          <w:lang w:val="en-US"/>
        </w:rPr>
        <w:t xml:space="preserve"> </w:t>
      </w:r>
      <w:r w:rsidRPr="006605A0">
        <w:rPr>
          <w:lang w:val="en-US"/>
        </w:rPr>
        <w:t>Police</w:t>
      </w:r>
      <w:r w:rsidRPr="000E35E2">
        <w:rPr>
          <w:lang w:val="en-US"/>
        </w:rPr>
        <w:t xml:space="preserve"> </w:t>
      </w:r>
      <w:r w:rsidRPr="006605A0">
        <w:rPr>
          <w:lang w:val="en-US"/>
        </w:rPr>
        <w:t>Force</w:t>
      </w:r>
      <w:r w:rsidRPr="000E35E2">
        <w:rPr>
          <w:lang w:val="en-US"/>
        </w:rPr>
        <w:t xml:space="preserve">, </w:t>
      </w:r>
      <w:r>
        <w:rPr>
          <w:lang w:val="en-US"/>
        </w:rPr>
        <w:t>"</w:t>
      </w:r>
      <w:r w:rsidRPr="006605A0">
        <w:rPr>
          <w:lang w:val="en-US"/>
        </w:rPr>
        <w:t>Changamoto</w:t>
      </w:r>
      <w:r w:rsidRPr="000E35E2">
        <w:rPr>
          <w:lang w:val="en-US"/>
        </w:rPr>
        <w:t xml:space="preserve"> </w:t>
      </w:r>
      <w:r w:rsidRPr="006605A0">
        <w:rPr>
          <w:lang w:val="en-US"/>
        </w:rPr>
        <w:t>Zinazolikabili</w:t>
      </w:r>
      <w:r w:rsidRPr="000E35E2">
        <w:rPr>
          <w:lang w:val="en-US"/>
        </w:rPr>
        <w:t xml:space="preserve"> </w:t>
      </w:r>
      <w:r w:rsidRPr="006605A0">
        <w:rPr>
          <w:lang w:val="en-US"/>
        </w:rPr>
        <w:t>Dawati</w:t>
      </w:r>
      <w:r w:rsidRPr="000E35E2">
        <w:rPr>
          <w:lang w:val="en-US"/>
        </w:rPr>
        <w:t xml:space="preserve"> </w:t>
      </w:r>
      <w:r w:rsidRPr="006605A0">
        <w:rPr>
          <w:lang w:val="en-US"/>
        </w:rPr>
        <w:t>la</w:t>
      </w:r>
      <w:r w:rsidRPr="000E35E2">
        <w:rPr>
          <w:lang w:val="en-US"/>
        </w:rPr>
        <w:t xml:space="preserve"> </w:t>
      </w:r>
      <w:r w:rsidRPr="006605A0">
        <w:rPr>
          <w:lang w:val="en-US"/>
        </w:rPr>
        <w:t>Polisi</w:t>
      </w:r>
      <w:r w:rsidRPr="000E35E2">
        <w:rPr>
          <w:lang w:val="en-US"/>
        </w:rPr>
        <w:t xml:space="preserve"> </w:t>
      </w:r>
      <w:r w:rsidRPr="006605A0">
        <w:rPr>
          <w:lang w:val="en-US"/>
        </w:rPr>
        <w:t>la</w:t>
      </w:r>
      <w:r w:rsidRPr="000E35E2">
        <w:rPr>
          <w:lang w:val="en-US"/>
        </w:rPr>
        <w:t xml:space="preserve"> </w:t>
      </w:r>
      <w:r w:rsidRPr="006605A0">
        <w:rPr>
          <w:lang w:val="en-US"/>
        </w:rPr>
        <w:t>Jinsia</w:t>
      </w:r>
      <w:r w:rsidRPr="000E35E2">
        <w:rPr>
          <w:lang w:val="en-US"/>
        </w:rPr>
        <w:t xml:space="preserve"> </w:t>
      </w:r>
      <w:r w:rsidRPr="006605A0">
        <w:rPr>
          <w:lang w:val="en-US"/>
        </w:rPr>
        <w:t>na</w:t>
      </w:r>
      <w:r w:rsidRPr="000E35E2">
        <w:rPr>
          <w:lang w:val="en-US"/>
        </w:rPr>
        <w:t xml:space="preserve"> </w:t>
      </w:r>
      <w:r w:rsidRPr="006605A0">
        <w:rPr>
          <w:lang w:val="en-US"/>
        </w:rPr>
        <w:t>Watoto</w:t>
      </w:r>
      <w:r>
        <w:rPr>
          <w:lang w:val="en-US"/>
        </w:rPr>
        <w:t>"</w:t>
      </w:r>
      <w:r w:rsidRPr="000E35E2">
        <w:rPr>
          <w:lang w:val="en-US"/>
        </w:rPr>
        <w:t xml:space="preserve">. </w:t>
      </w:r>
      <w:r w:rsidRPr="006605A0">
        <w:rPr>
          <w:lang w:val="en-US"/>
        </w:rPr>
        <w:t>Report sent to the National Consultant on 11 December 2013</w:t>
      </w:r>
    </w:p>
    <w:p w:rsidR="00AD593A" w:rsidRPr="006605A0" w:rsidRDefault="00AD593A" w:rsidP="00AD593A">
      <w:pPr>
        <w:pStyle w:val="SingleTxt"/>
        <w:rPr>
          <w:lang w:val="en-US"/>
        </w:rPr>
      </w:pPr>
      <w:r w:rsidRPr="006605A0">
        <w:rPr>
          <w:lang w:val="en-US"/>
        </w:rPr>
        <w:t xml:space="preserve">Government of Tanzania, </w:t>
      </w:r>
      <w:r w:rsidRPr="006605A0">
        <w:rPr>
          <w:i/>
          <w:lang w:val="en-US"/>
        </w:rPr>
        <w:t>National Plan of Action to Prevent and Respond to Vi</w:t>
      </w:r>
      <w:r w:rsidRPr="006605A0">
        <w:rPr>
          <w:i/>
          <w:lang w:val="en-US"/>
        </w:rPr>
        <w:t>o</w:t>
      </w:r>
      <w:r w:rsidRPr="006605A0">
        <w:rPr>
          <w:i/>
          <w:lang w:val="en-US"/>
        </w:rPr>
        <w:t>lence against Children</w:t>
      </w:r>
      <w:r w:rsidRPr="006605A0">
        <w:rPr>
          <w:lang w:val="en-US"/>
        </w:rPr>
        <w:t xml:space="preserve"> </w:t>
      </w:r>
      <w:r w:rsidRPr="006605A0">
        <w:rPr>
          <w:i/>
          <w:lang w:val="en-US"/>
        </w:rPr>
        <w:t>(2012-2015)</w:t>
      </w:r>
      <w:r w:rsidRPr="006605A0">
        <w:rPr>
          <w:lang w:val="en-US"/>
        </w:rPr>
        <w:t xml:space="preserve"> Dar es Salaam: Government of Tanzania, 2012</w:t>
      </w:r>
    </w:p>
    <w:p w:rsidR="00AD593A" w:rsidRPr="006605A0" w:rsidRDefault="00AD593A" w:rsidP="00AD593A">
      <w:pPr>
        <w:pStyle w:val="SingleTxt"/>
        <w:rPr>
          <w:spacing w:val="2"/>
          <w:lang w:val="en-US"/>
        </w:rPr>
      </w:pPr>
      <w:r w:rsidRPr="006605A0">
        <w:rPr>
          <w:spacing w:val="2"/>
          <w:lang w:val="en-US"/>
        </w:rPr>
        <w:t xml:space="preserve">ICF International, </w:t>
      </w:r>
      <w:r w:rsidRPr="006605A0">
        <w:rPr>
          <w:i/>
          <w:iCs/>
          <w:spacing w:val="2"/>
          <w:lang w:val="en-US"/>
        </w:rPr>
        <w:t xml:space="preserve">Tanzania HIV/AIDS and Malaria Indicator Survey 2011-12. </w:t>
      </w:r>
      <w:r w:rsidRPr="006605A0">
        <w:rPr>
          <w:spacing w:val="2"/>
          <w:lang w:val="en-US"/>
        </w:rPr>
        <w:t>Dar es Salaam: TACAIDS, ZAC, NBS, OCGS, and ICF International, 2013 (henceforth, 2011-2012 THMIS)</w:t>
      </w:r>
    </w:p>
    <w:p w:rsidR="00AD593A" w:rsidRPr="006605A0" w:rsidRDefault="00AD593A" w:rsidP="00AD593A">
      <w:pPr>
        <w:pStyle w:val="SingleTxt"/>
        <w:spacing w:after="100" w:line="240" w:lineRule="auto"/>
        <w:rPr>
          <w:lang w:val="en-US"/>
        </w:rPr>
      </w:pPr>
      <w:r w:rsidRPr="006605A0">
        <w:rPr>
          <w:lang w:val="en-US"/>
        </w:rPr>
        <w:t>-04 THIS produced estimates of HIV prevalence for Mainland Tanzania only</w:t>
      </w:r>
    </w:p>
    <w:p w:rsidR="00AD593A" w:rsidRPr="006605A0" w:rsidRDefault="00AD593A" w:rsidP="00AD593A">
      <w:pPr>
        <w:pStyle w:val="SingleTxt"/>
        <w:spacing w:after="100" w:line="240" w:lineRule="auto"/>
        <w:rPr>
          <w:lang w:val="en-US"/>
        </w:rPr>
      </w:pPr>
      <w:r w:rsidRPr="006605A0">
        <w:rPr>
          <w:lang w:val="en-US"/>
        </w:rPr>
        <w:t>Jaji Joseph S. Warioba "Hotuba Ya Mwenyekiti Wa Tume Ya Mabadiliko Ya Katiba, Jaji Joseph S. Warioba, Katika Mkutano Wa Waandishi Wa Habari Kuhusu Uzinduzi Wa Rasimu Ya Katiba", Tarehe 03 Juni, 2013 Kwenye Viwanja Vya Ukumbi Wa K</w:t>
      </w:r>
      <w:r w:rsidRPr="006605A0">
        <w:rPr>
          <w:lang w:val="en-US"/>
        </w:rPr>
        <w:t>a</w:t>
      </w:r>
      <w:r w:rsidRPr="006605A0">
        <w:rPr>
          <w:lang w:val="en-US"/>
        </w:rPr>
        <w:t>rimjee, Dar es Salaam</w:t>
      </w:r>
    </w:p>
    <w:p w:rsidR="00AD593A" w:rsidRPr="006605A0" w:rsidRDefault="00AD593A" w:rsidP="00AD593A">
      <w:pPr>
        <w:pStyle w:val="SingleTxt"/>
        <w:spacing w:after="100" w:line="240" w:lineRule="auto"/>
        <w:rPr>
          <w:lang w:val="en-US"/>
        </w:rPr>
      </w:pPr>
      <w:r w:rsidRPr="006605A0">
        <w:rPr>
          <w:lang w:val="en-US"/>
        </w:rPr>
        <w:t>Jaji Joseph S. Warioba "Hotuba Ya Mwenyekiti Wa Tume Ya Mabadiliko Ya Katiba, Jaji Joseph S. Warioba, Katika Mkutano Wa Kukabidhi Rasimu ya Pili ya Katiba ya Jamhuri ya Muungaon wa Tanzania", Tarehe 30 Disemba, 2013 Kwenye Viwanja Vya Ukumbi Wa Karimjee, Dar es Salaam</w:t>
      </w:r>
    </w:p>
    <w:p w:rsidR="00AD593A" w:rsidRPr="006605A0" w:rsidRDefault="00AD593A" w:rsidP="00AD593A">
      <w:pPr>
        <w:pStyle w:val="SingleTxt"/>
        <w:spacing w:after="100" w:line="240" w:lineRule="auto"/>
        <w:rPr>
          <w:lang w:val="en-US"/>
        </w:rPr>
      </w:pPr>
      <w:r w:rsidRPr="006605A0">
        <w:rPr>
          <w:lang w:val="en-US"/>
        </w:rPr>
        <w:t xml:space="preserve">Ministry of Constitutional and Legal Affairs, </w:t>
      </w:r>
      <w:r w:rsidRPr="006605A0">
        <w:rPr>
          <w:i/>
          <w:lang w:val="en-US"/>
        </w:rPr>
        <w:t>Five-year Strategy for the Progressive Child Justice Reform (2013-2017)</w:t>
      </w:r>
      <w:r w:rsidRPr="006605A0">
        <w:rPr>
          <w:lang w:val="en-US"/>
        </w:rPr>
        <w:t xml:space="preserve"> Dar es Salaam: MoCLA/UNICEF, December 2013</w:t>
      </w:r>
    </w:p>
    <w:p w:rsidR="00AD593A" w:rsidRPr="006605A0" w:rsidRDefault="00AD593A" w:rsidP="00AD593A">
      <w:pPr>
        <w:pStyle w:val="SingleTxt"/>
        <w:spacing w:after="100" w:line="240" w:lineRule="auto"/>
        <w:rPr>
          <w:lang w:val="en-US"/>
        </w:rPr>
      </w:pPr>
      <w:r w:rsidRPr="006605A0">
        <w:rPr>
          <w:lang w:val="en-US"/>
        </w:rPr>
        <w:t xml:space="preserve">Ministry of Constitutional and Legal Affairs, </w:t>
      </w:r>
      <w:r w:rsidRPr="006605A0">
        <w:rPr>
          <w:i/>
          <w:lang w:val="en-US"/>
        </w:rPr>
        <w:t>National Human Rights Action Plan</w:t>
      </w:r>
      <w:r w:rsidRPr="006605A0">
        <w:rPr>
          <w:lang w:val="en-US"/>
        </w:rPr>
        <w:t xml:space="preserve"> Dar es Salaam: MoCLA, December 2013</w:t>
      </w:r>
    </w:p>
    <w:p w:rsidR="00AD593A" w:rsidRPr="006605A0" w:rsidRDefault="00AD593A" w:rsidP="00AD593A">
      <w:pPr>
        <w:pStyle w:val="SingleTxt"/>
        <w:spacing w:after="100" w:line="240" w:lineRule="auto"/>
        <w:rPr>
          <w:lang w:val="en-US"/>
        </w:rPr>
      </w:pPr>
      <w:r w:rsidRPr="006605A0">
        <w:rPr>
          <w:lang w:val="en-US"/>
        </w:rPr>
        <w:t xml:space="preserve">Revolutionary Government of Zanzibar, </w:t>
      </w:r>
      <w:r w:rsidRPr="006605A0">
        <w:rPr>
          <w:i/>
          <w:lang w:val="en-US"/>
        </w:rPr>
        <w:t xml:space="preserve">National Plan to Respond to Violence against Children (2011-2015) </w:t>
      </w:r>
      <w:r w:rsidRPr="006605A0">
        <w:rPr>
          <w:lang w:val="en-US"/>
        </w:rPr>
        <w:t>Zanzibar: Revolutionary Government of Zanzibar, 2011</w:t>
      </w:r>
    </w:p>
    <w:p w:rsidR="00AD593A" w:rsidRPr="006605A0" w:rsidRDefault="00AD593A" w:rsidP="00AD593A">
      <w:pPr>
        <w:pStyle w:val="SingleTxt"/>
        <w:spacing w:after="100" w:line="240" w:lineRule="auto"/>
        <w:rPr>
          <w:lang w:val="en-US"/>
        </w:rPr>
      </w:pPr>
      <w:r w:rsidRPr="006605A0">
        <w:rPr>
          <w:lang w:val="en-US"/>
        </w:rPr>
        <w:t>Speech of Parliament by the Minister for Finance and Economic Planning, Hon. Mustafa Haidi Mkulo (MP), presenting before Parliament "The State of N</w:t>
      </w:r>
      <w:r w:rsidRPr="006605A0">
        <w:rPr>
          <w:lang w:val="en-US"/>
        </w:rPr>
        <w:t>a</w:t>
      </w:r>
      <w:r w:rsidRPr="006605A0">
        <w:rPr>
          <w:lang w:val="en-US"/>
        </w:rPr>
        <w:t>tional Economy Report for 2009 and Plans for 2010/2011-2012/2013" in Dodoma, June 2010</w:t>
      </w:r>
    </w:p>
    <w:p w:rsidR="00AD593A" w:rsidRPr="006605A0" w:rsidRDefault="00AD593A" w:rsidP="00AD593A">
      <w:pPr>
        <w:pStyle w:val="SingleTxt"/>
        <w:spacing w:after="100" w:line="240" w:lineRule="auto"/>
        <w:rPr>
          <w:lang w:val="en-US"/>
        </w:rPr>
      </w:pPr>
      <w:r w:rsidRPr="006605A0">
        <w:rPr>
          <w:lang w:val="en-US"/>
        </w:rPr>
        <w:t xml:space="preserve">United Republic of Tanzania, </w:t>
      </w:r>
      <w:r w:rsidRPr="006605A0">
        <w:rPr>
          <w:i/>
          <w:lang w:val="en-US"/>
        </w:rPr>
        <w:t>Violence Against Children in Tanzania (2011-2014): Achievements, Commitments, Priority Gaps</w:t>
      </w:r>
      <w:r w:rsidRPr="006605A0">
        <w:rPr>
          <w:lang w:val="en-US"/>
        </w:rPr>
        <w:t xml:space="preserve"> (2011)</w:t>
      </w:r>
    </w:p>
    <w:p w:rsidR="00AD593A" w:rsidRPr="006605A0" w:rsidRDefault="00AD593A" w:rsidP="00AD593A">
      <w:pPr>
        <w:pStyle w:val="SingleTxt"/>
        <w:spacing w:after="100" w:line="240" w:lineRule="auto"/>
        <w:rPr>
          <w:lang w:val="en-US"/>
        </w:rPr>
      </w:pPr>
      <w:r w:rsidRPr="006605A0">
        <w:rPr>
          <w:lang w:val="en-US"/>
        </w:rPr>
        <w:t xml:space="preserve">United Republic of Tanzania, </w:t>
      </w:r>
      <w:r w:rsidRPr="006605A0">
        <w:rPr>
          <w:i/>
          <w:lang w:val="en-US"/>
        </w:rPr>
        <w:t>Violence Against Children in Tanzania: From Co</w:t>
      </w:r>
      <w:r w:rsidRPr="006605A0">
        <w:rPr>
          <w:i/>
          <w:lang w:val="en-US"/>
        </w:rPr>
        <w:t>m</w:t>
      </w:r>
      <w:r w:rsidRPr="006605A0">
        <w:rPr>
          <w:i/>
          <w:lang w:val="en-US"/>
        </w:rPr>
        <w:t>mitments to Action – Key Achievements from the Multi-Sectoral "Priority Respon</w:t>
      </w:r>
      <w:r w:rsidRPr="006605A0">
        <w:rPr>
          <w:i/>
          <w:lang w:val="en-US"/>
        </w:rPr>
        <w:t>s</w:t>
      </w:r>
      <w:r w:rsidRPr="006605A0">
        <w:rPr>
          <w:i/>
          <w:lang w:val="en-US"/>
        </w:rPr>
        <w:t xml:space="preserve">es" to Address Violence against Children (2011-2012) and Priority Activities for 2012-2013, </w:t>
      </w:r>
      <w:r w:rsidRPr="006605A0">
        <w:rPr>
          <w:lang w:val="en-US"/>
        </w:rPr>
        <w:t>Dar es Salaam: Government of the United Republic of Tanzania, June 2012</w:t>
      </w:r>
    </w:p>
    <w:p w:rsidR="00AD593A" w:rsidRPr="006605A0" w:rsidRDefault="00AD593A" w:rsidP="00AD593A">
      <w:pPr>
        <w:pStyle w:val="SingleTxt"/>
        <w:spacing w:after="100" w:line="240" w:lineRule="auto"/>
        <w:rPr>
          <w:lang w:val="en-US"/>
        </w:rPr>
      </w:pPr>
      <w:r w:rsidRPr="006605A0">
        <w:rPr>
          <w:lang w:val="en-US"/>
        </w:rPr>
        <w:t>United Republic of Tanzania, "Response to Questionnaire on the Achievements of the Millennium Development Goals (MDGs)". Ministry of Community Develo</w:t>
      </w:r>
      <w:r w:rsidRPr="006605A0">
        <w:rPr>
          <w:lang w:val="en-US"/>
        </w:rPr>
        <w:t>p</w:t>
      </w:r>
      <w:r w:rsidRPr="006605A0">
        <w:rPr>
          <w:lang w:val="en-US"/>
        </w:rPr>
        <w:t>ment, Gender and Children, June 2010</w:t>
      </w:r>
    </w:p>
    <w:p w:rsidR="00AD593A" w:rsidRPr="006605A0" w:rsidRDefault="00AD593A" w:rsidP="00AD593A">
      <w:pPr>
        <w:pStyle w:val="SingleTxt"/>
        <w:spacing w:after="100" w:line="240" w:lineRule="auto"/>
        <w:rPr>
          <w:bCs/>
          <w:lang w:val="en-US"/>
        </w:rPr>
      </w:pPr>
      <w:r w:rsidRPr="006605A0">
        <w:rPr>
          <w:bCs/>
          <w:lang w:val="en-US"/>
        </w:rPr>
        <w:t xml:space="preserve">Tanzanian Women Lawyers’ Association, </w:t>
      </w:r>
      <w:r w:rsidRPr="006605A0">
        <w:rPr>
          <w:bCs/>
          <w:i/>
          <w:lang w:val="en-US"/>
        </w:rPr>
        <w:t>Annual Report 2012</w:t>
      </w:r>
      <w:r w:rsidRPr="006605A0">
        <w:rPr>
          <w:bCs/>
          <w:lang w:val="en-US"/>
        </w:rPr>
        <w:t xml:space="preserve"> Dar es Salaam: Ta</w:t>
      </w:r>
      <w:r w:rsidRPr="006605A0">
        <w:rPr>
          <w:bCs/>
          <w:lang w:val="en-US"/>
        </w:rPr>
        <w:t>n</w:t>
      </w:r>
      <w:r w:rsidRPr="006605A0">
        <w:rPr>
          <w:bCs/>
          <w:lang w:val="en-US"/>
        </w:rPr>
        <w:t>zanian Women Lawyers’ Association, 2012</w:t>
      </w:r>
    </w:p>
    <w:p w:rsidR="00AD593A" w:rsidRPr="006605A0" w:rsidRDefault="00AD593A" w:rsidP="00AD593A">
      <w:pPr>
        <w:pStyle w:val="SingleTxt"/>
        <w:spacing w:after="100" w:line="240" w:lineRule="auto"/>
        <w:rPr>
          <w:spacing w:val="2"/>
          <w:lang w:val="en-US"/>
        </w:rPr>
      </w:pPr>
      <w:r w:rsidRPr="006605A0">
        <w:rPr>
          <w:spacing w:val="2"/>
          <w:lang w:val="en-US"/>
        </w:rPr>
        <w:t xml:space="preserve">United Nations High Commissioner for Refugees, </w:t>
      </w:r>
      <w:r w:rsidRPr="006605A0">
        <w:rPr>
          <w:i/>
          <w:spacing w:val="2"/>
          <w:lang w:val="en-US"/>
        </w:rPr>
        <w:t>Fact Sheet September 2013</w:t>
      </w:r>
      <w:r w:rsidRPr="006605A0">
        <w:rPr>
          <w:spacing w:val="2"/>
          <w:lang w:val="en-US"/>
        </w:rPr>
        <w:t xml:space="preserve"> Dar es Salaam: UNHCR Operation in Tanzania, September 2013</w:t>
      </w:r>
    </w:p>
    <w:p w:rsidR="00AD593A" w:rsidRPr="006605A0" w:rsidRDefault="00AD593A" w:rsidP="00AD593A">
      <w:pPr>
        <w:pStyle w:val="SingleTxt"/>
        <w:spacing w:after="100" w:line="240" w:lineRule="auto"/>
        <w:rPr>
          <w:spacing w:val="2"/>
          <w:lang w:val="en-US"/>
        </w:rPr>
      </w:pPr>
      <w:r w:rsidRPr="006605A0">
        <w:rPr>
          <w:spacing w:val="2"/>
          <w:lang w:val="en-US"/>
        </w:rPr>
        <w:t xml:space="preserve">United Nations High Commissioner for Refugees, </w:t>
      </w:r>
      <w:r w:rsidRPr="006605A0">
        <w:rPr>
          <w:i/>
          <w:spacing w:val="2"/>
          <w:lang w:val="en-US"/>
        </w:rPr>
        <w:t>Fact Sheet November 2013</w:t>
      </w:r>
      <w:r w:rsidRPr="006605A0">
        <w:rPr>
          <w:spacing w:val="2"/>
          <w:lang w:val="en-US"/>
        </w:rPr>
        <w:t xml:space="preserve"> Dar es Salaam: UNHCR Operation in Tanzania, November 2013</w:t>
      </w:r>
    </w:p>
    <w:p w:rsidR="00AD593A" w:rsidRPr="006605A0" w:rsidRDefault="00AD593A" w:rsidP="00AD593A">
      <w:pPr>
        <w:pStyle w:val="SingleTxt"/>
        <w:spacing w:after="100" w:line="240" w:lineRule="auto"/>
        <w:rPr>
          <w:spacing w:val="2"/>
          <w:lang w:val="en-US"/>
        </w:rPr>
      </w:pPr>
      <w:r w:rsidRPr="006605A0">
        <w:rPr>
          <w:spacing w:val="2"/>
          <w:lang w:val="en-US"/>
        </w:rPr>
        <w:t xml:space="preserve">United Republic of Tanzania, </w:t>
      </w:r>
      <w:r w:rsidRPr="006605A0">
        <w:rPr>
          <w:i/>
          <w:spacing w:val="2"/>
          <w:lang w:val="en-US"/>
        </w:rPr>
        <w:t>Health Sector Strategic Plan III: July 2009-June 2015</w:t>
      </w:r>
      <w:r w:rsidRPr="006605A0">
        <w:rPr>
          <w:spacing w:val="2"/>
          <w:lang w:val="en-US"/>
        </w:rPr>
        <w:t xml:space="preserve"> Dar es Salaam: Ministry of Health and Social Welfare, 2008</w:t>
      </w:r>
    </w:p>
    <w:p w:rsidR="00AD593A" w:rsidRPr="006605A0" w:rsidRDefault="00AD593A" w:rsidP="00AD593A">
      <w:pPr>
        <w:pStyle w:val="SingleTxt"/>
        <w:spacing w:after="100" w:line="240" w:lineRule="auto"/>
        <w:rPr>
          <w:lang w:val="en-US"/>
        </w:rPr>
      </w:pPr>
      <w:r w:rsidRPr="006605A0">
        <w:rPr>
          <w:i/>
          <w:lang w:val="en-US"/>
        </w:rPr>
        <w:t>Health Sector Strategic Plan III: July 2009-June 2015</w:t>
      </w:r>
      <w:r w:rsidRPr="006605A0">
        <w:rPr>
          <w:lang w:val="en-US"/>
        </w:rPr>
        <w:t xml:space="preserve"> made by the then Minister for Health and Social Welfare, Prof. David H. Mwakyusa (MP)</w:t>
      </w:r>
    </w:p>
    <w:p w:rsidR="00AD593A" w:rsidRPr="006605A0" w:rsidRDefault="00AD593A" w:rsidP="00AD593A">
      <w:pPr>
        <w:pStyle w:val="SingleTxt"/>
        <w:spacing w:after="100" w:line="240" w:lineRule="auto"/>
        <w:rPr>
          <w:lang w:val="en-US"/>
        </w:rPr>
      </w:pPr>
      <w:r w:rsidRPr="006605A0">
        <w:rPr>
          <w:lang w:val="en-US"/>
        </w:rPr>
        <w:t>United Republic of Tanzania, "Tanzania 3</w:t>
      </w:r>
      <w:r w:rsidRPr="006605A0">
        <w:rPr>
          <w:vertAlign w:val="superscript"/>
          <w:lang w:val="en-US"/>
        </w:rPr>
        <w:t>rd</w:t>
      </w:r>
      <w:r w:rsidRPr="006605A0">
        <w:rPr>
          <w:lang w:val="en-US"/>
        </w:rPr>
        <w:t>, 4</w:t>
      </w:r>
      <w:r w:rsidRPr="006605A0">
        <w:rPr>
          <w:vertAlign w:val="superscript"/>
          <w:lang w:val="en-US"/>
        </w:rPr>
        <w:t>th</w:t>
      </w:r>
      <w:r w:rsidRPr="006605A0">
        <w:rPr>
          <w:lang w:val="en-US"/>
        </w:rPr>
        <w:t xml:space="preserve"> and 5</w:t>
      </w:r>
      <w:r w:rsidRPr="006605A0">
        <w:rPr>
          <w:vertAlign w:val="superscript"/>
          <w:lang w:val="en-US"/>
        </w:rPr>
        <w:t>th</w:t>
      </w:r>
      <w:r w:rsidRPr="006605A0">
        <w:rPr>
          <w:lang w:val="en-US"/>
        </w:rPr>
        <w:t xml:space="preserve"> Reports on the Implement</w:t>
      </w:r>
      <w:r w:rsidRPr="006605A0">
        <w:rPr>
          <w:lang w:val="en-US"/>
        </w:rPr>
        <w:t>a</w:t>
      </w:r>
      <w:r w:rsidRPr="006605A0">
        <w:rPr>
          <w:lang w:val="en-US"/>
        </w:rPr>
        <w:t>tion of the Convention on the Rights of the Child (CRC) 2005-2011", submitted to the CROC by the Ministry of Community Development, Gender and Children (Ta</w:t>
      </w:r>
      <w:r w:rsidRPr="006605A0">
        <w:rPr>
          <w:lang w:val="en-US"/>
        </w:rPr>
        <w:t>n</w:t>
      </w:r>
      <w:r w:rsidRPr="006605A0">
        <w:rPr>
          <w:lang w:val="en-US"/>
        </w:rPr>
        <w:t>zania Mainland) and the Ministry of Social Welfare, Youth, Women and Children Development (Zanzibar), 9</w:t>
      </w:r>
      <w:r w:rsidRPr="006605A0">
        <w:rPr>
          <w:vertAlign w:val="superscript"/>
          <w:lang w:val="en-US"/>
        </w:rPr>
        <w:t xml:space="preserve"> </w:t>
      </w:r>
      <w:r w:rsidRPr="006605A0">
        <w:rPr>
          <w:lang w:val="en-US"/>
        </w:rPr>
        <w:t>January 2012</w:t>
      </w:r>
    </w:p>
    <w:p w:rsidR="00AD593A" w:rsidRPr="006605A0" w:rsidRDefault="00AD593A" w:rsidP="00AD593A">
      <w:pPr>
        <w:pStyle w:val="SingleTxt"/>
        <w:spacing w:after="0" w:line="240" w:lineRule="auto"/>
        <w:rPr>
          <w:spacing w:val="2"/>
          <w:lang w:val="en-US"/>
        </w:rPr>
      </w:pPr>
      <w:r w:rsidRPr="006605A0">
        <w:rPr>
          <w:spacing w:val="2"/>
          <w:lang w:val="en-US"/>
        </w:rPr>
        <w:t xml:space="preserve">Zanzibar AIDS Commission (ZAC), </w:t>
      </w:r>
      <w:r w:rsidRPr="006605A0">
        <w:rPr>
          <w:i/>
          <w:spacing w:val="2"/>
          <w:lang w:val="en-US"/>
        </w:rPr>
        <w:t>Zanzibar National HIV Strategic Plan (ZNSP-II) 2011-2016</w:t>
      </w:r>
      <w:r w:rsidRPr="006605A0">
        <w:rPr>
          <w:spacing w:val="2"/>
          <w:lang w:val="en-US"/>
        </w:rPr>
        <w:t xml:space="preserve"> Zanzibar: Revolutionary Government of Zanzibar, 2011</w:t>
      </w:r>
    </w:p>
    <w:p w:rsidR="00946512" w:rsidRPr="00F7009F" w:rsidRDefault="00F7009F" w:rsidP="00F7009F">
      <w:pPr>
        <w:pStyle w:val="SingleTxt"/>
        <w:spacing w:after="0" w:line="240" w:lineRule="auto"/>
        <w:rPr>
          <w:lang w:val="en-US"/>
        </w:rPr>
      </w:pPr>
      <w:r>
        <w:rPr>
          <w:noProof/>
          <w:w w:val="100"/>
          <w:lang w:val="en-US"/>
        </w:rPr>
        <w:pict>
          <v:line id="_x0000_s1026" style="position:absolute;left:0;text-align:left;z-index:1" from="210.2pt,30pt" to="282.2pt,30pt" strokecolor="#010000" strokeweight=".25pt"/>
        </w:pict>
      </w:r>
    </w:p>
    <w:sectPr w:rsidR="00946512" w:rsidRPr="00F7009F" w:rsidSect="00285CD8">
      <w:type w:val="continuous"/>
      <w:pgSz w:w="12240" w:h="15840"/>
      <w:pgMar w:top="1742" w:right="1200" w:bottom="1898" w:left="1200" w:header="576" w:footer="1030" w:gutter="0"/>
      <w:pgNumType w:start="1"/>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21T12:15:00Z" w:initials="Start">
    <w:p w:rsidR="00285CD8" w:rsidRPr="00D21874" w:rsidRDefault="00285CD8">
      <w:pPr>
        <w:pStyle w:val="CommentText"/>
        <w:rPr>
          <w:lang w:val="en-US"/>
        </w:rPr>
      </w:pPr>
      <w:r>
        <w:fldChar w:fldCharType="begin"/>
      </w:r>
      <w:r w:rsidRPr="00D21874">
        <w:rPr>
          <w:rStyle w:val="CommentReference"/>
          <w:lang w:val="en-US"/>
        </w:rPr>
        <w:instrText xml:space="preserve"> </w:instrText>
      </w:r>
      <w:r w:rsidRPr="00D21874">
        <w:rPr>
          <w:lang w:val="en-US"/>
        </w:rPr>
        <w:instrText>PAGE \# "'Page: '#'</w:instrText>
      </w:r>
      <w:r w:rsidRPr="00D21874">
        <w:rPr>
          <w:lang w:val="en-US"/>
        </w:rPr>
        <w:br/>
        <w:instrText>'"</w:instrText>
      </w:r>
      <w:r w:rsidRPr="00D21874">
        <w:rPr>
          <w:rStyle w:val="CommentReference"/>
          <w:lang w:val="en-US"/>
        </w:rPr>
        <w:instrText xml:space="preserve"> </w:instrText>
      </w:r>
      <w:r>
        <w:fldChar w:fldCharType="end"/>
      </w:r>
      <w:r>
        <w:rPr>
          <w:rStyle w:val="CommentReference"/>
        </w:rPr>
        <w:annotationRef/>
      </w:r>
      <w:r w:rsidRPr="00D21874">
        <w:rPr>
          <w:lang w:val="en-US"/>
        </w:rPr>
        <w:t>&lt;&lt;ODS JOB NO&gt;&gt;N1466445R&lt;&lt;ODS JOB NO&gt;&gt;</w:t>
      </w:r>
    </w:p>
    <w:p w:rsidR="00285CD8" w:rsidRPr="00D21874" w:rsidRDefault="00285CD8">
      <w:pPr>
        <w:pStyle w:val="CommentText"/>
        <w:rPr>
          <w:lang w:val="en-US"/>
        </w:rPr>
      </w:pPr>
      <w:r w:rsidRPr="00D21874">
        <w:rPr>
          <w:lang w:val="en-US"/>
        </w:rPr>
        <w:t>&lt;&lt;ODS DOC SYMBOL1&gt;&gt;CEDAW/C/TZA/7-8&lt;&lt;ODS DOC SYMBOL1&gt;&gt;</w:t>
      </w:r>
    </w:p>
    <w:p w:rsidR="00285CD8" w:rsidRPr="00D21874" w:rsidRDefault="00285CD8">
      <w:pPr>
        <w:pStyle w:val="CommentText"/>
        <w:rPr>
          <w:lang w:val="en-US"/>
        </w:rPr>
      </w:pPr>
      <w:r w:rsidRPr="00D21874">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D9E" w:rsidRDefault="00851D9E" w:rsidP="008A1A7A">
      <w:pPr>
        <w:spacing w:line="240" w:lineRule="auto"/>
      </w:pPr>
      <w:r>
        <w:separator/>
      </w:r>
    </w:p>
  </w:endnote>
  <w:endnote w:type="continuationSeparator" w:id="0">
    <w:p w:rsidR="00851D9E" w:rsidRDefault="00851D9E" w:rsidP="008A1A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charset w:val="CC"/>
    <w:family w:val="roman"/>
    <w:pitch w:val="variable"/>
    <w:sig w:usb0="00000287" w:usb1="00000000" w:usb2="00000000" w:usb3="00000000" w:csb0="0000009F" w:csb1="00000000"/>
  </w:font>
  <w:font w:name="Barcode 3 of 9 by reques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28"/>
      <w:gridCol w:w="5028"/>
    </w:tblGrid>
    <w:tr w:rsidR="00285CD8" w:rsidTr="00285CD8">
      <w:tblPrEx>
        <w:tblCellMar>
          <w:top w:w="0" w:type="dxa"/>
          <w:bottom w:w="0" w:type="dxa"/>
        </w:tblCellMar>
      </w:tblPrEx>
      <w:tc>
        <w:tcPr>
          <w:tcW w:w="5028" w:type="dxa"/>
          <w:shd w:val="clear" w:color="auto" w:fill="auto"/>
          <w:vAlign w:val="bottom"/>
        </w:tcPr>
        <w:p w:rsidR="00285CD8" w:rsidRPr="00C504C6" w:rsidRDefault="00285CD8" w:rsidP="00285CD8">
          <w:pPr>
            <w:pStyle w:val="Footer"/>
            <w:rPr>
              <w:color w:val="000000"/>
              <w:szCs w:val="22"/>
              <w:lang w:eastAsia="en-US"/>
            </w:rPr>
          </w:pPr>
          <w:r w:rsidRPr="00C504C6">
            <w:rPr>
              <w:szCs w:val="22"/>
              <w:lang w:eastAsia="en-US"/>
            </w:rPr>
            <w:fldChar w:fldCharType="begin"/>
          </w:r>
          <w:r w:rsidRPr="00C504C6">
            <w:rPr>
              <w:szCs w:val="22"/>
              <w:lang w:eastAsia="en-US"/>
            </w:rPr>
            <w:instrText xml:space="preserve"> PAGE  \* Arabic  \* MERGEFORMAT </w:instrText>
          </w:r>
          <w:r w:rsidRPr="00C504C6">
            <w:rPr>
              <w:szCs w:val="22"/>
              <w:lang w:eastAsia="en-US"/>
            </w:rPr>
            <w:fldChar w:fldCharType="separate"/>
          </w:r>
          <w:r w:rsidR="00B73201" w:rsidRPr="00C504C6">
            <w:rPr>
              <w:noProof/>
              <w:szCs w:val="22"/>
              <w:lang w:eastAsia="en-US"/>
            </w:rPr>
            <w:t>2</w:t>
          </w:r>
          <w:r w:rsidRPr="00C504C6">
            <w:rPr>
              <w:szCs w:val="22"/>
              <w:lang w:eastAsia="en-US"/>
            </w:rPr>
            <w:fldChar w:fldCharType="end"/>
          </w:r>
          <w:r w:rsidRPr="00C504C6">
            <w:rPr>
              <w:szCs w:val="22"/>
              <w:lang w:eastAsia="en-US"/>
            </w:rPr>
            <w:t>/</w:t>
          </w:r>
          <w:fldSimple w:instr=" NUMPAGES  \* Arabic  \* MERGEFORMAT ">
            <w:r w:rsidR="00B73201" w:rsidRPr="00C504C6">
              <w:rPr>
                <w:noProof/>
                <w:szCs w:val="22"/>
                <w:lang w:eastAsia="en-US"/>
              </w:rPr>
              <w:t>2</w:t>
            </w:r>
          </w:fldSimple>
        </w:p>
      </w:tc>
      <w:tc>
        <w:tcPr>
          <w:tcW w:w="5028" w:type="dxa"/>
          <w:shd w:val="clear" w:color="auto" w:fill="auto"/>
          <w:vAlign w:val="bottom"/>
        </w:tcPr>
        <w:p w:rsidR="00285CD8" w:rsidRPr="00C504C6" w:rsidRDefault="00285CD8" w:rsidP="00285CD8">
          <w:pPr>
            <w:pStyle w:val="Footer"/>
            <w:jc w:val="right"/>
            <w:rPr>
              <w:b w:val="0"/>
              <w:color w:val="000000"/>
              <w:sz w:val="14"/>
              <w:szCs w:val="22"/>
              <w:lang w:val="en-US" w:eastAsia="en-US"/>
            </w:rPr>
          </w:pPr>
          <w:fldSimple w:instr=" DOCVARIABLE &quot;FooterJN&quot; \* MERGEFORMAT ">
            <w:r w:rsidR="00D60C66" w:rsidRPr="00C504C6">
              <w:rPr>
                <w:b w:val="0"/>
                <w:color w:val="000000"/>
                <w:sz w:val="14"/>
                <w:szCs w:val="22"/>
                <w:lang w:eastAsia="en-US"/>
              </w:rPr>
              <w:t>14-66070</w:t>
            </w:r>
          </w:fldSimple>
          <w:r w:rsidR="00B47DBD" w:rsidRPr="00C504C6">
            <w:rPr>
              <w:b w:val="0"/>
              <w:color w:val="000000"/>
              <w:sz w:val="14"/>
              <w:szCs w:val="22"/>
              <w:lang w:val="en-US" w:eastAsia="en-US"/>
            </w:rPr>
            <w:t>X</w:t>
          </w:r>
        </w:p>
      </w:tc>
    </w:tr>
  </w:tbl>
  <w:p w:rsidR="00285CD8" w:rsidRPr="00285CD8" w:rsidRDefault="00285CD8" w:rsidP="00285C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28"/>
      <w:gridCol w:w="5028"/>
    </w:tblGrid>
    <w:tr w:rsidR="00285CD8" w:rsidTr="00285CD8">
      <w:tblPrEx>
        <w:tblCellMar>
          <w:top w:w="0" w:type="dxa"/>
          <w:bottom w:w="0" w:type="dxa"/>
        </w:tblCellMar>
      </w:tblPrEx>
      <w:tc>
        <w:tcPr>
          <w:tcW w:w="5028" w:type="dxa"/>
          <w:shd w:val="clear" w:color="auto" w:fill="auto"/>
          <w:vAlign w:val="bottom"/>
        </w:tcPr>
        <w:p w:rsidR="00285CD8" w:rsidRPr="00C504C6" w:rsidRDefault="00285CD8" w:rsidP="00285CD8">
          <w:pPr>
            <w:pStyle w:val="Footer"/>
            <w:rPr>
              <w:b w:val="0"/>
              <w:color w:val="000000"/>
              <w:sz w:val="14"/>
              <w:szCs w:val="22"/>
              <w:lang w:val="en-US" w:eastAsia="en-US"/>
            </w:rPr>
          </w:pPr>
          <w:fldSimple w:instr=" DOCVARIABLE &quot;FooterJN&quot; \* MERGEFORMAT ">
            <w:r w:rsidR="00D60C66" w:rsidRPr="00C504C6">
              <w:rPr>
                <w:b w:val="0"/>
                <w:color w:val="000000"/>
                <w:sz w:val="14"/>
                <w:szCs w:val="22"/>
                <w:lang w:eastAsia="en-US"/>
              </w:rPr>
              <w:t>14-66070</w:t>
            </w:r>
          </w:fldSimple>
          <w:r w:rsidR="00B47DBD" w:rsidRPr="00C504C6">
            <w:rPr>
              <w:b w:val="0"/>
              <w:color w:val="000000"/>
              <w:sz w:val="14"/>
              <w:szCs w:val="22"/>
              <w:lang w:val="en-US" w:eastAsia="en-US"/>
            </w:rPr>
            <w:t>X</w:t>
          </w:r>
        </w:p>
      </w:tc>
      <w:tc>
        <w:tcPr>
          <w:tcW w:w="5028" w:type="dxa"/>
          <w:shd w:val="clear" w:color="auto" w:fill="auto"/>
          <w:vAlign w:val="bottom"/>
        </w:tcPr>
        <w:p w:rsidR="00285CD8" w:rsidRPr="00C504C6" w:rsidRDefault="00285CD8" w:rsidP="00285CD8">
          <w:pPr>
            <w:pStyle w:val="Footer"/>
            <w:jc w:val="right"/>
            <w:rPr>
              <w:szCs w:val="22"/>
              <w:lang w:eastAsia="en-US"/>
            </w:rPr>
          </w:pPr>
          <w:r w:rsidRPr="00C504C6">
            <w:rPr>
              <w:szCs w:val="22"/>
              <w:lang w:eastAsia="en-US"/>
            </w:rPr>
            <w:fldChar w:fldCharType="begin"/>
          </w:r>
          <w:r w:rsidRPr="00C504C6">
            <w:rPr>
              <w:szCs w:val="22"/>
              <w:lang w:eastAsia="en-US"/>
            </w:rPr>
            <w:instrText xml:space="preserve"> PAGE  \* Arabic  \* MERGEFORMAT </w:instrText>
          </w:r>
          <w:r w:rsidRPr="00C504C6">
            <w:rPr>
              <w:szCs w:val="22"/>
              <w:lang w:eastAsia="en-US"/>
            </w:rPr>
            <w:fldChar w:fldCharType="separate"/>
          </w:r>
          <w:r w:rsidR="00D60C66" w:rsidRPr="00C504C6">
            <w:rPr>
              <w:noProof/>
              <w:szCs w:val="22"/>
              <w:lang w:eastAsia="en-US"/>
            </w:rPr>
            <w:t>49</w:t>
          </w:r>
          <w:r w:rsidRPr="00C504C6">
            <w:rPr>
              <w:szCs w:val="22"/>
              <w:lang w:eastAsia="en-US"/>
            </w:rPr>
            <w:fldChar w:fldCharType="end"/>
          </w:r>
          <w:r w:rsidRPr="00C504C6">
            <w:rPr>
              <w:szCs w:val="22"/>
              <w:lang w:eastAsia="en-US"/>
            </w:rPr>
            <w:t>/</w:t>
          </w:r>
          <w:fldSimple w:instr=" NUMPAGES  \* Arabic  \* MERGEFORMAT ">
            <w:r w:rsidR="00D60C66" w:rsidRPr="00C504C6">
              <w:rPr>
                <w:noProof/>
                <w:szCs w:val="22"/>
                <w:lang w:eastAsia="en-US"/>
              </w:rPr>
              <w:t>71</w:t>
            </w:r>
          </w:fldSimple>
        </w:p>
      </w:tc>
    </w:tr>
  </w:tbl>
  <w:p w:rsidR="00285CD8" w:rsidRPr="00285CD8" w:rsidRDefault="00285CD8" w:rsidP="00285C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D8" w:rsidRDefault="00285CD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6.4pt;margin-top:683.3pt;width:54.7pt;height:54.7pt;z-index:1;mso-position-horizontal-relative:page;mso-position-vertical-relative:page">
          <v:imagedata r:id="rId1" o:title="7-8&amp;Size =1&amp;Lang = R"/>
          <w10:wrap anchorx="page" anchory="page"/>
        </v:shape>
      </w:pict>
    </w:r>
  </w:p>
  <w:tbl>
    <w:tblPr>
      <w:tblW w:w="0" w:type="auto"/>
      <w:tblLayout w:type="fixed"/>
      <w:tblLook w:val="0000"/>
    </w:tblPr>
    <w:tblGrid>
      <w:gridCol w:w="3830"/>
      <w:gridCol w:w="5028"/>
    </w:tblGrid>
    <w:tr w:rsidR="00285CD8" w:rsidTr="00285CD8">
      <w:tblPrEx>
        <w:tblCellMar>
          <w:top w:w="0" w:type="dxa"/>
          <w:bottom w:w="0" w:type="dxa"/>
        </w:tblCellMar>
      </w:tblPrEx>
      <w:tc>
        <w:tcPr>
          <w:tcW w:w="3830" w:type="dxa"/>
        </w:tcPr>
        <w:p w:rsidR="00285CD8" w:rsidRDefault="00285CD8" w:rsidP="00285CD8">
          <w:pPr>
            <w:pStyle w:val="ReleaseDate"/>
            <w:rPr>
              <w:color w:val="010000"/>
            </w:rPr>
          </w:pPr>
          <w:r>
            <w:t>14-66070</w:t>
          </w:r>
          <w:r w:rsidR="00B47DBD">
            <w:rPr>
              <w:lang w:val="en-US"/>
            </w:rPr>
            <w:t>X</w:t>
          </w:r>
          <w:r>
            <w:t xml:space="preserve"> (R)</w:t>
          </w:r>
          <w:r>
            <w:rPr>
              <w:color w:val="010000"/>
            </w:rPr>
            <w:t xml:space="preserve">    210415    210415</w:t>
          </w:r>
        </w:p>
        <w:p w:rsidR="00285CD8" w:rsidRPr="00285CD8" w:rsidRDefault="00285CD8" w:rsidP="00285CD8">
          <w:pPr>
            <w:spacing w:before="80" w:line="210" w:lineRule="exact"/>
            <w:rPr>
              <w:rFonts w:ascii="Barcode 3 of 9 by request" w:hAnsi="Barcode 3 of 9 by request"/>
              <w:w w:val="100"/>
              <w:sz w:val="24"/>
            </w:rPr>
          </w:pPr>
          <w:r>
            <w:rPr>
              <w:rFonts w:ascii="Barcode 3 of 9 by request" w:hAnsi="Barcode 3 of 9 by request"/>
              <w:w w:val="100"/>
              <w:sz w:val="24"/>
            </w:rPr>
            <w:t>*1466070(R)*</w:t>
          </w:r>
        </w:p>
      </w:tc>
      <w:tc>
        <w:tcPr>
          <w:tcW w:w="5028" w:type="dxa"/>
        </w:tcPr>
        <w:p w:rsidR="00285CD8" w:rsidRPr="00C504C6" w:rsidRDefault="00285CD8" w:rsidP="00285CD8">
          <w:pPr>
            <w:pStyle w:val="Footer"/>
            <w:spacing w:line="240" w:lineRule="atLeast"/>
            <w:jc w:val="right"/>
            <w:rPr>
              <w:b w:val="0"/>
              <w:sz w:val="20"/>
              <w:szCs w:val="22"/>
              <w:lang w:eastAsia="en-US"/>
            </w:rPr>
          </w:pPr>
          <w:r w:rsidRPr="00C504C6">
            <w:rPr>
              <w:b w:val="0"/>
              <w:sz w:val="20"/>
              <w:szCs w:val="22"/>
              <w:lang w:eastAsia="en-US"/>
            </w:rPr>
            <w:pict>
              <v:shape id="_x0000_i1026" type="#_x0000_t75" style="width:213pt;height:18pt">
                <v:imagedata r:id="rId2" o:title="recycle_Russian"/>
              </v:shape>
            </w:pict>
          </w:r>
        </w:p>
      </w:tc>
    </w:tr>
  </w:tbl>
  <w:p w:rsidR="00285CD8" w:rsidRPr="00285CD8" w:rsidRDefault="00285CD8" w:rsidP="00285CD8">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D9E" w:rsidRPr="001F6FBC" w:rsidRDefault="00851D9E" w:rsidP="001F6FBC">
      <w:pPr>
        <w:pStyle w:val="Footer"/>
        <w:spacing w:after="80"/>
        <w:ind w:left="792"/>
        <w:rPr>
          <w:sz w:val="16"/>
        </w:rPr>
      </w:pPr>
      <w:r w:rsidRPr="001F6FBC">
        <w:rPr>
          <w:sz w:val="16"/>
        </w:rPr>
        <w:t>__________________</w:t>
      </w:r>
    </w:p>
  </w:footnote>
  <w:footnote w:type="continuationSeparator" w:id="0">
    <w:p w:rsidR="00851D9E" w:rsidRPr="001F6FBC" w:rsidRDefault="00851D9E" w:rsidP="001F6FBC">
      <w:pPr>
        <w:pStyle w:val="Footer"/>
        <w:spacing w:after="80"/>
        <w:ind w:left="792"/>
        <w:rPr>
          <w:sz w:val="16"/>
        </w:rPr>
      </w:pPr>
      <w:r w:rsidRPr="001F6FBC">
        <w:rPr>
          <w:sz w:val="16"/>
        </w:rPr>
        <w:t>__________________</w:t>
      </w:r>
    </w:p>
  </w:footnote>
  <w:footnote w:id="1">
    <w:p w:rsidR="001F6FBC" w:rsidRPr="001F6FBC" w:rsidRDefault="001F6FBC" w:rsidP="001F6FBC">
      <w:pPr>
        <w:pStyle w:val="FootnoteText"/>
        <w:tabs>
          <w:tab w:val="right" w:pos="1195"/>
          <w:tab w:val="left" w:pos="1267"/>
          <w:tab w:val="left" w:pos="1742"/>
          <w:tab w:val="left" w:pos="2218"/>
          <w:tab w:val="left" w:pos="2693"/>
        </w:tabs>
        <w:ind w:left="1267" w:right="1260" w:hanging="432"/>
      </w:pPr>
      <w:r w:rsidRPr="001F6FBC">
        <w:rPr>
          <w:rStyle w:val="FootnoteReference"/>
        </w:rPr>
        <w:tab/>
      </w:r>
      <w:r>
        <w:rPr>
          <w:rStyle w:val="FootnoteReference"/>
        </w:rPr>
        <w:t>*</w:t>
      </w:r>
      <w:r w:rsidRPr="001F6FBC">
        <w:tab/>
        <w:t>Настоящий документ выпускается без официального редактирования</w:t>
      </w:r>
    </w:p>
  </w:footnote>
  <w:footnote w:id="2">
    <w:p w:rsidR="00E2176A" w:rsidRPr="00E2176A" w:rsidRDefault="00E2176A" w:rsidP="00E2176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rsidRPr="00E2176A">
        <w:tab/>
        <w:t>Протокол был принят 11 июля 2003 года и вступил в силу 25 ноября 2005 года. Танзания ратифицировала Протокол 3 марта 2007 года и сдала на хранение ратификационную грамоту 7 мая 2007 года.</w:t>
      </w:r>
    </w:p>
  </w:footnote>
  <w:footnote w:id="3">
    <w:p w:rsidR="00E2176A" w:rsidRPr="00E2176A" w:rsidRDefault="00E2176A" w:rsidP="00E2176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ab/>
      </w:r>
      <w:hyperlink r:id="rId1" w:history="1">
        <w:r w:rsidRPr="00E2176A">
          <w:rPr>
            <w:rStyle w:val="Hyperlink"/>
          </w:rPr>
          <w:t>A/63/38</w:t>
        </w:r>
      </w:hyperlink>
      <w:r w:rsidRPr="00E2176A">
        <w:t>.</w:t>
      </w:r>
    </w:p>
  </w:footnote>
  <w:footnote w:id="4">
    <w:p w:rsidR="00E2176A" w:rsidRPr="00E2176A" w:rsidRDefault="00E2176A" w:rsidP="00E2176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ab/>
      </w:r>
      <w:hyperlink r:id="rId2" w:history="1">
        <w:r w:rsidRPr="00E2176A">
          <w:rPr>
            <w:rStyle w:val="Hyperlink"/>
          </w:rPr>
          <w:t>HRI/GEN/2/Rev.6</w:t>
        </w:r>
      </w:hyperlink>
      <w:r w:rsidRPr="00E2176A">
        <w:t>.</w:t>
      </w:r>
    </w:p>
  </w:footnote>
  <w:footnote w:id="5">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См., в частности, 13-ю поправку к Конституции Танзании, внесенную в 2005 году, и 10</w:t>
      </w:r>
      <w:r w:rsidRPr="00AD593A">
        <w:noBreakHyphen/>
        <w:t>ю поправку к Конституции Занзибара, внесенную в 2010 году.</w:t>
      </w:r>
    </w:p>
  </w:footnote>
  <w:footnote w:id="6">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С апреля 2012 года государство-участник приступило к осуществлению пересмотра своей Конституции 1977 года в целях принятия новой конституции, что предусмотрено Законом о пересмотре Конституции, глава 83 в редакции 2012 года. Проект конституции, который был подготовлен Комиссией по пересмотру Конституции, в настоящее время обсуждается в Учредительном собрании (УС, которое было учреждено в начале 2014 года). После того как УС примет проект конституции, он будет вынесен на референдум, после чего новая конституция вступит в действие в 2015 году.</w:t>
      </w:r>
    </w:p>
  </w:footnote>
  <w:footnote w:id="7">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Во втором проекте конституции было предложено включить в Билль о правах всеобъемлющий перечень прав, в том числе конкретные положения, касающиеся прав женщин (статья 47).</w:t>
      </w:r>
    </w:p>
  </w:footnote>
  <w:footnote w:id="8">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См., в частности, Закон о выборах в Занзибаре (№ 11 1984 года) и Закон о внесении изменений в Закон о выборах 1984 года (Закон № 12 2002 года); Закон о выборах (1985 год); Закон о политических партиях (1992 год); и Закон о расходах на выборы (2010 год).</w:t>
      </w:r>
    </w:p>
  </w:footnote>
  <w:footnote w:id="9">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См., в частности, Закон о занятости и трудовых отношениях (2004 год); Закон о занятости (№ 11 2005 года); Закон об образовании (1978 год), глава 353; и Закон об образовании в Занзибаре (№ 6 1982 года).</w:t>
      </w:r>
    </w:p>
  </w:footnote>
  <w:footnote w:id="10">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См., в частности, Закон о браке (1971 год), глава 29 в редакции 2002 год; Декрет о браке (церемонии бракосочетания и регистрации брака), глава 92 Свода законов Занзибара; Декрет о наследовании, глава 21 Свода законов Занзибара; Закон о завещании и управлении имуществом, глава 352 в редакции 2002 года; и Закон о защите детей незамужних женщин и родителей-одиночек.</w:t>
      </w:r>
    </w:p>
  </w:footnote>
  <w:footnote w:id="11">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См., в частности, статьи 22 и 46 проекта конституции Объединенной Республики Танзания.</w:t>
      </w:r>
    </w:p>
  </w:footnote>
  <w:footnote w:id="12">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К числу правовых положений, запрещающих дискриминацию по признаку пола, относятся разделы 28 и 33 Закона об инвалидах (2010 год), раздел 5 Закона о детях (2009 год) и разделы 28–34 Закона о профилактике и контроле ВИЧ и СПИДа (№ 28 2008 года). Другими законами, содержащими положения, запрещающие дискриминацию, являются Закон о выборах (1985 год), раздел Земельного законодательства (1999 год), раздел Закона о сельских землях (1999 год), а также Закон об ипотеке и финансировании.</w:t>
      </w:r>
    </w:p>
  </w:footnote>
  <w:footnote w:id="13">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К числу законов о наследовании материковой части Танзании относятся Закон о завещании и управлении имуществом, глава 352 в редакции 2002 года; Правила волеизъявления, Третье приложение к местному обычному праву (декларация) (1963 год) (№ 4) Постановление, GN. № 436 1963 года; Индийский закон о наследовании (1965 года) (применение Индийского закона о наследовании было введено в Танзании в соответствии с Указом об индийских законах (применении), глава 2 Свода законов Танганьики; этот Закон по-прежнему признается в соответствии с Законом о юрисдикции и правоприменении, глава 358 в редакции 2002 года. Однако части XXIX–XL и раздел 333 Индийского закона о наследовании не применяются в Танзании в силу пункта a) Второго приложения к Закону о юрисдикции и правоприменении).</w:t>
      </w:r>
    </w:p>
  </w:footnote>
  <w:footnote w:id="14">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 3 1985 года.</w:t>
      </w:r>
    </w:p>
  </w:footnote>
  <w:footnote w:id="15">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В настоящее время в соответствии с требованиями Закона о шариатском суде кади (официальные лица, председательствующие в шариатском суде) обязаны руководствоваться принципами, закрепленными в других национальных законах, таких как Декрет о процедуре доказывания и Декрет о гражданском судопроизводстве, несмотря на отсутствие у них правовых знаний по этим вопросам. На практике это приводит к судебным ошибкам, которых можно было избежать и от которых страдают люди, обращающиеся в суд, в частности женщины.</w:t>
      </w:r>
    </w:p>
  </w:footnote>
  <w:footnote w:id="16">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См., в частности, статьи 12 и 13 Конституции Объединенной Республики Танзания. Статьями 25 и 47 второго проекта конституции (введенного 30 декабря 2013 года) предлагается расширить этот принцип.</w:t>
      </w:r>
    </w:p>
  </w:footnote>
  <w:footnote w:id="17">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См., в частности, статью 12 Конституции Занзибара (1984 год).</w:t>
      </w:r>
    </w:p>
  </w:footnote>
  <w:footnote w:id="18">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См., в частности, Закон о договорном праве, глава 345 в редакции 2002 года.</w:t>
      </w:r>
    </w:p>
  </w:footnote>
  <w:footnote w:id="19">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См., например, статью 13 (1) Конституции Танзании; статью 12 (1) Конституции Занзибара (1984</w:t>
      </w:r>
      <w:r w:rsidRPr="00AD593A">
        <w:rPr>
          <w:lang w:val="en-US"/>
        </w:rPr>
        <w:t> </w:t>
      </w:r>
      <w:r w:rsidRPr="00AD593A">
        <w:t>год); и часть </w:t>
      </w:r>
      <w:r w:rsidRPr="00AD593A">
        <w:rPr>
          <w:lang w:val="en-US"/>
        </w:rPr>
        <w:t>IX</w:t>
      </w:r>
      <w:r w:rsidRPr="00AD593A">
        <w:t xml:space="preserve"> Закона о трудовых отношениях Занзибара (№ 1 2005 года).</w:t>
      </w:r>
    </w:p>
  </w:footnote>
  <w:footnote w:id="20">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См., в частности, статью 17 Конституции Танзании (1977 год); статью 16 Конституции Занзибара (1984 год); Закон о занятости и трудовых отношениях (2004 год); и часть </w:t>
      </w:r>
      <w:r w:rsidRPr="00AD593A">
        <w:rPr>
          <w:lang w:val="en-US"/>
        </w:rPr>
        <w:t>IX</w:t>
      </w:r>
      <w:r w:rsidRPr="00AD593A">
        <w:t xml:space="preserve"> Закона о трудовых отношениях Занзибара (№ 1 2005 года).</w:t>
      </w:r>
    </w:p>
  </w:footnote>
  <w:footnote w:id="21">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Закон № 11 2005 года.</w:t>
      </w:r>
    </w:p>
  </w:footnote>
  <w:footnote w:id="22">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Закон № 6 2004 года.</w:t>
      </w:r>
    </w:p>
  </w:footnote>
  <w:footnote w:id="23">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См. раздел 7 ЗЗТО и раздел 10 ЗЗЗ.</w:t>
      </w:r>
    </w:p>
  </w:footnote>
  <w:footnote w:id="24">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Кодекс добросовестной практики основан на ЗЗТО.</w:t>
      </w:r>
    </w:p>
  </w:footnote>
  <w:footnote w:id="25">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Закон № 9 2006 года.</w:t>
      </w:r>
    </w:p>
  </w:footnote>
  <w:footnote w:id="26">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Принят в Мапуту, Мозамбик, 11 июля 2005 года и вступил в силу 25 ноября 2005 года.</w:t>
      </w:r>
    </w:p>
  </w:footnote>
  <w:footnote w:id="27">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Закон № 1 1980 года.</w:t>
      </w:r>
    </w:p>
  </w:footnote>
  <w:footnote w:id="28">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Эти ежегодные выставки организует и координирует танзанийское отделение Ассоциации женщин, занимающихся вопросами права и развития в Африке (ВИЛДАФ).</w:t>
      </w:r>
    </w:p>
  </w:footnote>
  <w:footnote w:id="29">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Гендерные фестивали проводятся один раз в два года, в частности, в целях повышения осведомленности о правах и благополучии женщин.</w:t>
      </w:r>
    </w:p>
  </w:footnote>
  <w:footnote w:id="30">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В статью 47 второго проекта конституции включены все основные права и свободы женщин, которые отсутствовали в предыдущей Конституции Танзании 1977 года.</w:t>
      </w:r>
    </w:p>
  </w:footnote>
  <w:footnote w:id="31">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В августе 2013 года это Министерство было переименовано. Ранее оно было известно как Министерство социального обеспечения, по делам молодежи, женщин и детей (</w:t>
      </w:r>
      <w:r w:rsidRPr="00AD593A">
        <w:rPr>
          <w:bCs/>
        </w:rPr>
        <w:t>МСОМЖД</w:t>
      </w:r>
      <w:r w:rsidRPr="00AD593A">
        <w:t>).</w:t>
      </w:r>
    </w:p>
  </w:footnote>
  <w:footnote w:id="32">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Принят в Мапуту, Мозамбик, 11 июля 2005 года и вступил в силу 25 ноября 2005 года.</w:t>
      </w:r>
    </w:p>
  </w:footnote>
  <w:footnote w:id="33">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В состав этого Комитета входят министры юстиции и конституционных дел, образования, здравоохранения и расширения прав и возможностей, социального обеспечения, по делам молодежи, женщин и детей.</w:t>
      </w:r>
    </w:p>
  </w:footnote>
  <w:footnote w:id="34">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Генеральный секретарь Организации Объединенных Наций. Исследование по вопросу о насилии в отношении детей, Нью-Йорк: Организация Объединенных Наций, 2006 год (</w:t>
      </w:r>
      <w:hyperlink r:id="rId3" w:history="1">
        <w:r w:rsidRPr="00AD593A">
          <w:rPr>
            <w:rStyle w:val="Hyperlink"/>
          </w:rPr>
          <w:t>A/61</w:t>
        </w:r>
        <w:r w:rsidRPr="00AD593A">
          <w:rPr>
            <w:rStyle w:val="Hyperlink"/>
          </w:rPr>
          <w:t>/</w:t>
        </w:r>
        <w:r w:rsidRPr="00AD593A">
          <w:rPr>
            <w:rStyle w:val="Hyperlink"/>
          </w:rPr>
          <w:t>299</w:t>
        </w:r>
      </w:hyperlink>
      <w:r w:rsidRPr="00AD593A">
        <w:t>). В</w:t>
      </w:r>
      <w:r w:rsidRPr="00AD593A">
        <w:rPr>
          <w:lang w:val="en-US"/>
        </w:rPr>
        <w:t> </w:t>
      </w:r>
      <w:r w:rsidRPr="00AD593A">
        <w:t>Исследовании по вопросу о НОД</w:t>
      </w:r>
      <w:r>
        <w:t xml:space="preserve"> — </w:t>
      </w:r>
      <w:r w:rsidRPr="00AD593A">
        <w:t>первом и наиболее всеобъемлющем глобальном исследовании, в рамках которого были проведены изыскания, составлен отчет и сформулированы рекомендации относительно предупреждения и борьбы с насилием в отношении детей в различных ситуациях, в которых они живут и выживают,</w:t>
      </w:r>
      <w:r>
        <w:t xml:space="preserve"> — </w:t>
      </w:r>
      <w:r w:rsidRPr="00AD593A">
        <w:t xml:space="preserve"> был выявлен шокирующе высокий уровень насилия в отношении детей и места, ранее считавшиеся безопасными для детей, были признаны небезопасными. См.</w:t>
      </w:r>
      <w:r w:rsidRPr="00AD593A">
        <w:rPr>
          <w:lang w:val="en-US"/>
        </w:rPr>
        <w:t> </w:t>
      </w:r>
      <w:r w:rsidRPr="00AD593A">
        <w:t>также: Комитет Организации Объединенных Наций по правам ребенка (КПР)</w:t>
      </w:r>
      <w:r w:rsidRPr="00AD593A">
        <w:rPr>
          <w:bCs/>
        </w:rPr>
        <w:t>. Рассмотрение докладов, представляемых государствами-участниками в соответствии со статьей 44 Конвенции</w:t>
      </w:r>
      <w:r>
        <w:rPr>
          <w:bCs/>
        </w:rPr>
        <w:t xml:space="preserve"> — </w:t>
      </w:r>
      <w:r w:rsidRPr="00AD593A">
        <w:rPr>
          <w:bCs/>
        </w:rPr>
        <w:t xml:space="preserve">Заключительные замечания: Объединенная Республика Танзания, 42-я сессия, 21 июня 2006 года </w:t>
      </w:r>
      <w:r w:rsidRPr="00AD593A">
        <w:t>(</w:t>
      </w:r>
      <w:hyperlink r:id="rId4" w:history="1">
        <w:r w:rsidRPr="00AD593A">
          <w:rPr>
            <w:rStyle w:val="Hyperlink"/>
          </w:rPr>
          <w:t>CR</w:t>
        </w:r>
        <w:r w:rsidRPr="00AD593A">
          <w:rPr>
            <w:rStyle w:val="Hyperlink"/>
          </w:rPr>
          <w:t>C</w:t>
        </w:r>
        <w:r w:rsidRPr="00AD593A">
          <w:rPr>
            <w:rStyle w:val="Hyperlink"/>
          </w:rPr>
          <w:t>/C/TZA</w:t>
        </w:r>
        <w:r w:rsidRPr="00AD593A">
          <w:rPr>
            <w:rStyle w:val="Hyperlink"/>
          </w:rPr>
          <w:t>/</w:t>
        </w:r>
        <w:r w:rsidRPr="00AD593A">
          <w:rPr>
            <w:rStyle w:val="Hyperlink"/>
          </w:rPr>
          <w:t>CO/2</w:t>
        </w:r>
      </w:hyperlink>
      <w:r w:rsidRPr="00AD593A">
        <w:t>), пункты 51 и 52; и Африканский комитет экспертов по правам и благосостоянию ребенка. Заключительные рекомендации в отношении доклада Объединенной Республики Танзания о положении и осуществлении Африканской хартии о правах и благосостоянии ребенка, 2010 год.</w:t>
      </w:r>
    </w:p>
  </w:footnote>
  <w:footnote w:id="35">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Комитет КЛДЖ. Заключительные замечания: Объединенная Республика Танзания, 2008 год, пункты</w:t>
      </w:r>
      <w:r w:rsidRPr="00AD593A">
        <w:rPr>
          <w:lang w:val="en-US"/>
        </w:rPr>
        <w:t> </w:t>
      </w:r>
      <w:r w:rsidRPr="00AD593A">
        <w:t>111 и 112.</w:t>
      </w:r>
    </w:p>
  </w:footnote>
  <w:footnote w:id="36">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Там же.</w:t>
      </w:r>
    </w:p>
  </w:footnote>
  <w:footnote w:id="37">
    <w:p w:rsidR="00AD593A" w:rsidRP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AD593A">
        <w:rPr>
          <w:lang w:val="en-US"/>
        </w:rPr>
        <w:tab/>
        <w:t xml:space="preserve">United Republic of Tanzania, </w:t>
      </w:r>
      <w:r w:rsidRPr="00AD593A">
        <w:rPr>
          <w:i/>
          <w:lang w:val="en-US"/>
        </w:rPr>
        <w:t xml:space="preserve">Violence Against Children in Tanzania: From Commitments to Action – Key Achievements from the Multi-Sectoral "Priority Responses" to Address Violence against Children (2011-2012) and Priority Activities for 2012-2013, </w:t>
      </w:r>
      <w:r w:rsidRPr="00AD593A">
        <w:rPr>
          <w:lang w:val="en-US"/>
        </w:rPr>
        <w:t>Dar es Salaam: Government of the United Republic of Tanzania, June 2012, p. 1.</w:t>
      </w:r>
    </w:p>
  </w:footnote>
  <w:footnote w:id="38">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Закон</w:t>
      </w:r>
      <w:r w:rsidRPr="00AD593A">
        <w:rPr>
          <w:lang w:val="en-US"/>
        </w:rPr>
        <w:t xml:space="preserve"> № 7 1998 </w:t>
      </w:r>
      <w:r w:rsidRPr="00AD593A">
        <w:t>года</w:t>
      </w:r>
      <w:r w:rsidRPr="00AD593A">
        <w:rPr>
          <w:lang w:val="en-US"/>
        </w:rPr>
        <w:t>.</w:t>
      </w:r>
    </w:p>
  </w:footnote>
  <w:footnote w:id="39">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sidRPr="00AD593A">
        <w:rPr>
          <w:lang w:val="en-US"/>
        </w:rPr>
        <w:tab/>
        <w:t xml:space="preserve">United Republic of Tanzania, </w:t>
      </w:r>
      <w:r w:rsidRPr="00AD593A">
        <w:rPr>
          <w:i/>
          <w:lang w:val="en-US"/>
        </w:rPr>
        <w:t xml:space="preserve">Violence Against Children in Tanzania: Findings from a National Survey 2009, </w:t>
      </w:r>
      <w:r w:rsidRPr="00AD593A">
        <w:rPr>
          <w:lang w:val="en-US"/>
        </w:rPr>
        <w:t xml:space="preserve">Dar es Salaam: UNICEF/US Centre for Disease Control and Prevention/Muhimbili University of Health and Allied Sciences, August 2011. </w:t>
      </w:r>
      <w:r w:rsidRPr="00AD593A">
        <w:t>О начале проведения данного исследования под эгидой Министерства общинного развития, по гендерным вопросам и делам детей (МОРГВДД) было объявлено в августе 2011 года на совещании высокого уровня с участием учреждений ООН, членов дипломатического корпуса, представителей отраслевых министерств, международных и местных НПО. Совещание проводила д-р Аша-Роуз Мигиро, в то время являвшаяся заместителем Генерального секретаря ООН.</w:t>
      </w:r>
    </w:p>
  </w:footnote>
  <w:footnote w:id="40">
    <w:p w:rsidR="00AD593A" w:rsidRP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AD593A">
        <w:rPr>
          <w:lang w:val="en-US"/>
        </w:rPr>
        <w:tab/>
      </w:r>
      <w:r w:rsidRPr="00AD593A">
        <w:t>См</w:t>
      </w:r>
      <w:r w:rsidRPr="00AD593A">
        <w:rPr>
          <w:lang w:val="en-US"/>
        </w:rPr>
        <w:t xml:space="preserve">. Revolutionary Government of Zanzibar, </w:t>
      </w:r>
      <w:r w:rsidRPr="00AD593A">
        <w:rPr>
          <w:i/>
          <w:lang w:val="en-US"/>
        </w:rPr>
        <w:t xml:space="preserve">National Plan to Respond to Violence against Children (2011-2015) </w:t>
      </w:r>
      <w:r w:rsidRPr="00AD593A">
        <w:rPr>
          <w:lang w:val="en-US"/>
        </w:rPr>
        <w:t xml:space="preserve">Zanzibar: Revolutionary Government of Zanzibar, 2011; and Government of Tanzania, </w:t>
      </w:r>
      <w:r w:rsidRPr="00AD593A">
        <w:rPr>
          <w:i/>
          <w:lang w:val="en-US"/>
        </w:rPr>
        <w:t>National Plan of Action to Prevent and Respond to Violence against Children (2012-2015)</w:t>
      </w:r>
      <w:r w:rsidRPr="00AD593A">
        <w:rPr>
          <w:lang w:val="en-US"/>
        </w:rPr>
        <w:t xml:space="preserve"> Dar es Salaam: Government of Tanzania, 2012.</w:t>
      </w:r>
    </w:p>
  </w:footnote>
  <w:footnote w:id="41">
    <w:p w:rsidR="00AD593A" w:rsidRP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AD593A">
        <w:rPr>
          <w:lang w:val="en-US"/>
        </w:rPr>
        <w:tab/>
        <w:t xml:space="preserve">United Republic of Tanzania, </w:t>
      </w:r>
      <w:r w:rsidRPr="00AD593A">
        <w:rPr>
          <w:i/>
          <w:lang w:val="en-US"/>
        </w:rPr>
        <w:t xml:space="preserve">Violence Against Children in Tanzania: From Commitments to Action – Key Achievements from the Multi-Sectoral "Priority Responses" to Address Violence against Children (2011-2012) and Priority Activities for 2012-2013, </w:t>
      </w:r>
      <w:r w:rsidRPr="00AD593A">
        <w:rPr>
          <w:lang w:val="en-US"/>
        </w:rPr>
        <w:t>op. cit, p. 1.</w:t>
      </w:r>
    </w:p>
  </w:footnote>
  <w:footnote w:id="42">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КПРТ была создана на основании Закона о Комиссии по правовой реформе Танзании (1981 год), глава 171 в редакции 2002 года. Согласно разделу 4 (1) данного Закона КПРТ поручено осуществлять "рассмотрение всех законов Объединенной Республики Танзания на предмет их систематического развития и реформирования".</w:t>
      </w:r>
    </w:p>
  </w:footnote>
  <w:footnote w:id="43">
    <w:p w:rsidR="00AD593A" w:rsidRP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AD593A">
        <w:rPr>
          <w:lang w:val="en-US"/>
        </w:rPr>
        <w:tab/>
        <w:t>Law Reform Commission of Tanzania, "Report on the Review and Drafting of the Proposed Provisions for the Amendment of the Sexual Offences Laws as Amended by SOSPA 1998" Dar es Salaam: Law Reform Commission of Tanzania, March 2009.</w:t>
      </w:r>
    </w:p>
  </w:footnote>
  <w:footnote w:id="44">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rPr>
          <w:lang w:val="en-US"/>
        </w:rPr>
        <w:t>Ibid</w:t>
      </w:r>
      <w:r w:rsidRPr="00AD593A">
        <w:t xml:space="preserve">., </w:t>
      </w:r>
      <w:r w:rsidRPr="00AD593A">
        <w:rPr>
          <w:lang w:val="en-US"/>
        </w:rPr>
        <w:t>para</w:t>
      </w:r>
      <w:r w:rsidRPr="00AD593A">
        <w:t xml:space="preserve"> 4.1.1.</w:t>
      </w:r>
    </w:p>
  </w:footnote>
  <w:footnote w:id="45">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В 2011 году революционное правительство Занзибара учредило Комиссию по правовой реформе под председательством одного из судей Высокого суда Занзибара. Комиссии поручено постоянно анализировать законодательство Занзибара.</w:t>
      </w:r>
    </w:p>
  </w:footnote>
  <w:footnote w:id="46">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Глава 5 1917 года.</w:t>
      </w:r>
    </w:p>
  </w:footnote>
  <w:footnote w:id="47">
    <w:p w:rsidR="00AD593A" w:rsidRP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AD593A">
        <w:rPr>
          <w:lang w:val="en-US"/>
        </w:rPr>
        <w:tab/>
        <w:t xml:space="preserve">United Republic of Tanzania, </w:t>
      </w:r>
      <w:r w:rsidRPr="00AD593A">
        <w:rPr>
          <w:i/>
          <w:lang w:val="en-US"/>
        </w:rPr>
        <w:t>Tanzania Demographic and Health Survey 1996</w:t>
      </w:r>
      <w:r w:rsidRPr="00AD593A">
        <w:rPr>
          <w:lang w:val="en-US"/>
        </w:rPr>
        <w:t xml:space="preserve"> Dar es Salaam: National Bureau of Statistics, 1997.</w:t>
      </w:r>
    </w:p>
  </w:footnote>
  <w:footnote w:id="48">
    <w:p w:rsidR="00AD593A" w:rsidRP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AD593A">
        <w:rPr>
          <w:lang w:val="en-US"/>
        </w:rPr>
        <w:tab/>
        <w:t xml:space="preserve">United Republic of Tanzania, </w:t>
      </w:r>
      <w:r w:rsidRPr="00AD593A">
        <w:rPr>
          <w:i/>
          <w:lang w:val="en-US"/>
        </w:rPr>
        <w:t>Tanzania Demographic and Health Survey 2010</w:t>
      </w:r>
      <w:r w:rsidRPr="00AD593A">
        <w:rPr>
          <w:lang w:val="en-US"/>
        </w:rPr>
        <w:t xml:space="preserve"> Dar es Salaam: National Bureau of Statistics, 2011.</w:t>
      </w:r>
    </w:p>
  </w:footnote>
  <w:footnote w:id="49">
    <w:p w:rsidR="00AD593A" w:rsidRP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AD593A">
        <w:rPr>
          <w:lang w:val="en-US"/>
        </w:rPr>
        <w:tab/>
        <w:t xml:space="preserve">United Republic of Tanzania, </w:t>
      </w:r>
      <w:r w:rsidRPr="00AD593A">
        <w:rPr>
          <w:i/>
          <w:lang w:val="en-US"/>
        </w:rPr>
        <w:t>Tanzania Demographic and Health Survey 2004-2005</w:t>
      </w:r>
      <w:r w:rsidRPr="00AD593A">
        <w:rPr>
          <w:lang w:val="en-US"/>
        </w:rPr>
        <w:t xml:space="preserve"> Dar es Salaam: National Bureau of Statistics, June 2005.</w:t>
      </w:r>
    </w:p>
  </w:footnote>
  <w:footnote w:id="50">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sidRPr="00AD593A">
        <w:rPr>
          <w:lang w:val="en-US"/>
        </w:rPr>
        <w:tab/>
        <w:t>United Republic of Tanzania, "Tanzania 3</w:t>
      </w:r>
      <w:r w:rsidRPr="00AD593A">
        <w:rPr>
          <w:vertAlign w:val="superscript"/>
          <w:lang w:val="en-US"/>
        </w:rPr>
        <w:t>rd</w:t>
      </w:r>
      <w:r w:rsidRPr="00AD593A">
        <w:rPr>
          <w:lang w:val="en-US"/>
        </w:rPr>
        <w:t>, 4</w:t>
      </w:r>
      <w:r w:rsidRPr="00AD593A">
        <w:rPr>
          <w:vertAlign w:val="superscript"/>
          <w:lang w:val="en-US"/>
        </w:rPr>
        <w:t>th</w:t>
      </w:r>
      <w:r w:rsidRPr="00AD593A">
        <w:rPr>
          <w:lang w:val="en-US"/>
        </w:rPr>
        <w:t xml:space="preserve"> and 5</w:t>
      </w:r>
      <w:r w:rsidRPr="00AD593A">
        <w:rPr>
          <w:vertAlign w:val="superscript"/>
          <w:lang w:val="en-US"/>
        </w:rPr>
        <w:t>th</w:t>
      </w:r>
      <w:r w:rsidRPr="00AD593A">
        <w:rPr>
          <w:lang w:val="en-US"/>
        </w:rPr>
        <w:t xml:space="preserve"> Reports on the Implementation of the Convention on the Rights of the Child (CRC) 2005-2011", 9 January 2012, para. 198.</w:t>
      </w:r>
    </w:p>
  </w:footnote>
  <w:footnote w:id="51">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 xml:space="preserve">См. </w:t>
      </w:r>
      <w:r w:rsidRPr="00AD593A">
        <w:rPr>
          <w:lang w:val="en-US"/>
        </w:rPr>
        <w:t>Nyamandito</w:t>
      </w:r>
      <w:r w:rsidRPr="00AD593A">
        <w:t xml:space="preserve">, </w:t>
      </w:r>
      <w:r w:rsidRPr="00AD593A">
        <w:rPr>
          <w:lang w:val="en-US"/>
        </w:rPr>
        <w:t>Pilly</w:t>
      </w:r>
      <w:r w:rsidRPr="00AD593A">
        <w:t>, "</w:t>
      </w:r>
      <w:r w:rsidRPr="00AD593A">
        <w:rPr>
          <w:lang w:val="en-US"/>
        </w:rPr>
        <w:t>Nafasi</w:t>
      </w:r>
      <w:r w:rsidRPr="00AD593A">
        <w:t xml:space="preserve"> </w:t>
      </w:r>
      <w:r w:rsidRPr="00AD593A">
        <w:rPr>
          <w:lang w:val="en-US"/>
        </w:rPr>
        <w:t>ya</w:t>
      </w:r>
      <w:r w:rsidRPr="00AD593A">
        <w:t xml:space="preserve"> </w:t>
      </w:r>
      <w:r w:rsidRPr="00AD593A">
        <w:rPr>
          <w:lang w:val="en-US"/>
        </w:rPr>
        <w:t>Dawati</w:t>
      </w:r>
      <w:r w:rsidRPr="00AD593A">
        <w:t xml:space="preserve"> </w:t>
      </w:r>
      <w:r w:rsidRPr="00AD593A">
        <w:rPr>
          <w:lang w:val="en-US"/>
        </w:rPr>
        <w:t>la</w:t>
      </w:r>
      <w:r w:rsidRPr="00AD593A">
        <w:t xml:space="preserve"> </w:t>
      </w:r>
      <w:r w:rsidRPr="00AD593A">
        <w:rPr>
          <w:lang w:val="en-US"/>
        </w:rPr>
        <w:t>Polisi</w:t>
      </w:r>
      <w:r w:rsidRPr="00AD593A">
        <w:t xml:space="preserve"> </w:t>
      </w:r>
      <w:r w:rsidRPr="00AD593A">
        <w:rPr>
          <w:lang w:val="en-US"/>
        </w:rPr>
        <w:t>la</w:t>
      </w:r>
      <w:r w:rsidRPr="00AD593A">
        <w:t xml:space="preserve"> </w:t>
      </w:r>
      <w:r w:rsidRPr="00AD593A">
        <w:rPr>
          <w:lang w:val="en-US"/>
        </w:rPr>
        <w:t>Jinsia</w:t>
      </w:r>
      <w:r w:rsidRPr="00AD593A">
        <w:t xml:space="preserve"> </w:t>
      </w:r>
      <w:r w:rsidRPr="00AD593A">
        <w:rPr>
          <w:lang w:val="en-US"/>
        </w:rPr>
        <w:t>na</w:t>
      </w:r>
      <w:r w:rsidRPr="00AD593A">
        <w:t xml:space="preserve"> </w:t>
      </w:r>
      <w:r w:rsidRPr="00AD593A">
        <w:rPr>
          <w:lang w:val="en-US"/>
        </w:rPr>
        <w:t>Watoto</w:t>
      </w:r>
      <w:r w:rsidRPr="00AD593A">
        <w:t xml:space="preserve"> </w:t>
      </w:r>
      <w:r w:rsidRPr="00AD593A">
        <w:rPr>
          <w:lang w:val="en-US"/>
        </w:rPr>
        <w:t>na</w:t>
      </w:r>
      <w:r w:rsidRPr="00AD593A">
        <w:t xml:space="preserve"> </w:t>
      </w:r>
      <w:r w:rsidRPr="00AD593A">
        <w:rPr>
          <w:lang w:val="en-US"/>
        </w:rPr>
        <w:t>Utekelezaji</w:t>
      </w:r>
      <w:r w:rsidRPr="00AD593A">
        <w:t xml:space="preserve"> </w:t>
      </w:r>
      <w:r w:rsidRPr="00AD593A">
        <w:rPr>
          <w:lang w:val="en-US"/>
        </w:rPr>
        <w:t>Wake</w:t>
      </w:r>
      <w:r w:rsidRPr="00AD593A">
        <w:t xml:space="preserve"> </w:t>
      </w:r>
      <w:r w:rsidRPr="00AD593A">
        <w:rPr>
          <w:lang w:val="en-US"/>
        </w:rPr>
        <w:t>katika</w:t>
      </w:r>
      <w:r w:rsidRPr="00AD593A">
        <w:t xml:space="preserve"> </w:t>
      </w:r>
      <w:r w:rsidRPr="00AD593A">
        <w:rPr>
          <w:lang w:val="en-US"/>
        </w:rPr>
        <w:t>Mfumo</w:t>
      </w:r>
      <w:r w:rsidRPr="00AD593A">
        <w:t xml:space="preserve"> </w:t>
      </w:r>
      <w:r w:rsidRPr="00AD593A">
        <w:rPr>
          <w:lang w:val="en-US"/>
        </w:rPr>
        <w:t>wa</w:t>
      </w:r>
      <w:r w:rsidRPr="00AD593A">
        <w:t xml:space="preserve"> </w:t>
      </w:r>
      <w:r w:rsidRPr="00AD593A">
        <w:rPr>
          <w:lang w:val="en-US"/>
        </w:rPr>
        <w:t>Upelelezi</w:t>
      </w:r>
      <w:r w:rsidRPr="00AD593A">
        <w:t>", документ, представленный на Национальном форуме по</w:t>
      </w:r>
      <w:r w:rsidRPr="00AD593A">
        <w:rPr>
          <w:lang w:val="en-US"/>
        </w:rPr>
        <w:t> </w:t>
      </w:r>
      <w:r w:rsidRPr="00AD593A">
        <w:t>уголовному правосудию, проходившем в отеле "Милленниум Си Бриз Резорт", Багамойо, 30</w:t>
      </w:r>
      <w:r w:rsidRPr="00AD593A">
        <w:rPr>
          <w:lang w:val="en-US"/>
        </w:rPr>
        <w:t> </w:t>
      </w:r>
      <w:r w:rsidRPr="00AD593A">
        <w:t>мая 2014 года. За период 2009–2013 годов для работы в отделах по гендерным вопросам и делам детей было подготовлено 1047 сотрудников полиции (664 женщины и 403 мужчины). См</w:t>
      </w:r>
      <w:r w:rsidRPr="00AD593A">
        <w:rPr>
          <w:lang w:val="en-US"/>
        </w:rPr>
        <w:t xml:space="preserve">. Gender and Children Desks/Tanzania Police Force,"Changamoto Zinazolikabili Dawati la Polisi la Jinsia na Watoto". </w:t>
      </w:r>
      <w:r w:rsidRPr="00AD593A">
        <w:t>Доклад</w:t>
      </w:r>
      <w:r w:rsidRPr="00AD593A">
        <w:rPr>
          <w:lang w:val="en-US"/>
        </w:rPr>
        <w:t xml:space="preserve"> </w:t>
      </w:r>
      <w:r w:rsidRPr="00AD593A">
        <w:t>был</w:t>
      </w:r>
      <w:r w:rsidRPr="00AD593A">
        <w:rPr>
          <w:lang w:val="en-US"/>
        </w:rPr>
        <w:t xml:space="preserve"> </w:t>
      </w:r>
      <w:r w:rsidRPr="00AD593A">
        <w:t>передан</w:t>
      </w:r>
      <w:r w:rsidRPr="00AD593A">
        <w:rPr>
          <w:lang w:val="en-US"/>
        </w:rPr>
        <w:t xml:space="preserve"> </w:t>
      </w:r>
      <w:r w:rsidRPr="00AD593A">
        <w:t>национальному</w:t>
      </w:r>
      <w:r w:rsidRPr="00AD593A">
        <w:rPr>
          <w:lang w:val="en-US"/>
        </w:rPr>
        <w:t xml:space="preserve"> </w:t>
      </w:r>
      <w:r w:rsidRPr="00AD593A">
        <w:t>консультанту</w:t>
      </w:r>
      <w:r w:rsidRPr="00AD593A">
        <w:rPr>
          <w:lang w:val="en-US"/>
        </w:rPr>
        <w:t xml:space="preserve"> 11 </w:t>
      </w:r>
      <w:r w:rsidRPr="00AD593A">
        <w:t>декабря</w:t>
      </w:r>
      <w:r w:rsidRPr="00AD593A">
        <w:rPr>
          <w:lang w:val="en-US"/>
        </w:rPr>
        <w:t xml:space="preserve"> 2013 </w:t>
      </w:r>
      <w:r w:rsidRPr="00AD593A">
        <w:t>года</w:t>
      </w:r>
      <w:r w:rsidRPr="00AD593A">
        <w:rPr>
          <w:lang w:val="en-US"/>
        </w:rPr>
        <w:t>.</w:t>
      </w:r>
    </w:p>
  </w:footnote>
  <w:footnote w:id="52">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sidRPr="00AD593A">
        <w:rPr>
          <w:lang w:val="en-US"/>
        </w:rPr>
        <w:tab/>
        <w:t xml:space="preserve">United Republic of Tanzania, </w:t>
      </w:r>
      <w:r w:rsidRPr="00AD593A">
        <w:rPr>
          <w:i/>
          <w:lang w:val="en-US"/>
        </w:rPr>
        <w:t>Violence Against Children in Tanzania (2011-2014): Achievements, Commitments, Priority Gaps</w:t>
      </w:r>
      <w:r w:rsidRPr="00AD593A">
        <w:rPr>
          <w:lang w:val="en-US"/>
        </w:rPr>
        <w:t xml:space="preserve"> (2011). </w:t>
      </w:r>
      <w:r w:rsidRPr="00AD593A">
        <w:t>Первый отдел по гендерным вопросам и по делам детей был открыт Генеральным инспектором полиции в отделении полиции Ойстербей (округ Кинондони, область Дар-эс-Салам) 29 апреля 2009 года.</w:t>
      </w:r>
    </w:p>
  </w:footnote>
  <w:footnote w:id="53">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Этот План действий был разработан в сотрудничестве с Координационной группой партнеров полиции.</w:t>
      </w:r>
    </w:p>
  </w:footnote>
  <w:footnote w:id="54">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 xml:space="preserve">В 2011 году Танзания первой из африканских стран провела Национальное исследование по вопросу о насилии в отношении детей (Исследование по вопросу о НОД в Танзании), которое, в частности, убедительно показало, что как минимум каждая третья девочка и каждый шестой мальчик становятся жертвами сексуальных надругательств до достижения 18 лет. </w:t>
      </w:r>
      <w:r w:rsidRPr="00AD593A">
        <w:rPr>
          <w:lang w:val="en-US"/>
        </w:rPr>
        <w:t xml:space="preserve">United Republic of Tanzania, </w:t>
      </w:r>
      <w:r w:rsidRPr="00AD593A">
        <w:rPr>
          <w:i/>
          <w:lang w:val="en-US"/>
        </w:rPr>
        <w:t>Violence Against Children in Tanzania: Findings from a National Survey 2009</w:t>
      </w:r>
      <w:r w:rsidRPr="00AD593A">
        <w:rPr>
          <w:lang w:val="en-US"/>
        </w:rPr>
        <w:t xml:space="preserve"> Dar es Salaam: UNICEF/US Centre for Disease Control and Prevention/Muhimbili University of Health and Allied Sciences, August 2011. </w:t>
      </w:r>
      <w:r w:rsidRPr="00AD593A">
        <w:t>В самом деле, в Исследовании ООН по вопросу о насилии в отношении детей (далее</w:t>
      </w:r>
      <w:r>
        <w:t xml:space="preserve"> — </w:t>
      </w:r>
      <w:r w:rsidRPr="00AD593A">
        <w:t>Исследование по вопросу о НОД), препровожденном Генеральным секретарем ООН Генеральной Ассамблее ООН в 2006 году, подтверждается тот факт, что право ребенка на защиту от всех форм насилия, закрепленное во многих международных документах по правам человека, по-прежнему не соблюдается во многих странах мира. Исследование по вопросу о НОД показало, что в отношении детей по-прежнему активно и широко применяются многочисленные формы насилия и что во многих странах мира насилие представляется обществу социально и культурно приемлемым. Исследование по вопросу о НОД выявило шокирующе высокий уровень насилия в отношении детей, и места, ранее считавшиеся безопасными для детей, например семья, были признаны небезопасными. В исследовании содержится информация и описания возмутительных форм насилия в отношении детей, свидетельствующие о том, что дети подвергаются жестоким избиениям, пыткам и посягательствам сексуального характера, а иногда даже становятся жертвами убийств, совершаемых "теми самыми взрослыми опекунами, которым поручено ежедневно присматривать за детьми". См.: Генеральный секретарь Организации Объединенных Наций. Исследование по вопросу о насилии в отношении детей,</w:t>
      </w:r>
      <w:r w:rsidRPr="00AD593A">
        <w:rPr>
          <w:i/>
        </w:rPr>
        <w:t xml:space="preserve"> </w:t>
      </w:r>
      <w:r w:rsidRPr="00AD593A">
        <w:t>Нью-Йорк: Организация Объединенных Наций, 2006 год (</w:t>
      </w:r>
      <w:hyperlink r:id="rId5" w:history="1">
        <w:r w:rsidRPr="00AD593A">
          <w:rPr>
            <w:rStyle w:val="Hyperlink"/>
          </w:rPr>
          <w:t>A/61</w:t>
        </w:r>
        <w:r w:rsidRPr="00AD593A">
          <w:rPr>
            <w:rStyle w:val="Hyperlink"/>
          </w:rPr>
          <w:t>/</w:t>
        </w:r>
        <w:r w:rsidRPr="00AD593A">
          <w:rPr>
            <w:rStyle w:val="Hyperlink"/>
          </w:rPr>
          <w:t>299</w:t>
        </w:r>
      </w:hyperlink>
      <w:r w:rsidRPr="00AD593A">
        <w:t>).</w:t>
      </w:r>
    </w:p>
  </w:footnote>
  <w:footnote w:id="55">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Данные меры принимаются в соответствии со статьями 7 и 8 Конституции и Общей рекомендацией № 23 Комитета, касающейся участия женщин в общественной жизни</w:t>
      </w:r>
      <w:r w:rsidRPr="00AD593A">
        <w:rPr>
          <w:bCs/>
        </w:rPr>
        <w:t>.</w:t>
      </w:r>
    </w:p>
  </w:footnote>
  <w:footnote w:id="56">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Закон № 8 2002 года с поправками, внесенными Законом № 18 2007 года (в соответствии с которым, в частности, была учреждена Комиссия Секретариата по найму, занимающаяся упрощением процедуры приема на государственную службу).</w:t>
      </w:r>
    </w:p>
  </w:footnote>
  <w:footnote w:id="57">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sidRPr="00AD593A">
        <w:rPr>
          <w:lang w:val="en-US"/>
        </w:rPr>
        <w:tab/>
        <w:t xml:space="preserve">Shangali, T.W., "Recruitment and Selection in the Public Service: The Case of Tanzania". </w:t>
      </w:r>
      <w:r w:rsidRPr="00AD593A">
        <w:t>Документ, представленный на конференции КАПАМ "Образцовое государственное управление: рациональное управление человеческим потенциалом", состоявшейся в Аруше, Танзания, 2–5 марта 2009 года.</w:t>
      </w:r>
    </w:p>
  </w:footnote>
  <w:footnote w:id="58">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Статья 67 (1) Конституции Занзибара (1984 год, с поправками, внесенными по состоянию на 2010 год).</w:t>
      </w:r>
    </w:p>
  </w:footnote>
  <w:footnote w:id="59">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Статья 66 (1) </w:t>
      </w:r>
      <w:r w:rsidRPr="00AD593A">
        <w:rPr>
          <w:lang w:val="en-US"/>
        </w:rPr>
        <w:t>b</w:t>
      </w:r>
      <w:r w:rsidRPr="00AD593A">
        <w:t>) Конституции Танзании.</w:t>
      </w:r>
    </w:p>
  </w:footnote>
  <w:footnote w:id="60">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Статья 279 (1) </w:t>
      </w:r>
      <w:r w:rsidRPr="00AD593A">
        <w:rPr>
          <w:lang w:val="en-US"/>
        </w:rPr>
        <w:t>d</w:t>
      </w:r>
      <w:r w:rsidRPr="00AD593A">
        <w:t>) второго проекта конституции Объединенной Республики Танзания (декабрь 2013</w:t>
      </w:r>
      <w:r w:rsidRPr="00AD593A">
        <w:rPr>
          <w:lang w:val="en-US"/>
        </w:rPr>
        <w:t> </w:t>
      </w:r>
      <w:r w:rsidRPr="00AD593A">
        <w:t>года). Согласно статье 268 второго проекта конституции период 2014 год – 31 декабря 2018 года является переходным периодом, в рамках которого государство-участник будет вносить поправки в существующие законы и принимать новые законы для приведения их в соответствие с новой Конституцией.</w:t>
      </w:r>
    </w:p>
  </w:footnote>
  <w:footnote w:id="61">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Согласно характеристике Танзании в рамках программы ОДВ (2012 год) индекс гендерного паритета в Танзании в области охвата начальным образованием составляет 1,02. Однако "в области доступа к официальному образованию сохраняется значительное неравенство, связанное с уровнями доходов семей и усугубляемое серьезным неравенством в распределении образовательных ресурсов".</w:t>
      </w:r>
    </w:p>
  </w:footnote>
  <w:footnote w:id="62">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t>По состоянию на 31 декабря 2013 года в Танзании существовало двадцать (20) государственных высших учебных заведений: Университет Мзумбе, Университет Моши, Танзанийский институт бухгалтерского учета, Национальный колледж туризма, Институт планирования развития сельских районов, Институт подготовки кадров в области местного управления, Институт по подготовке социальных работников, Академия имени Джулиуса Ньерере, Институт финансового управления и Колледж по управлению ресурсами дикой природы Африки. Также в Танзании существуют Танзанийский колледж государственной службы, Университетский колледж имени Мквавы, Колледж бизнес-образования, Университет Ардхи, Университет Дар-эс-Салама, Технологический колледж Аруши, Университет Додомы, Педагогический колледж Дар-эс-Салама, Технологический институт Мбеи и Технологический институт Дар-эс-Салама.</w:t>
      </w:r>
    </w:p>
  </w:footnote>
  <w:footnote w:id="63">
    <w:p w:rsid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AD593A">
        <w:rPr>
          <w:lang w:val="en-US"/>
        </w:rPr>
        <w:t>Ibid.</w:t>
      </w:r>
    </w:p>
  </w:footnote>
  <w:footnote w:id="64">
    <w:p w:rsidR="00AD593A" w:rsidRP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AD593A">
        <w:rPr>
          <w:lang w:val="en-US"/>
        </w:rPr>
        <w:tab/>
        <w:t xml:space="preserve">Revolutionary Government of Zanzibar, </w:t>
      </w:r>
      <w:r w:rsidRPr="00AD593A">
        <w:rPr>
          <w:i/>
          <w:lang w:val="en-US"/>
        </w:rPr>
        <w:t xml:space="preserve">Gender Disparities in Education: Causes and Recommended Strategies for Administration/Reduction </w:t>
      </w:r>
      <w:r w:rsidRPr="00AD593A">
        <w:rPr>
          <w:lang w:val="en-US"/>
        </w:rPr>
        <w:t>Zanzibar: Ministry of Education and Vocational Training, 2007.</w:t>
      </w:r>
    </w:p>
  </w:footnote>
  <w:footnote w:id="65">
    <w:p w:rsidR="00AD593A" w:rsidRPr="00AD593A" w:rsidRDefault="00AD593A" w:rsidP="00AD593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AD593A">
        <w:rPr>
          <w:lang w:val="en-US"/>
        </w:rPr>
        <w:tab/>
        <w:t>Revolutionary Government of Zanzibar, MOEVT, 2010.</w:t>
      </w:r>
    </w:p>
  </w:footnote>
  <w:footnote w:id="66">
    <w:p w:rsidR="00D4044F" w:rsidRPr="00D4044F" w:rsidRDefault="00D4044F" w:rsidP="00D4044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rsidRPr="00D4044F">
        <w:tab/>
        <w:t xml:space="preserve">На Занзибаре в число этих законов входят Закон о занятости (№ 11 2005 года), Закон о трудовых отношениях (№ 1 2005 года), Закон Занзибара о социальном обеспечении (№ 2 2005 года), Закон о технике безопасности и гигиене труда (№ 8 2005 года) и Закон о компенсации за производственные травмы (с поправками) (№ 5 2005 года). На материковой части Танзании в их число входят Закон о занятости и трудовых отношениях (№ 6 2004 года), глава 366 в редакции 2002 года, Закон об органах по вопросам труда (№ 7 2004 года), Закон о Национальном фонде социального обеспечения, глава 50 в редакции 2002 года, Закон о государственной службе (2002 год) и Закон о государственной службе (механизме переговоров) (№ 19 2003 года), которые применяются главным образом к лицам, занятым на государственной службе (подробнее см.: </w:t>
      </w:r>
      <w:r w:rsidRPr="00D4044F">
        <w:rPr>
          <w:i/>
        </w:rPr>
        <w:t xml:space="preserve">AG v Chama cha Walimu Tanzania </w:t>
      </w:r>
      <w:r w:rsidRPr="00D4044F">
        <w:t>High Court of Tanzania (Labour Division) at Dar es Salaam, Application No. 19 of 2008 (Unreported)).</w:t>
      </w:r>
      <w:r w:rsidRPr="00D4044F">
        <w:rPr>
          <w:i/>
        </w:rPr>
        <w:t xml:space="preserve"> </w:t>
      </w:r>
      <w:r w:rsidRPr="00D4044F">
        <w:t>Также к ним относятся Закон о технике безопасности и гигиене труда (№ 5 2003 года), Закон о регулировании социального обеспечения (2010 год) и Закон о профсоюзах, глава 244 в редакции 2002 года.</w:t>
      </w:r>
    </w:p>
  </w:footnote>
  <w:footnote w:id="67">
    <w:p w:rsidR="00D4044F" w:rsidRPr="00D4044F" w:rsidRDefault="00D4044F" w:rsidP="00D4044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sidRPr="00D4044F">
        <w:tab/>
        <w:t>В соответствии со статьей 7 (1) ЗЗТО работодатель обязан предоставлять "равные возможности в сфере занятости и стремиться к ликвидации дискриминации в любой политике или практике в области занятости". См. также правило 32 (1) Кодекса добросовестной практики.</w:t>
      </w:r>
    </w:p>
  </w:footnote>
  <w:footnote w:id="68">
    <w:p w:rsidR="00D4044F" w:rsidRPr="00D4044F" w:rsidRDefault="00D4044F" w:rsidP="00D4044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rsidRPr="00D4044F">
        <w:tab/>
        <w:t>В соответствии с пунктом 1 статьи 8 ЗЗТО профсоюзам и объединениям работодателей запрещается осуществлять дискриминацию по любым основаниям, предусмотренным пунктом 4 статьи 7.</w:t>
      </w:r>
    </w:p>
  </w:footnote>
  <w:footnote w:id="69">
    <w:p w:rsidR="00D4044F" w:rsidRPr="00D4044F" w:rsidRDefault="00D4044F" w:rsidP="00D4044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ab/>
      </w:r>
      <w:r w:rsidRPr="00D4044F">
        <w:rPr>
          <w:lang w:val="en-US"/>
        </w:rPr>
        <w:t>High Court of Tanzania (Labour Division) at Arusha, Labour Revision No. 16 of 2010 (Unreported).</w:t>
      </w:r>
    </w:p>
  </w:footnote>
  <w:footnote w:id="70">
    <w:p w:rsidR="00D4044F" w:rsidRPr="00D4044F" w:rsidRDefault="00D4044F" w:rsidP="00D4044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rsidRPr="00D4044F">
        <w:tab/>
        <w:t>В соответствии с пунктом 4 статьи 7 ЗЗТО работодатель обязан запретить прямую и/или косвенную дискриминацию в отношении работника или категории работников "в любой политике или практике в области занятости".</w:t>
      </w:r>
    </w:p>
  </w:footnote>
  <w:footnote w:id="71">
    <w:p w:rsidR="00D4044F" w:rsidRDefault="00D4044F" w:rsidP="00D4044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D4044F">
        <w:t>Подпункт a) пункта 2 статьи 33 ЗЗТО. Согласно пункту 3 данной статьи "женщина, работающая по найму, не может быть привлечена к работе в течение шести недель после рождения у нее ребенка, за исключением случаев подтверждения врачом ее годности к работе". Также Закон гласит, что "работодатель не может требовать или разрешать работающей по найму женщине, являющейся беременной либо кормящей матерью, выполнение работ, опасных для ее здоровья либо здоровья ее ребенка".</w:t>
      </w:r>
    </w:p>
  </w:footnote>
  <w:footnote w:id="72">
    <w:p w:rsidR="00C47801" w:rsidRDefault="00C47801" w:rsidP="00C478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1E1114">
        <w:rPr>
          <w:spacing w:val="0"/>
          <w:w w:val="100"/>
          <w:szCs w:val="17"/>
        </w:rPr>
        <w:t>Там же.</w:t>
      </w:r>
    </w:p>
  </w:footnote>
  <w:footnote w:id="73">
    <w:p w:rsidR="00AD593A" w:rsidRPr="001E1114" w:rsidRDefault="00AD593A" w:rsidP="00AD593A">
      <w:pPr>
        <w:pStyle w:val="FootnoteText"/>
        <w:tabs>
          <w:tab w:val="right" w:pos="1195"/>
          <w:tab w:val="left" w:pos="1267"/>
          <w:tab w:val="left" w:pos="1742"/>
          <w:tab w:val="left" w:pos="2218"/>
          <w:tab w:val="left" w:pos="2693"/>
        </w:tabs>
        <w:ind w:left="1267" w:right="1260" w:hanging="432"/>
        <w:rPr>
          <w:spacing w:val="0"/>
          <w:w w:val="100"/>
          <w:szCs w:val="17"/>
        </w:rPr>
      </w:pPr>
      <w:r w:rsidRPr="001E1114">
        <w:rPr>
          <w:spacing w:val="0"/>
          <w:w w:val="100"/>
          <w:szCs w:val="17"/>
        </w:rPr>
        <w:tab/>
      </w:r>
      <w:r w:rsidRPr="00C47801">
        <w:rPr>
          <w:rStyle w:val="FootnoteReference"/>
        </w:rPr>
        <w:footnoteRef/>
      </w:r>
      <w:r w:rsidRPr="001E1114">
        <w:rPr>
          <w:spacing w:val="0"/>
          <w:w w:val="100"/>
          <w:szCs w:val="17"/>
        </w:rPr>
        <w:tab/>
        <w:t>Там же.</w:t>
      </w:r>
    </w:p>
  </w:footnote>
  <w:footnote w:id="74">
    <w:p w:rsidR="00AD593A" w:rsidRPr="001E1114" w:rsidRDefault="00AD593A" w:rsidP="00AD593A">
      <w:pPr>
        <w:pStyle w:val="FootnoteText"/>
        <w:tabs>
          <w:tab w:val="right" w:pos="1195"/>
          <w:tab w:val="left" w:pos="1267"/>
          <w:tab w:val="left" w:pos="1742"/>
          <w:tab w:val="left" w:pos="2218"/>
          <w:tab w:val="left" w:pos="2693"/>
        </w:tabs>
        <w:ind w:left="1267" w:right="1260" w:hanging="432"/>
        <w:rPr>
          <w:spacing w:val="0"/>
          <w:w w:val="100"/>
          <w:szCs w:val="17"/>
        </w:rPr>
      </w:pPr>
      <w:r w:rsidRPr="001E1114">
        <w:rPr>
          <w:spacing w:val="0"/>
          <w:w w:val="100"/>
          <w:szCs w:val="17"/>
        </w:rPr>
        <w:tab/>
      </w:r>
      <w:r w:rsidRPr="00C47801">
        <w:rPr>
          <w:rStyle w:val="FootnoteReference"/>
        </w:rPr>
        <w:footnoteRef/>
      </w:r>
      <w:r w:rsidRPr="001E1114">
        <w:rPr>
          <w:spacing w:val="0"/>
          <w:w w:val="100"/>
          <w:szCs w:val="17"/>
        </w:rPr>
        <w:tab/>
        <w:t>Там же.</w:t>
      </w:r>
    </w:p>
  </w:footnote>
  <w:footnote w:id="75">
    <w:p w:rsidR="00AD593A" w:rsidRPr="001E1114" w:rsidRDefault="00AD593A" w:rsidP="00AD593A">
      <w:pPr>
        <w:pStyle w:val="FootnoteText"/>
        <w:tabs>
          <w:tab w:val="right" w:pos="1195"/>
          <w:tab w:val="left" w:pos="1267"/>
          <w:tab w:val="left" w:pos="1742"/>
          <w:tab w:val="left" w:pos="2218"/>
          <w:tab w:val="left" w:pos="2693"/>
        </w:tabs>
        <w:ind w:left="1267" w:right="1260" w:hanging="432"/>
        <w:rPr>
          <w:spacing w:val="0"/>
          <w:w w:val="100"/>
          <w:szCs w:val="17"/>
        </w:rPr>
      </w:pPr>
      <w:r w:rsidRPr="001E1114">
        <w:rPr>
          <w:spacing w:val="0"/>
          <w:w w:val="100"/>
          <w:szCs w:val="17"/>
        </w:rPr>
        <w:tab/>
      </w:r>
      <w:r w:rsidRPr="00C47801">
        <w:rPr>
          <w:rStyle w:val="FootnoteReference"/>
        </w:rPr>
        <w:footnoteRef/>
      </w:r>
      <w:r w:rsidRPr="00C47801">
        <w:rPr>
          <w:rStyle w:val="FootnoteReference"/>
        </w:rPr>
        <w:t xml:space="preserve"> </w:t>
      </w:r>
      <w:r w:rsidRPr="00C47801">
        <w:rPr>
          <w:rStyle w:val="FootnoteReference"/>
        </w:rPr>
        <w:tab/>
      </w:r>
      <w:r w:rsidRPr="001E1114">
        <w:rPr>
          <w:spacing w:val="0"/>
          <w:w w:val="100"/>
          <w:szCs w:val="17"/>
        </w:rPr>
        <w:t>Там же.</w:t>
      </w:r>
    </w:p>
  </w:footnote>
  <w:footnote w:id="76">
    <w:p w:rsidR="00AD593A" w:rsidRPr="001E1114" w:rsidRDefault="00AD593A" w:rsidP="00AD593A">
      <w:pPr>
        <w:pStyle w:val="FootnoteText"/>
        <w:tabs>
          <w:tab w:val="right" w:pos="1195"/>
          <w:tab w:val="left" w:pos="1267"/>
          <w:tab w:val="left" w:pos="1742"/>
          <w:tab w:val="left" w:pos="2218"/>
          <w:tab w:val="left" w:pos="2693"/>
        </w:tabs>
        <w:ind w:left="1267" w:right="1260" w:hanging="432"/>
        <w:rPr>
          <w:spacing w:val="0"/>
          <w:w w:val="100"/>
          <w:szCs w:val="17"/>
        </w:rPr>
      </w:pPr>
      <w:r w:rsidRPr="001E1114">
        <w:rPr>
          <w:spacing w:val="0"/>
          <w:w w:val="100"/>
          <w:szCs w:val="17"/>
        </w:rPr>
        <w:tab/>
      </w:r>
      <w:r w:rsidRPr="00C47801">
        <w:rPr>
          <w:rStyle w:val="FootnoteReference"/>
        </w:rPr>
        <w:footnoteRef/>
      </w:r>
      <w:r w:rsidRPr="00C47801">
        <w:rPr>
          <w:rStyle w:val="FootnoteReference"/>
        </w:rPr>
        <w:tab/>
      </w:r>
      <w:r w:rsidRPr="001E1114">
        <w:rPr>
          <w:spacing w:val="0"/>
          <w:w w:val="100"/>
          <w:szCs w:val="17"/>
        </w:rPr>
        <w:t>Там же, стр. 46.</w:t>
      </w:r>
    </w:p>
  </w:footnote>
  <w:footnote w:id="77">
    <w:p w:rsidR="00AD593A" w:rsidRPr="001E1114" w:rsidRDefault="00AD593A" w:rsidP="00AD593A">
      <w:pPr>
        <w:pStyle w:val="FootnoteText"/>
        <w:tabs>
          <w:tab w:val="right" w:pos="1195"/>
          <w:tab w:val="left" w:pos="1267"/>
          <w:tab w:val="left" w:pos="1742"/>
          <w:tab w:val="left" w:pos="2218"/>
          <w:tab w:val="left" w:pos="2693"/>
        </w:tabs>
        <w:ind w:left="1267" w:right="1260" w:hanging="432"/>
        <w:rPr>
          <w:spacing w:val="0"/>
          <w:w w:val="100"/>
          <w:szCs w:val="17"/>
        </w:rPr>
      </w:pPr>
      <w:r w:rsidRPr="001E1114">
        <w:rPr>
          <w:spacing w:val="0"/>
          <w:w w:val="100"/>
          <w:szCs w:val="17"/>
        </w:rPr>
        <w:tab/>
      </w:r>
      <w:r w:rsidRPr="00C47801">
        <w:rPr>
          <w:rStyle w:val="FootnoteReference"/>
        </w:rPr>
        <w:footnoteRef/>
      </w:r>
      <w:r w:rsidRPr="00C47801">
        <w:rPr>
          <w:rStyle w:val="FootnoteReference"/>
        </w:rPr>
        <w:tab/>
      </w:r>
      <w:r w:rsidRPr="001E1114">
        <w:rPr>
          <w:spacing w:val="0"/>
          <w:w w:val="100"/>
          <w:szCs w:val="17"/>
        </w:rPr>
        <w:t>Там же.</w:t>
      </w:r>
    </w:p>
  </w:footnote>
  <w:footnote w:id="78">
    <w:p w:rsidR="00AD593A" w:rsidRPr="001E1114" w:rsidRDefault="00AD593A" w:rsidP="00AD593A">
      <w:pPr>
        <w:pStyle w:val="FootnoteText"/>
        <w:tabs>
          <w:tab w:val="right" w:pos="1195"/>
          <w:tab w:val="left" w:pos="1267"/>
          <w:tab w:val="left" w:pos="1742"/>
          <w:tab w:val="left" w:pos="2218"/>
          <w:tab w:val="left" w:pos="2693"/>
        </w:tabs>
        <w:ind w:left="1267" w:right="1260" w:hanging="432"/>
        <w:rPr>
          <w:spacing w:val="0"/>
          <w:w w:val="100"/>
          <w:szCs w:val="17"/>
        </w:rPr>
      </w:pPr>
      <w:r w:rsidRPr="001E1114">
        <w:rPr>
          <w:spacing w:val="0"/>
          <w:w w:val="100"/>
          <w:szCs w:val="17"/>
        </w:rPr>
        <w:tab/>
      </w:r>
      <w:r w:rsidRPr="00C47801">
        <w:rPr>
          <w:rStyle w:val="FootnoteReference"/>
        </w:rPr>
        <w:footnoteRef/>
      </w:r>
      <w:r w:rsidRPr="00C47801">
        <w:rPr>
          <w:rStyle w:val="FootnoteReference"/>
        </w:rPr>
        <w:tab/>
      </w:r>
      <w:r w:rsidRPr="001E1114">
        <w:rPr>
          <w:spacing w:val="0"/>
          <w:w w:val="100"/>
          <w:szCs w:val="17"/>
        </w:rPr>
        <w:t>Там же.</w:t>
      </w:r>
    </w:p>
  </w:footnote>
  <w:footnote w:id="79">
    <w:p w:rsidR="00C47801" w:rsidRPr="00C47801" w:rsidRDefault="00C47801" w:rsidP="00C478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rsidRPr="00C47801">
        <w:tab/>
        <w:t>По смыслу статьи 10 (7) Закона о занятости, запрещающей дискриминацию на рабочем месте, к политике или практике в сфере занятости относятся любые виды политики или практики, касающиеся процедуры найма, критериев и процесса привлечения и отбора персонала, назначения на должность и порядка такого назначения, классификации и ранжирования рабочих мест, заработной платы, дополнительных выплат и льгот и условий найма, должностных обязанностей, условий труда и рабочего оборудования, обучения и повышения квалификации, систем аттестации работников, повышения в должности, перевода на другую должность, понижения в должности, мер дисциплинарного взыскания и увольнения.</w:t>
      </w:r>
    </w:p>
  </w:footnote>
  <w:footnote w:id="80">
    <w:p w:rsidR="00C47801" w:rsidRPr="00C47801" w:rsidRDefault="00C47801" w:rsidP="00C478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ab/>
      </w:r>
      <w:r w:rsidRPr="00C47801">
        <w:rPr>
          <w:lang w:val="en-US"/>
        </w:rPr>
        <w:t xml:space="preserve">Revolutionary Government of Zanzibar, </w:t>
      </w:r>
      <w:r w:rsidRPr="00C47801">
        <w:rPr>
          <w:i/>
          <w:lang w:val="en-US"/>
        </w:rPr>
        <w:t>Zanzibar Employment Policy</w:t>
      </w:r>
      <w:r w:rsidRPr="00C47801">
        <w:rPr>
          <w:lang w:val="en-US"/>
        </w:rPr>
        <w:t xml:space="preserve">. </w:t>
      </w:r>
      <w:r w:rsidRPr="00C47801">
        <w:t>P. 27.</w:t>
      </w:r>
    </w:p>
  </w:footnote>
  <w:footnote w:id="81">
    <w:p w:rsidR="00C47801" w:rsidRPr="00C47801" w:rsidRDefault="00C47801" w:rsidP="00C478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ab/>
      </w:r>
      <w:r w:rsidRPr="00C47801">
        <w:t>Статья 35 (1) ЗТУ.</w:t>
      </w:r>
    </w:p>
  </w:footnote>
  <w:footnote w:id="82">
    <w:p w:rsidR="00C47801" w:rsidRPr="00C47801" w:rsidRDefault="00C47801" w:rsidP="00C478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rsidRPr="00C47801">
        <w:tab/>
        <w:t>При создании Банка в 2009 году исполнительная власть государства-участника обязалась пополнять и с тех пор пополняет его капитал в объеме 2 млрд. танзанийских шиллингов в год; эта мера рассчитана на пять лет начиная с 2009 года. Это обещание было дано президентом Киквете по случаю празднования Женского дня в Таборе в 2010 году.</w:t>
      </w:r>
    </w:p>
  </w:footnote>
  <w:footnote w:id="83">
    <w:p w:rsidR="00C47801" w:rsidRPr="00C47801" w:rsidRDefault="00C47801" w:rsidP="00C478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ab/>
      </w:r>
      <w:r w:rsidRPr="00C47801">
        <w:t>Эти</w:t>
      </w:r>
      <w:r w:rsidRPr="00C47801">
        <w:rPr>
          <w:lang w:val="en-US"/>
        </w:rPr>
        <w:t xml:space="preserve"> </w:t>
      </w:r>
      <w:r w:rsidRPr="00C47801">
        <w:t>центры</w:t>
      </w:r>
      <w:r w:rsidRPr="00C47801">
        <w:rPr>
          <w:lang w:val="en-US"/>
        </w:rPr>
        <w:t xml:space="preserve"> </w:t>
      </w:r>
      <w:r w:rsidRPr="00C47801">
        <w:t>расположены</w:t>
      </w:r>
      <w:r w:rsidRPr="00C47801">
        <w:rPr>
          <w:lang w:val="en-US"/>
        </w:rPr>
        <w:t xml:space="preserve"> </w:t>
      </w:r>
      <w:r w:rsidRPr="00C47801">
        <w:t>в</w:t>
      </w:r>
      <w:r w:rsidRPr="00C47801">
        <w:rPr>
          <w:lang w:val="en-US"/>
        </w:rPr>
        <w:t xml:space="preserve"> </w:t>
      </w:r>
      <w:r w:rsidRPr="00C47801">
        <w:t>следующих</w:t>
      </w:r>
      <w:r w:rsidRPr="00C47801">
        <w:rPr>
          <w:lang w:val="en-US"/>
        </w:rPr>
        <w:t xml:space="preserve"> </w:t>
      </w:r>
      <w:r w:rsidRPr="00C47801">
        <w:t>областях</w:t>
      </w:r>
      <w:r w:rsidRPr="00C47801">
        <w:rPr>
          <w:lang w:val="en-US"/>
        </w:rPr>
        <w:t xml:space="preserve"> </w:t>
      </w:r>
      <w:r w:rsidRPr="00C47801">
        <w:t>и</w:t>
      </w:r>
      <w:r w:rsidRPr="00C47801">
        <w:rPr>
          <w:lang w:val="en-US"/>
        </w:rPr>
        <w:t xml:space="preserve"> </w:t>
      </w:r>
      <w:r w:rsidRPr="00C47801">
        <w:t>населенных</w:t>
      </w:r>
      <w:r w:rsidRPr="00C47801">
        <w:rPr>
          <w:lang w:val="en-US"/>
        </w:rPr>
        <w:t xml:space="preserve"> </w:t>
      </w:r>
      <w:r w:rsidRPr="00C47801">
        <w:t>пунктах</w:t>
      </w:r>
      <w:r w:rsidRPr="00C47801">
        <w:rPr>
          <w:lang w:val="en-US"/>
        </w:rPr>
        <w:t xml:space="preserve">: </w:t>
      </w:r>
      <w:r w:rsidRPr="00C47801">
        <w:t>Дар</w:t>
      </w:r>
      <w:r w:rsidRPr="00C47801">
        <w:rPr>
          <w:lang w:val="en-US"/>
        </w:rPr>
        <w:t>-</w:t>
      </w:r>
      <w:r w:rsidRPr="00C47801">
        <w:t>эс</w:t>
      </w:r>
      <w:r w:rsidRPr="00C47801">
        <w:rPr>
          <w:lang w:val="en-US"/>
        </w:rPr>
        <w:t>-</w:t>
      </w:r>
      <w:r w:rsidRPr="00C47801">
        <w:t>Салам</w:t>
      </w:r>
      <w:r w:rsidRPr="00C47801">
        <w:rPr>
          <w:lang w:val="en-US"/>
        </w:rPr>
        <w:t xml:space="preserve"> (</w:t>
      </w:r>
      <w:r w:rsidRPr="00C47801">
        <w:t>Табата</w:t>
      </w:r>
      <w:r w:rsidRPr="00C47801">
        <w:rPr>
          <w:lang w:val="en-US"/>
        </w:rPr>
        <w:t xml:space="preserve"> </w:t>
      </w:r>
      <w:r w:rsidRPr="00C47801">
        <w:t>Кисукуру</w:t>
      </w:r>
      <w:r w:rsidRPr="00C47801">
        <w:rPr>
          <w:lang w:val="en-US"/>
        </w:rPr>
        <w:t xml:space="preserve">, </w:t>
      </w:r>
      <w:r w:rsidRPr="00C47801">
        <w:t>Мбанде</w:t>
      </w:r>
      <w:r w:rsidRPr="00C47801">
        <w:rPr>
          <w:lang w:val="en-US"/>
        </w:rPr>
        <w:t xml:space="preserve">, </w:t>
      </w:r>
      <w:r w:rsidRPr="00C47801">
        <w:t>Сабасаба</w:t>
      </w:r>
      <w:r w:rsidRPr="00C47801">
        <w:rPr>
          <w:lang w:val="en-US"/>
        </w:rPr>
        <w:t xml:space="preserve">, </w:t>
      </w:r>
      <w:r w:rsidRPr="00C47801">
        <w:t>Убунго</w:t>
      </w:r>
      <w:r w:rsidRPr="00C47801">
        <w:rPr>
          <w:lang w:val="en-US"/>
        </w:rPr>
        <w:t xml:space="preserve"> </w:t>
      </w:r>
      <w:r w:rsidRPr="00C47801">
        <w:t>Кибангу</w:t>
      </w:r>
      <w:r w:rsidRPr="00C47801">
        <w:rPr>
          <w:lang w:val="en-US"/>
        </w:rPr>
        <w:t xml:space="preserve">, </w:t>
      </w:r>
      <w:r w:rsidRPr="00C47801">
        <w:t>Чаника</w:t>
      </w:r>
      <w:r w:rsidRPr="00C47801">
        <w:rPr>
          <w:lang w:val="en-US"/>
        </w:rPr>
        <w:t xml:space="preserve">, </w:t>
      </w:r>
      <w:r w:rsidRPr="00C47801">
        <w:t>Чаманзи</w:t>
      </w:r>
      <w:r w:rsidRPr="00C47801">
        <w:rPr>
          <w:lang w:val="en-US"/>
        </w:rPr>
        <w:t xml:space="preserve"> </w:t>
      </w:r>
      <w:r w:rsidRPr="00C47801">
        <w:t>и</w:t>
      </w:r>
      <w:r w:rsidRPr="00C47801">
        <w:rPr>
          <w:lang w:val="en-US"/>
        </w:rPr>
        <w:t xml:space="preserve"> </w:t>
      </w:r>
      <w:r w:rsidRPr="00C47801">
        <w:t>Кундучи</w:t>
      </w:r>
      <w:r w:rsidRPr="00C47801">
        <w:rPr>
          <w:lang w:val="en-US"/>
        </w:rPr>
        <w:t xml:space="preserve"> </w:t>
      </w:r>
      <w:r w:rsidRPr="00C47801">
        <w:t>Мтонгани</w:t>
      </w:r>
      <w:r w:rsidRPr="00C47801">
        <w:rPr>
          <w:lang w:val="en-US"/>
        </w:rPr>
        <w:t xml:space="preserve">), </w:t>
      </w:r>
      <w:r w:rsidRPr="00C47801">
        <w:t>Додома</w:t>
      </w:r>
      <w:r w:rsidRPr="00C47801">
        <w:rPr>
          <w:lang w:val="en-US"/>
        </w:rPr>
        <w:t xml:space="preserve"> (</w:t>
      </w:r>
      <w:r w:rsidRPr="00C47801">
        <w:t>Аэропорт</w:t>
      </w:r>
      <w:r w:rsidRPr="00C47801">
        <w:rPr>
          <w:lang w:val="en-US"/>
        </w:rPr>
        <w:t xml:space="preserve">, </w:t>
      </w:r>
      <w:r w:rsidRPr="00C47801">
        <w:t>Чамвино</w:t>
      </w:r>
      <w:r w:rsidRPr="00C47801">
        <w:rPr>
          <w:lang w:val="en-US"/>
        </w:rPr>
        <w:t xml:space="preserve">, </w:t>
      </w:r>
      <w:r w:rsidRPr="00C47801">
        <w:t>Ипагала</w:t>
      </w:r>
      <w:r w:rsidRPr="00C47801">
        <w:rPr>
          <w:lang w:val="en-US"/>
        </w:rPr>
        <w:t xml:space="preserve">, </w:t>
      </w:r>
      <w:r w:rsidRPr="00C47801">
        <w:t>Поста</w:t>
      </w:r>
      <w:r w:rsidRPr="00C47801">
        <w:rPr>
          <w:lang w:val="en-US"/>
        </w:rPr>
        <w:t xml:space="preserve">, </w:t>
      </w:r>
      <w:r w:rsidRPr="00C47801">
        <w:t>Хазина</w:t>
      </w:r>
      <w:r w:rsidRPr="00C47801">
        <w:rPr>
          <w:lang w:val="en-US"/>
        </w:rPr>
        <w:t xml:space="preserve"> </w:t>
      </w:r>
      <w:r w:rsidRPr="00C47801">
        <w:t>Кикуйю</w:t>
      </w:r>
      <w:r w:rsidRPr="00C47801">
        <w:rPr>
          <w:lang w:val="en-US"/>
        </w:rPr>
        <w:t xml:space="preserve">, </w:t>
      </w:r>
      <w:r w:rsidRPr="00C47801">
        <w:t>Кизота</w:t>
      </w:r>
      <w:r w:rsidRPr="00C47801">
        <w:rPr>
          <w:lang w:val="en-US"/>
        </w:rPr>
        <w:t xml:space="preserve">, </w:t>
      </w:r>
      <w:r w:rsidRPr="00C47801">
        <w:t>Саванна</w:t>
      </w:r>
      <w:r w:rsidRPr="00C47801">
        <w:rPr>
          <w:lang w:val="en-US"/>
        </w:rPr>
        <w:t xml:space="preserve"> </w:t>
      </w:r>
      <w:r w:rsidRPr="00C47801">
        <w:t>Кикуйю</w:t>
      </w:r>
      <w:r w:rsidRPr="00C47801">
        <w:rPr>
          <w:lang w:val="en-US"/>
        </w:rPr>
        <w:t xml:space="preserve">, </w:t>
      </w:r>
      <w:r w:rsidRPr="00C47801">
        <w:t>Чангомбе</w:t>
      </w:r>
      <w:r w:rsidRPr="00C47801">
        <w:rPr>
          <w:lang w:val="en-US"/>
        </w:rPr>
        <w:t xml:space="preserve">, </w:t>
      </w:r>
      <w:r w:rsidRPr="00C47801">
        <w:t>Мнадани</w:t>
      </w:r>
      <w:r w:rsidRPr="00C47801">
        <w:rPr>
          <w:lang w:val="en-US"/>
        </w:rPr>
        <w:t xml:space="preserve">, </w:t>
      </w:r>
      <w:r w:rsidRPr="00C47801">
        <w:t>Вейюла</w:t>
      </w:r>
      <w:r w:rsidRPr="00C47801">
        <w:rPr>
          <w:lang w:val="en-US"/>
        </w:rPr>
        <w:t xml:space="preserve">, </w:t>
      </w:r>
      <w:r w:rsidRPr="00C47801">
        <w:t>Мпвапва</w:t>
      </w:r>
      <w:r w:rsidRPr="00C47801">
        <w:rPr>
          <w:lang w:val="en-US"/>
        </w:rPr>
        <w:t xml:space="preserve">, </w:t>
      </w:r>
      <w:r w:rsidRPr="00C47801">
        <w:t>Конгва</w:t>
      </w:r>
      <w:r w:rsidRPr="00C47801">
        <w:rPr>
          <w:lang w:val="en-US"/>
        </w:rPr>
        <w:t xml:space="preserve"> </w:t>
      </w:r>
      <w:r w:rsidRPr="00C47801">
        <w:t>и</w:t>
      </w:r>
      <w:r w:rsidRPr="00C47801">
        <w:rPr>
          <w:lang w:val="en-US"/>
        </w:rPr>
        <w:t xml:space="preserve"> </w:t>
      </w:r>
      <w:r w:rsidRPr="00C47801">
        <w:t>Мбанде</w:t>
      </w:r>
      <w:r w:rsidRPr="00C47801">
        <w:rPr>
          <w:lang w:val="en-US"/>
        </w:rPr>
        <w:t xml:space="preserve">) </w:t>
      </w:r>
      <w:r w:rsidRPr="00C47801">
        <w:t>и</w:t>
      </w:r>
      <w:r w:rsidRPr="00C47801">
        <w:rPr>
          <w:lang w:val="en-US"/>
        </w:rPr>
        <w:t xml:space="preserve"> </w:t>
      </w:r>
      <w:r w:rsidRPr="00C47801">
        <w:t>Мванза</w:t>
      </w:r>
      <w:r w:rsidRPr="00C47801">
        <w:rPr>
          <w:lang w:val="en-US"/>
        </w:rPr>
        <w:t xml:space="preserve"> (</w:t>
      </w:r>
      <w:r w:rsidRPr="00C47801">
        <w:t>Ньякато</w:t>
      </w:r>
      <w:r w:rsidRPr="00C47801">
        <w:rPr>
          <w:lang w:val="en-US"/>
        </w:rPr>
        <w:t xml:space="preserve">, </w:t>
      </w:r>
      <w:r w:rsidRPr="00C47801">
        <w:t>Игого</w:t>
      </w:r>
      <w:r w:rsidRPr="00C47801">
        <w:rPr>
          <w:lang w:val="en-US"/>
        </w:rPr>
        <w:t xml:space="preserve">, </w:t>
      </w:r>
      <w:r w:rsidRPr="00C47801">
        <w:t>Ньегези</w:t>
      </w:r>
      <w:r w:rsidRPr="00C47801">
        <w:rPr>
          <w:lang w:val="en-US"/>
        </w:rPr>
        <w:t xml:space="preserve">, </w:t>
      </w:r>
      <w:r w:rsidRPr="00C47801">
        <w:t>Пансианси</w:t>
      </w:r>
      <w:r w:rsidRPr="00C47801">
        <w:rPr>
          <w:lang w:val="en-US"/>
        </w:rPr>
        <w:t xml:space="preserve">, </w:t>
      </w:r>
      <w:r w:rsidRPr="00C47801">
        <w:t>Игома</w:t>
      </w:r>
      <w:r w:rsidRPr="00C47801">
        <w:rPr>
          <w:lang w:val="en-US"/>
        </w:rPr>
        <w:t xml:space="preserve">, </w:t>
      </w:r>
      <w:r w:rsidRPr="00C47801">
        <w:t>Кисеса</w:t>
      </w:r>
      <w:r w:rsidRPr="00C47801">
        <w:rPr>
          <w:lang w:val="en-US"/>
        </w:rPr>
        <w:t xml:space="preserve">, </w:t>
      </w:r>
      <w:r w:rsidRPr="00C47801">
        <w:t>Магу</w:t>
      </w:r>
      <w:r w:rsidRPr="00C47801">
        <w:rPr>
          <w:lang w:val="en-US"/>
        </w:rPr>
        <w:t xml:space="preserve">, </w:t>
      </w:r>
      <w:r w:rsidRPr="00C47801">
        <w:t>Мисунгви</w:t>
      </w:r>
      <w:r w:rsidRPr="00C47801">
        <w:rPr>
          <w:lang w:val="en-US"/>
        </w:rPr>
        <w:t xml:space="preserve"> </w:t>
      </w:r>
      <w:r w:rsidRPr="00C47801">
        <w:t>и</w:t>
      </w:r>
      <w:r w:rsidRPr="00C47801">
        <w:rPr>
          <w:lang w:val="en-US"/>
        </w:rPr>
        <w:t xml:space="preserve"> </w:t>
      </w:r>
      <w:r w:rsidRPr="00C47801">
        <w:t>Китангири</w:t>
      </w:r>
      <w:r w:rsidRPr="00C47801">
        <w:rPr>
          <w:lang w:val="en-US"/>
        </w:rPr>
        <w:t>).</w:t>
      </w:r>
    </w:p>
  </w:footnote>
  <w:footnote w:id="84">
    <w:p w:rsidR="00C47801" w:rsidRPr="00C47801" w:rsidRDefault="00C47801" w:rsidP="00C478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C47801">
        <w:rPr>
          <w:lang w:val="en-US"/>
        </w:rPr>
        <w:tab/>
        <w:t xml:space="preserve">United Republic of Tanzania, </w:t>
      </w:r>
      <w:r w:rsidRPr="00C47801">
        <w:rPr>
          <w:i/>
          <w:lang w:val="en-US"/>
        </w:rPr>
        <w:t>Health Sector Strategic Plan III: July 2009-June 2015</w:t>
      </w:r>
      <w:r w:rsidRPr="00C47801">
        <w:rPr>
          <w:lang w:val="en-US"/>
        </w:rPr>
        <w:t xml:space="preserve"> Dar es Salaam: Ministry of Health and Social Welfare, 2008.</w:t>
      </w:r>
    </w:p>
  </w:footnote>
  <w:footnote w:id="85">
    <w:p w:rsidR="00C47801" w:rsidRDefault="00C47801" w:rsidP="00C478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C47801">
        <w:rPr>
          <w:lang w:val="en-US"/>
        </w:rPr>
        <w:t>Ibid</w:t>
      </w:r>
      <w:r w:rsidRPr="00C47801">
        <w:t xml:space="preserve">., </w:t>
      </w:r>
      <w:r w:rsidRPr="00C47801">
        <w:rPr>
          <w:lang w:val="en-US"/>
        </w:rPr>
        <w:t>p</w:t>
      </w:r>
      <w:r w:rsidRPr="00C47801">
        <w:t>. 8.</w:t>
      </w:r>
    </w:p>
  </w:footnote>
  <w:footnote w:id="86">
    <w:p w:rsidR="00C47801" w:rsidRDefault="00C47801" w:rsidP="00C478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C47801">
        <w:t>См.,</w:t>
      </w:r>
      <w:r w:rsidRPr="00C47801">
        <w:rPr>
          <w:i/>
        </w:rPr>
        <w:t xml:space="preserve"> </w:t>
      </w:r>
      <w:r w:rsidRPr="00C47801">
        <w:t>в частности</w:t>
      </w:r>
      <w:r w:rsidRPr="00C47801">
        <w:rPr>
          <w:i/>
        </w:rPr>
        <w:t xml:space="preserve">, </w:t>
      </w:r>
      <w:r w:rsidRPr="00C47801">
        <w:t xml:space="preserve">Медико-демографическое обследование Танзании (МДОТ 2010 года). Полный отчет о МДОТ 2010 года размещен по адресу: </w:t>
      </w:r>
      <w:r w:rsidRPr="00C47801">
        <w:rPr>
          <w:iCs/>
        </w:rPr>
        <w:t>hdptz.esealtd.com/fileadmin/.../</w:t>
      </w:r>
      <w:r w:rsidRPr="00C47801">
        <w:rPr>
          <w:bCs/>
          <w:iCs/>
        </w:rPr>
        <w:t>2010</w:t>
      </w:r>
      <w:r w:rsidRPr="00C47801">
        <w:rPr>
          <w:iCs/>
        </w:rPr>
        <w:t>_</w:t>
      </w:r>
      <w:r w:rsidRPr="00C47801">
        <w:rPr>
          <w:bCs/>
          <w:iCs/>
        </w:rPr>
        <w:t>TDHS</w:t>
      </w:r>
      <w:r w:rsidRPr="00C47801">
        <w:rPr>
          <w:iCs/>
        </w:rPr>
        <w:t>_FINAL_REPORT.pdf</w:t>
      </w:r>
      <w:r w:rsidRPr="00C47801">
        <w:rPr>
          <w:i/>
          <w:iCs/>
        </w:rPr>
        <w:t xml:space="preserve"> </w:t>
      </w:r>
      <w:r w:rsidRPr="00C47801">
        <w:rPr>
          <w:iCs/>
        </w:rPr>
        <w:t>(по состоянию на 18 декабря 2013 года).</w:t>
      </w:r>
    </w:p>
  </w:footnote>
  <w:footnote w:id="87">
    <w:p w:rsidR="00C47801" w:rsidRDefault="00C47801" w:rsidP="00C478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C47801">
        <w:t>Там же, стр. 117.</w:t>
      </w:r>
    </w:p>
  </w:footnote>
  <w:footnote w:id="88">
    <w:p w:rsidR="00C47801" w:rsidRDefault="00C47801" w:rsidP="00C478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C47801">
        <w:t>См. также United Republic of Tanzania, "Tanzania 3</w:t>
      </w:r>
      <w:r w:rsidRPr="00C47801">
        <w:rPr>
          <w:vertAlign w:val="superscript"/>
        </w:rPr>
        <w:t>rd</w:t>
      </w:r>
      <w:r w:rsidRPr="00C47801">
        <w:t>, 4</w:t>
      </w:r>
      <w:r w:rsidRPr="00C47801">
        <w:rPr>
          <w:vertAlign w:val="superscript"/>
        </w:rPr>
        <w:t>th</w:t>
      </w:r>
      <w:r w:rsidRPr="00C47801">
        <w:t xml:space="preserve"> and 5</w:t>
      </w:r>
      <w:r w:rsidRPr="00C47801">
        <w:rPr>
          <w:vertAlign w:val="superscript"/>
        </w:rPr>
        <w:t>th</w:t>
      </w:r>
      <w:r w:rsidRPr="00C47801">
        <w:t xml:space="preserve"> Reports on the Implementation of the Convention on the Rights of the Child (CRC) 2005-2011" (третий, четвертый и пятый доклады Танзании о выполнении Конвенции о правах ребенка (КПР) в 2005–2011 годах), представленные на рассмотрение КПР Министерством общинного развития, по гендерным вопросам и делам детей (материковая часть Танзании) и Министерством социального обеспечения, по делам молодежи, женщин и развития детей (Занзибар) 9 января 2012 года, пункт 126.</w:t>
      </w:r>
    </w:p>
  </w:footnote>
  <w:footnote w:id="89">
    <w:p w:rsidR="00C47801" w:rsidRDefault="00C47801" w:rsidP="00C478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Там же.</w:t>
      </w:r>
    </w:p>
  </w:footnote>
  <w:footnote w:id="90">
    <w:p w:rsidR="00C47801" w:rsidRDefault="00C47801" w:rsidP="00C478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Там же.</w:t>
      </w:r>
    </w:p>
  </w:footnote>
  <w:footnote w:id="91">
    <w:p w:rsidR="00C47801" w:rsidRDefault="00C47801" w:rsidP="00C478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Там же.</w:t>
      </w:r>
    </w:p>
  </w:footnote>
  <w:footnote w:id="92">
    <w:p w:rsidR="00C47801" w:rsidRDefault="00C47801" w:rsidP="00C478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C47801">
        <w:t>Там же, стр. 64.</w:t>
      </w:r>
    </w:p>
  </w:footnote>
  <w:footnote w:id="93">
    <w:p w:rsidR="00C47801" w:rsidRDefault="00C47801" w:rsidP="00C478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C47801">
        <w:t>Там же, стр. 65.</w:t>
      </w:r>
    </w:p>
  </w:footnote>
  <w:footnote w:id="94">
    <w:p w:rsidR="00C47801" w:rsidRDefault="00C47801" w:rsidP="00C478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C47801">
        <w:t>Там же. стр. 67.</w:t>
      </w:r>
    </w:p>
  </w:footnote>
  <w:footnote w:id="95">
    <w:p w:rsidR="00C47801" w:rsidRDefault="00C47801" w:rsidP="00C478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1E1114">
        <w:rPr>
          <w:spacing w:val="0"/>
          <w:w w:val="100"/>
          <w:szCs w:val="17"/>
        </w:rPr>
        <w:t>Там же.</w:t>
      </w:r>
    </w:p>
  </w:footnote>
  <w:footnote w:id="96">
    <w:p w:rsidR="00C47801" w:rsidRDefault="00C47801" w:rsidP="00C478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Там же.</w:t>
      </w:r>
    </w:p>
  </w:footnote>
  <w:footnote w:id="97">
    <w:p w:rsidR="00C47801" w:rsidRPr="00C47801" w:rsidRDefault="00C47801" w:rsidP="00C478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C47801">
        <w:rPr>
          <w:lang w:val="en-US"/>
        </w:rPr>
        <w:tab/>
        <w:t>Tanzania Commission for AIDS (TACAIDS), Zanzibar AIDS Commission (ZAC), National Bureau of Statistics (NBS), Office of the Chief Government Statistician (OCGS), and ICF International, Tanzania HIV/AIDS and Malaria Indicator Survey 2011-12. Dar es Salaam: TACAIDS, ZAC, NBS, OCGS, and ICF International, 2013 (henceforth, 2011-2012 THMIS).</w:t>
      </w:r>
    </w:p>
  </w:footnote>
  <w:footnote w:id="98">
    <w:p w:rsidR="00C47801" w:rsidRDefault="00C47801" w:rsidP="00C478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C47801">
        <w:rPr>
          <w:lang w:val="en-US"/>
        </w:rPr>
        <w:t>Ibid, p. 49.</w:t>
      </w:r>
    </w:p>
  </w:footnote>
  <w:footnote w:id="99">
    <w:p w:rsidR="00C47801" w:rsidRDefault="00C47801" w:rsidP="00C478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C47801">
        <w:rPr>
          <w:lang w:val="en-US"/>
        </w:rPr>
        <w:t>Ibid, p. 50.</w:t>
      </w:r>
    </w:p>
  </w:footnote>
  <w:footnote w:id="100">
    <w:p w:rsidR="00C47801" w:rsidRDefault="00C47801" w:rsidP="00C4780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C47801">
        <w:rPr>
          <w:lang w:val="en-US"/>
        </w:rPr>
        <w:t>Ibid</w:t>
      </w:r>
      <w:r w:rsidRPr="00C47801">
        <w:t>.</w:t>
      </w:r>
    </w:p>
  </w:footnote>
  <w:footnote w:id="101">
    <w:p w:rsidR="00AD593A" w:rsidRPr="00C47801" w:rsidRDefault="00AD593A" w:rsidP="00AD593A">
      <w:pPr>
        <w:pStyle w:val="FootnoteText"/>
        <w:tabs>
          <w:tab w:val="right" w:pos="1195"/>
          <w:tab w:val="left" w:pos="1267"/>
          <w:tab w:val="left" w:pos="1742"/>
          <w:tab w:val="left" w:pos="2218"/>
          <w:tab w:val="left" w:pos="2693"/>
        </w:tabs>
        <w:ind w:left="1267" w:right="1260" w:hanging="432"/>
        <w:rPr>
          <w:spacing w:val="0"/>
          <w:w w:val="100"/>
          <w:szCs w:val="17"/>
        </w:rPr>
      </w:pPr>
      <w:r w:rsidRPr="00C47801">
        <w:rPr>
          <w:spacing w:val="0"/>
          <w:w w:val="100"/>
          <w:szCs w:val="17"/>
        </w:rPr>
        <w:tab/>
      </w:r>
      <w:r w:rsidRPr="00C47801">
        <w:rPr>
          <w:rStyle w:val="FootnoteReference"/>
        </w:rPr>
        <w:footnoteRef/>
      </w:r>
      <w:r w:rsidR="00C47801">
        <w:rPr>
          <w:spacing w:val="0"/>
          <w:w w:val="100"/>
          <w:szCs w:val="17"/>
        </w:rPr>
        <w:tab/>
      </w:r>
      <w:r w:rsidRPr="00C47801">
        <w:t>Ibid.</w:t>
      </w:r>
    </w:p>
  </w:footnote>
  <w:footnote w:id="102">
    <w:p w:rsidR="00AD593A" w:rsidRPr="00C47801" w:rsidRDefault="00AD593A" w:rsidP="00AD593A">
      <w:pPr>
        <w:pStyle w:val="FootnoteText"/>
        <w:tabs>
          <w:tab w:val="right" w:pos="1195"/>
          <w:tab w:val="left" w:pos="1267"/>
          <w:tab w:val="left" w:pos="1742"/>
          <w:tab w:val="left" w:pos="2218"/>
          <w:tab w:val="left" w:pos="2693"/>
        </w:tabs>
        <w:ind w:left="1267" w:right="1260" w:hanging="432"/>
        <w:rPr>
          <w:spacing w:val="0"/>
          <w:w w:val="100"/>
          <w:szCs w:val="17"/>
        </w:rPr>
      </w:pPr>
      <w:r w:rsidRPr="00C47801">
        <w:rPr>
          <w:spacing w:val="0"/>
          <w:w w:val="100"/>
          <w:szCs w:val="17"/>
        </w:rPr>
        <w:tab/>
      </w:r>
      <w:r w:rsidRPr="00C47801">
        <w:rPr>
          <w:rStyle w:val="FootnoteReference"/>
        </w:rPr>
        <w:footnoteRef/>
      </w:r>
      <w:r w:rsidRPr="00C47801">
        <w:tab/>
        <w:t>Ibid.</w:t>
      </w:r>
    </w:p>
  </w:footnote>
  <w:footnote w:id="103">
    <w:p w:rsidR="00AD593A" w:rsidRPr="00C47801" w:rsidRDefault="00AD593A" w:rsidP="00AD593A">
      <w:pPr>
        <w:pStyle w:val="FootnoteText"/>
        <w:tabs>
          <w:tab w:val="right" w:pos="1195"/>
          <w:tab w:val="left" w:pos="1267"/>
          <w:tab w:val="left" w:pos="1742"/>
          <w:tab w:val="left" w:pos="2218"/>
          <w:tab w:val="left" w:pos="2693"/>
        </w:tabs>
        <w:ind w:left="1267" w:right="1260" w:hanging="432"/>
        <w:rPr>
          <w:spacing w:val="0"/>
          <w:w w:val="100"/>
          <w:szCs w:val="17"/>
        </w:rPr>
      </w:pPr>
      <w:r w:rsidRPr="00C47801">
        <w:rPr>
          <w:spacing w:val="0"/>
          <w:w w:val="100"/>
          <w:szCs w:val="17"/>
        </w:rPr>
        <w:tab/>
      </w:r>
      <w:r w:rsidRPr="00C47801">
        <w:rPr>
          <w:rStyle w:val="FootnoteReference"/>
        </w:rPr>
        <w:footnoteRef/>
      </w:r>
      <w:r w:rsidRPr="00C47801">
        <w:tab/>
        <w:t>Ibid, p. 109.</w:t>
      </w:r>
    </w:p>
  </w:footnote>
  <w:footnote w:id="104">
    <w:p w:rsidR="00AD593A" w:rsidRPr="00C47801" w:rsidRDefault="00AD593A" w:rsidP="00AD593A">
      <w:pPr>
        <w:pStyle w:val="FootnoteText"/>
        <w:tabs>
          <w:tab w:val="right" w:pos="1195"/>
          <w:tab w:val="left" w:pos="1267"/>
          <w:tab w:val="left" w:pos="1742"/>
          <w:tab w:val="left" w:pos="2218"/>
          <w:tab w:val="left" w:pos="2693"/>
        </w:tabs>
        <w:ind w:left="1267" w:right="1260" w:hanging="432"/>
        <w:rPr>
          <w:spacing w:val="0"/>
          <w:w w:val="100"/>
          <w:szCs w:val="17"/>
        </w:rPr>
      </w:pPr>
      <w:r w:rsidRPr="00C47801">
        <w:rPr>
          <w:spacing w:val="0"/>
          <w:w w:val="100"/>
          <w:szCs w:val="17"/>
        </w:rPr>
        <w:tab/>
      </w:r>
      <w:r w:rsidRPr="00C47801">
        <w:rPr>
          <w:rStyle w:val="FootnoteReference"/>
        </w:rPr>
        <w:footnoteRef/>
      </w:r>
      <w:r w:rsidRPr="00C47801">
        <w:tab/>
        <w:t>Ibid.</w:t>
      </w:r>
    </w:p>
  </w:footnote>
  <w:footnote w:id="105">
    <w:p w:rsidR="00AD593A" w:rsidRPr="001E1114" w:rsidRDefault="00AD593A" w:rsidP="00AD593A">
      <w:pPr>
        <w:pStyle w:val="FootnoteText"/>
        <w:tabs>
          <w:tab w:val="right" w:pos="1195"/>
          <w:tab w:val="left" w:pos="1267"/>
          <w:tab w:val="left" w:pos="1742"/>
          <w:tab w:val="left" w:pos="2218"/>
          <w:tab w:val="left" w:pos="2693"/>
        </w:tabs>
        <w:ind w:left="1267" w:right="1260" w:hanging="432"/>
        <w:rPr>
          <w:spacing w:val="0"/>
          <w:w w:val="100"/>
          <w:szCs w:val="17"/>
        </w:rPr>
      </w:pPr>
      <w:r w:rsidRPr="00C47801">
        <w:rPr>
          <w:spacing w:val="0"/>
          <w:w w:val="100"/>
          <w:szCs w:val="17"/>
        </w:rPr>
        <w:tab/>
      </w:r>
      <w:r w:rsidRPr="00C47801">
        <w:rPr>
          <w:rStyle w:val="FootnoteReference"/>
        </w:rPr>
        <w:footnoteRef/>
      </w:r>
      <w:r w:rsidRPr="00C47801">
        <w:tab/>
        <w:t>Ibid, p. 111.</w:t>
      </w:r>
    </w:p>
  </w:footnote>
  <w:footnote w:id="106">
    <w:p w:rsidR="00AD593A" w:rsidRPr="001E1114" w:rsidRDefault="00AD593A" w:rsidP="00AD593A">
      <w:pPr>
        <w:pStyle w:val="FootnoteText"/>
        <w:tabs>
          <w:tab w:val="right" w:pos="1195"/>
          <w:tab w:val="left" w:pos="1267"/>
          <w:tab w:val="left" w:pos="1742"/>
          <w:tab w:val="left" w:pos="2218"/>
          <w:tab w:val="left" w:pos="2693"/>
        </w:tabs>
        <w:ind w:left="1267" w:right="1260" w:hanging="432"/>
        <w:rPr>
          <w:spacing w:val="0"/>
          <w:w w:val="100"/>
          <w:szCs w:val="17"/>
        </w:rPr>
      </w:pPr>
      <w:r w:rsidRPr="001E1114">
        <w:rPr>
          <w:spacing w:val="0"/>
          <w:w w:val="100"/>
          <w:szCs w:val="17"/>
        </w:rPr>
        <w:tab/>
      </w:r>
      <w:r w:rsidRPr="00C47801">
        <w:rPr>
          <w:rStyle w:val="FootnoteReference"/>
        </w:rPr>
        <w:footnoteRef/>
      </w:r>
      <w:r w:rsidRPr="00C47801">
        <w:tab/>
        <w:t>Ibid.</w:t>
      </w:r>
    </w:p>
  </w:footnote>
  <w:footnote w:id="107">
    <w:p w:rsidR="00AD593A" w:rsidRPr="001E1114" w:rsidRDefault="00AD593A" w:rsidP="00AD593A">
      <w:pPr>
        <w:pStyle w:val="FootnoteText"/>
        <w:tabs>
          <w:tab w:val="right" w:pos="1195"/>
          <w:tab w:val="left" w:pos="1267"/>
          <w:tab w:val="left" w:pos="1742"/>
          <w:tab w:val="left" w:pos="2218"/>
          <w:tab w:val="left" w:pos="2693"/>
        </w:tabs>
        <w:ind w:left="1267" w:right="1260" w:hanging="432"/>
        <w:rPr>
          <w:spacing w:val="0"/>
          <w:w w:val="100"/>
          <w:szCs w:val="17"/>
        </w:rPr>
      </w:pPr>
      <w:r w:rsidRPr="001E1114">
        <w:rPr>
          <w:spacing w:val="0"/>
          <w:w w:val="100"/>
          <w:szCs w:val="17"/>
        </w:rPr>
        <w:tab/>
      </w:r>
      <w:r w:rsidRPr="00C47801">
        <w:rPr>
          <w:rStyle w:val="FootnoteReference"/>
        </w:rPr>
        <w:footnoteRef/>
      </w:r>
      <w:r w:rsidRPr="00C47801">
        <w:tab/>
        <w:t>В ходе ОПЗВТ 2003–2004 годов проводилась оценка распространенности ВИЧ только на материковой части Танзании.</w:t>
      </w:r>
    </w:p>
  </w:footnote>
  <w:footnote w:id="108">
    <w:p w:rsidR="00AD593A" w:rsidRPr="001E1114" w:rsidRDefault="00AD593A" w:rsidP="00AD593A">
      <w:pPr>
        <w:pStyle w:val="FootnoteText"/>
        <w:tabs>
          <w:tab w:val="right" w:pos="1195"/>
          <w:tab w:val="left" w:pos="1267"/>
          <w:tab w:val="left" w:pos="1742"/>
          <w:tab w:val="left" w:pos="2218"/>
          <w:tab w:val="left" w:pos="2693"/>
        </w:tabs>
        <w:ind w:left="1267" w:right="1260" w:hanging="432"/>
        <w:rPr>
          <w:spacing w:val="0"/>
          <w:w w:val="100"/>
          <w:szCs w:val="17"/>
          <w:lang w:val="en-US"/>
        </w:rPr>
      </w:pPr>
      <w:r w:rsidRPr="001E1114">
        <w:rPr>
          <w:spacing w:val="0"/>
          <w:w w:val="100"/>
          <w:szCs w:val="17"/>
        </w:rPr>
        <w:tab/>
      </w:r>
      <w:r w:rsidRPr="00C47801">
        <w:rPr>
          <w:rStyle w:val="FootnoteReference"/>
        </w:rPr>
        <w:footnoteRef/>
      </w:r>
      <w:r w:rsidRPr="00C47801">
        <w:tab/>
        <w:t>2011-12 THMIS, op. cit.</w:t>
      </w:r>
    </w:p>
  </w:footnote>
  <w:footnote w:id="109">
    <w:p w:rsidR="00AD593A" w:rsidRPr="001E1114" w:rsidRDefault="00AD593A" w:rsidP="00AD593A">
      <w:pPr>
        <w:tabs>
          <w:tab w:val="right" w:pos="1195"/>
          <w:tab w:val="left" w:pos="1267"/>
          <w:tab w:val="left" w:pos="1742"/>
          <w:tab w:val="left" w:pos="2218"/>
          <w:tab w:val="left" w:pos="2693"/>
        </w:tabs>
        <w:autoSpaceDE w:val="0"/>
        <w:autoSpaceDN w:val="0"/>
        <w:adjustRightInd w:val="0"/>
        <w:spacing w:line="210" w:lineRule="exact"/>
        <w:ind w:left="1267" w:right="1260" w:hanging="432"/>
        <w:jc w:val="both"/>
        <w:rPr>
          <w:spacing w:val="0"/>
          <w:w w:val="100"/>
          <w:sz w:val="17"/>
          <w:szCs w:val="17"/>
          <w:lang w:val="en-US"/>
        </w:rPr>
      </w:pPr>
      <w:r w:rsidRPr="001E1114">
        <w:rPr>
          <w:spacing w:val="0"/>
          <w:w w:val="100"/>
          <w:sz w:val="17"/>
          <w:szCs w:val="17"/>
          <w:lang w:val="en-US"/>
        </w:rPr>
        <w:tab/>
      </w:r>
      <w:r w:rsidRPr="00C47801">
        <w:rPr>
          <w:rStyle w:val="FootnoteReference"/>
          <w:sz w:val="17"/>
          <w:szCs w:val="20"/>
        </w:rPr>
        <w:footnoteRef/>
      </w:r>
      <w:r w:rsidRPr="00C47801">
        <w:rPr>
          <w:spacing w:val="5"/>
          <w:w w:val="104"/>
          <w:sz w:val="17"/>
          <w:szCs w:val="20"/>
        </w:rPr>
        <w:tab/>
        <w:t>Ibid, p. 63. См. также Prime Minister’s Office, Tanzania Commission for AIDS (TACAIDS), National HIV Policy 2011 Dar es Salaam: Prime Minister’s Office and TACAIDS. (Final Draft), 2012; and Zanzibar AIDS Commission (ZAC), Zanzibar National HIV Strategic Plan (ZNSP-II) 2011–2016 Zanzibar: Revol</w:t>
      </w:r>
      <w:r w:rsidRPr="00C47801">
        <w:rPr>
          <w:spacing w:val="5"/>
          <w:w w:val="104"/>
          <w:sz w:val="17"/>
          <w:szCs w:val="20"/>
        </w:rPr>
        <w:t>u</w:t>
      </w:r>
      <w:r w:rsidRPr="00C47801">
        <w:rPr>
          <w:spacing w:val="5"/>
          <w:w w:val="104"/>
          <w:sz w:val="17"/>
          <w:szCs w:val="20"/>
        </w:rPr>
        <w:t>tionary Government of Zanzibar, 2011.</w:t>
      </w:r>
    </w:p>
  </w:footnote>
  <w:footnote w:id="110">
    <w:p w:rsidR="00AD593A" w:rsidRPr="00AD593A" w:rsidRDefault="00AD593A" w:rsidP="00AD593A">
      <w:pPr>
        <w:pStyle w:val="FootnoteText"/>
        <w:tabs>
          <w:tab w:val="right" w:pos="1195"/>
          <w:tab w:val="left" w:pos="1267"/>
          <w:tab w:val="left" w:pos="1742"/>
          <w:tab w:val="left" w:pos="2218"/>
          <w:tab w:val="left" w:pos="2693"/>
        </w:tabs>
        <w:ind w:left="1267" w:right="1260" w:hanging="432"/>
        <w:rPr>
          <w:spacing w:val="0"/>
          <w:w w:val="100"/>
          <w:szCs w:val="17"/>
          <w:lang w:val="en-US"/>
        </w:rPr>
      </w:pPr>
      <w:r w:rsidRPr="001E1114">
        <w:rPr>
          <w:spacing w:val="0"/>
          <w:w w:val="100"/>
          <w:szCs w:val="17"/>
          <w:lang w:val="en-US"/>
        </w:rPr>
        <w:tab/>
      </w:r>
      <w:r w:rsidRPr="00C47801">
        <w:rPr>
          <w:rStyle w:val="FootnoteReference"/>
        </w:rPr>
        <w:footnoteRef/>
      </w:r>
      <w:r w:rsidRPr="00C47801">
        <w:tab/>
        <w:t>2011-2012 THMIS, ibid.</w:t>
      </w:r>
    </w:p>
  </w:footnote>
  <w:footnote w:id="111">
    <w:p w:rsidR="00AD593A" w:rsidRPr="001E1114" w:rsidRDefault="00AD593A" w:rsidP="00AD593A">
      <w:pPr>
        <w:pStyle w:val="FootnoteText"/>
        <w:tabs>
          <w:tab w:val="right" w:pos="1195"/>
          <w:tab w:val="left" w:pos="1267"/>
          <w:tab w:val="left" w:pos="1742"/>
          <w:tab w:val="left" w:pos="2218"/>
          <w:tab w:val="left" w:pos="2693"/>
        </w:tabs>
        <w:ind w:left="1267" w:right="1260" w:hanging="432"/>
        <w:rPr>
          <w:spacing w:val="0"/>
          <w:w w:val="100"/>
          <w:szCs w:val="17"/>
          <w:lang w:val="en-US"/>
        </w:rPr>
      </w:pPr>
      <w:r w:rsidRPr="00AD593A">
        <w:rPr>
          <w:spacing w:val="0"/>
          <w:w w:val="100"/>
          <w:szCs w:val="17"/>
          <w:lang w:val="en-US"/>
        </w:rPr>
        <w:tab/>
      </w:r>
      <w:r w:rsidRPr="00C47801">
        <w:rPr>
          <w:rStyle w:val="FootnoteReference"/>
        </w:rPr>
        <w:footnoteRef/>
      </w:r>
      <w:r w:rsidRPr="00C47801">
        <w:tab/>
        <w:t>Ibid, p. 74.</w:t>
      </w:r>
    </w:p>
  </w:footnote>
  <w:footnote w:id="112">
    <w:p w:rsidR="00AD593A" w:rsidRPr="001E1114" w:rsidRDefault="00AD593A" w:rsidP="00AD593A">
      <w:pPr>
        <w:pStyle w:val="FootnoteText"/>
        <w:tabs>
          <w:tab w:val="right" w:pos="1195"/>
          <w:tab w:val="left" w:pos="1267"/>
          <w:tab w:val="left" w:pos="1742"/>
          <w:tab w:val="left" w:pos="2218"/>
          <w:tab w:val="left" w:pos="2693"/>
        </w:tabs>
        <w:ind w:left="1267" w:right="1260" w:hanging="432"/>
        <w:rPr>
          <w:spacing w:val="0"/>
          <w:w w:val="100"/>
          <w:szCs w:val="17"/>
          <w:lang w:val="en-US"/>
        </w:rPr>
      </w:pPr>
      <w:r w:rsidRPr="001E1114">
        <w:rPr>
          <w:spacing w:val="0"/>
          <w:w w:val="100"/>
          <w:szCs w:val="17"/>
          <w:lang w:val="en-US"/>
        </w:rPr>
        <w:tab/>
      </w:r>
      <w:r w:rsidRPr="00C47801">
        <w:rPr>
          <w:rStyle w:val="FootnoteReference"/>
        </w:rPr>
        <w:footnoteRef/>
      </w:r>
      <w:r w:rsidRPr="00C47801">
        <w:tab/>
        <w:t>Ibid.</w:t>
      </w:r>
    </w:p>
  </w:footnote>
  <w:footnote w:id="113">
    <w:p w:rsidR="00AD593A" w:rsidRPr="001E1114" w:rsidRDefault="00AD593A" w:rsidP="00AD593A">
      <w:pPr>
        <w:pStyle w:val="FootnoteText"/>
        <w:tabs>
          <w:tab w:val="right" w:pos="1195"/>
          <w:tab w:val="left" w:pos="1267"/>
          <w:tab w:val="left" w:pos="1742"/>
          <w:tab w:val="left" w:pos="2218"/>
          <w:tab w:val="left" w:pos="2693"/>
        </w:tabs>
        <w:ind w:left="1267" w:right="1260" w:hanging="432"/>
        <w:rPr>
          <w:spacing w:val="0"/>
          <w:w w:val="100"/>
          <w:szCs w:val="17"/>
          <w:lang w:val="en-US"/>
        </w:rPr>
      </w:pPr>
      <w:r w:rsidRPr="00C47801">
        <w:rPr>
          <w:rStyle w:val="FootnoteReference"/>
        </w:rPr>
        <w:tab/>
      </w:r>
      <w:r w:rsidRPr="00C47801">
        <w:rPr>
          <w:rStyle w:val="FootnoteReference"/>
        </w:rPr>
        <w:footnoteRef/>
      </w:r>
      <w:r w:rsidRPr="00C47801">
        <w:tab/>
        <w:t>Ibid, p. 79.</w:t>
      </w:r>
    </w:p>
  </w:footnote>
  <w:footnote w:id="114">
    <w:p w:rsidR="00AD593A" w:rsidRPr="001E1114" w:rsidRDefault="00AD593A" w:rsidP="00AD593A">
      <w:pPr>
        <w:pStyle w:val="FootnoteText"/>
        <w:tabs>
          <w:tab w:val="right" w:pos="1195"/>
          <w:tab w:val="left" w:pos="1267"/>
          <w:tab w:val="left" w:pos="1742"/>
          <w:tab w:val="left" w:pos="2218"/>
          <w:tab w:val="left" w:pos="2693"/>
        </w:tabs>
        <w:ind w:left="1267" w:right="1260" w:hanging="432"/>
        <w:rPr>
          <w:spacing w:val="0"/>
          <w:w w:val="100"/>
          <w:szCs w:val="17"/>
          <w:lang w:val="en-US"/>
        </w:rPr>
      </w:pPr>
      <w:r w:rsidRPr="00C47801">
        <w:rPr>
          <w:rStyle w:val="FootnoteReference"/>
        </w:rPr>
        <w:tab/>
      </w:r>
      <w:r w:rsidRPr="00C47801">
        <w:rPr>
          <w:rStyle w:val="FootnoteReference"/>
        </w:rPr>
        <w:footnoteRef/>
      </w:r>
      <w:r w:rsidRPr="00C47801">
        <w:rPr>
          <w:rStyle w:val="FootnoteReference"/>
        </w:rPr>
        <w:t xml:space="preserve"> </w:t>
      </w:r>
      <w:r w:rsidRPr="00C47801">
        <w:rPr>
          <w:rStyle w:val="FootnoteReference"/>
        </w:rPr>
        <w:tab/>
      </w:r>
      <w:r w:rsidRPr="00C47801">
        <w:t>Ibid.</w:t>
      </w:r>
    </w:p>
  </w:footnote>
  <w:footnote w:id="115">
    <w:p w:rsidR="00AD593A" w:rsidRPr="001E1114" w:rsidRDefault="00AD593A" w:rsidP="00AD593A">
      <w:pPr>
        <w:pStyle w:val="FootnoteText"/>
        <w:tabs>
          <w:tab w:val="right" w:pos="1195"/>
          <w:tab w:val="left" w:pos="1267"/>
          <w:tab w:val="left" w:pos="1742"/>
          <w:tab w:val="left" w:pos="2218"/>
          <w:tab w:val="left" w:pos="2693"/>
        </w:tabs>
        <w:ind w:left="1267" w:right="1260" w:hanging="432"/>
        <w:rPr>
          <w:spacing w:val="0"/>
          <w:w w:val="100"/>
          <w:szCs w:val="17"/>
          <w:lang w:val="en-US"/>
        </w:rPr>
      </w:pPr>
      <w:r w:rsidRPr="00C47801">
        <w:rPr>
          <w:rStyle w:val="FootnoteReference"/>
        </w:rPr>
        <w:tab/>
      </w:r>
      <w:r w:rsidRPr="00C47801">
        <w:rPr>
          <w:rStyle w:val="FootnoteReference"/>
        </w:rPr>
        <w:footnoteRef/>
      </w:r>
      <w:r w:rsidRPr="00C47801">
        <w:rPr>
          <w:rStyle w:val="FootnoteReference"/>
        </w:rPr>
        <w:t xml:space="preserve"> </w:t>
      </w:r>
      <w:r w:rsidRPr="00C47801">
        <w:rPr>
          <w:rStyle w:val="FootnoteReference"/>
        </w:rPr>
        <w:tab/>
      </w:r>
      <w:r w:rsidRPr="00C47801">
        <w:t>Ibid.</w:t>
      </w:r>
    </w:p>
  </w:footnote>
  <w:footnote w:id="116">
    <w:p w:rsidR="00AD593A" w:rsidRPr="001E1114" w:rsidRDefault="00AD593A" w:rsidP="00AD593A">
      <w:pPr>
        <w:tabs>
          <w:tab w:val="right" w:pos="1195"/>
          <w:tab w:val="left" w:pos="1267"/>
          <w:tab w:val="left" w:pos="1742"/>
          <w:tab w:val="left" w:pos="2218"/>
          <w:tab w:val="left" w:pos="2693"/>
        </w:tabs>
        <w:autoSpaceDE w:val="0"/>
        <w:autoSpaceDN w:val="0"/>
        <w:adjustRightInd w:val="0"/>
        <w:spacing w:line="210" w:lineRule="exact"/>
        <w:ind w:left="1267" w:right="1260" w:hanging="432"/>
        <w:rPr>
          <w:spacing w:val="0"/>
          <w:w w:val="100"/>
          <w:sz w:val="17"/>
          <w:szCs w:val="17"/>
        </w:rPr>
      </w:pPr>
      <w:r w:rsidRPr="00C47801">
        <w:rPr>
          <w:rStyle w:val="FootnoteReference"/>
          <w:szCs w:val="20"/>
        </w:rPr>
        <w:tab/>
      </w:r>
      <w:r w:rsidRPr="00C47801">
        <w:rPr>
          <w:rStyle w:val="FootnoteReference"/>
          <w:sz w:val="17"/>
          <w:szCs w:val="20"/>
        </w:rPr>
        <w:footnoteRef/>
      </w:r>
      <w:r w:rsidRPr="00C47801">
        <w:rPr>
          <w:rStyle w:val="FootnoteReference"/>
          <w:szCs w:val="20"/>
        </w:rPr>
        <w:tab/>
      </w:r>
      <w:r w:rsidRPr="00C47801">
        <w:rPr>
          <w:spacing w:val="5"/>
          <w:w w:val="104"/>
          <w:sz w:val="17"/>
          <w:szCs w:val="20"/>
        </w:rPr>
        <w:t>Ibid. Необходимо отметить, что доля мужчин (9 процентов), сообщивших о пользовании платными услугами сексуального характера в последние 12 месяцев, предшествовавшие обследованию в рамках ОПЗВМТ 2011–2012 годов, практически не изменилась по сравнению с данными, полученными в ходе ОПЗВМТ 2007–2008 годов (8 процентов).</w:t>
      </w:r>
    </w:p>
  </w:footnote>
  <w:footnote w:id="117">
    <w:p w:rsidR="00AD593A" w:rsidRPr="001E1114" w:rsidRDefault="00AD593A" w:rsidP="00AD593A">
      <w:pPr>
        <w:tabs>
          <w:tab w:val="right" w:pos="1195"/>
          <w:tab w:val="left" w:pos="1267"/>
          <w:tab w:val="left" w:pos="1742"/>
          <w:tab w:val="left" w:pos="2218"/>
          <w:tab w:val="left" w:pos="2693"/>
        </w:tabs>
        <w:autoSpaceDE w:val="0"/>
        <w:autoSpaceDN w:val="0"/>
        <w:adjustRightInd w:val="0"/>
        <w:spacing w:line="210" w:lineRule="exact"/>
        <w:ind w:left="1267" w:right="1260" w:hanging="432"/>
        <w:rPr>
          <w:bCs/>
          <w:spacing w:val="0"/>
          <w:w w:val="100"/>
          <w:sz w:val="17"/>
          <w:szCs w:val="17"/>
        </w:rPr>
      </w:pPr>
      <w:r w:rsidRPr="001E1114">
        <w:rPr>
          <w:spacing w:val="0"/>
          <w:w w:val="100"/>
          <w:sz w:val="17"/>
          <w:szCs w:val="17"/>
        </w:rPr>
        <w:tab/>
      </w:r>
      <w:r w:rsidRPr="00C47801">
        <w:rPr>
          <w:rStyle w:val="FootnoteReference"/>
          <w:sz w:val="17"/>
          <w:szCs w:val="20"/>
        </w:rPr>
        <w:footnoteRef/>
      </w:r>
      <w:r w:rsidRPr="00C47801">
        <w:rPr>
          <w:rStyle w:val="FootnoteReference"/>
          <w:szCs w:val="20"/>
        </w:rPr>
        <w:tab/>
      </w:r>
      <w:r w:rsidRPr="00C47801">
        <w:rPr>
          <w:spacing w:val="5"/>
          <w:w w:val="104"/>
          <w:sz w:val="17"/>
          <w:szCs w:val="20"/>
        </w:rPr>
        <w:t>СПРСЗ III требует от сектора здравоохранения решения конкретных проблем здравоохр</w:t>
      </w:r>
      <w:r w:rsidRPr="00C47801">
        <w:rPr>
          <w:spacing w:val="5"/>
          <w:w w:val="104"/>
          <w:sz w:val="17"/>
          <w:szCs w:val="20"/>
        </w:rPr>
        <w:t>а</w:t>
      </w:r>
      <w:r w:rsidRPr="00C47801">
        <w:rPr>
          <w:spacing w:val="5"/>
          <w:w w:val="104"/>
          <w:sz w:val="17"/>
          <w:szCs w:val="20"/>
        </w:rPr>
        <w:t>нения, связанных с гендерным аспектом. К ним относятся здоровье девочек, проблемы здоровья женщин и стимулирование участия мужчин в вопросах здоровья семьи (ЦРТ 4, 5 и 6).</w:t>
      </w:r>
    </w:p>
  </w:footnote>
  <w:footnote w:id="118">
    <w:p w:rsidR="00AD593A" w:rsidRPr="001E1114" w:rsidRDefault="00AD593A" w:rsidP="00AD593A">
      <w:pPr>
        <w:pStyle w:val="FootnoteText"/>
        <w:tabs>
          <w:tab w:val="right" w:pos="1195"/>
          <w:tab w:val="left" w:pos="1267"/>
          <w:tab w:val="left" w:pos="1742"/>
          <w:tab w:val="left" w:pos="2218"/>
          <w:tab w:val="left" w:pos="2693"/>
        </w:tabs>
        <w:ind w:left="1267" w:right="1260" w:hanging="432"/>
        <w:rPr>
          <w:spacing w:val="0"/>
          <w:w w:val="100"/>
          <w:szCs w:val="17"/>
        </w:rPr>
      </w:pPr>
      <w:r w:rsidRPr="00C47801">
        <w:rPr>
          <w:rStyle w:val="FootnoteReference"/>
        </w:rPr>
        <w:tab/>
      </w:r>
      <w:r w:rsidRPr="00C47801">
        <w:rPr>
          <w:rStyle w:val="FootnoteReference"/>
        </w:rPr>
        <w:footnoteRef/>
      </w:r>
      <w:r w:rsidRPr="001E1114">
        <w:rPr>
          <w:spacing w:val="0"/>
          <w:w w:val="100"/>
          <w:szCs w:val="17"/>
        </w:rPr>
        <w:tab/>
      </w:r>
      <w:r w:rsidRPr="00C47801">
        <w:t>СПРСЗ III, ук. соч., стр. 47.</w:t>
      </w:r>
    </w:p>
  </w:footnote>
  <w:footnote w:id="119">
    <w:p w:rsidR="00AD593A" w:rsidRPr="001E1114" w:rsidRDefault="00AD593A" w:rsidP="00AD593A">
      <w:pPr>
        <w:pStyle w:val="FootnoteText"/>
        <w:tabs>
          <w:tab w:val="right" w:pos="1195"/>
          <w:tab w:val="left" w:pos="1267"/>
          <w:tab w:val="left" w:pos="1742"/>
          <w:tab w:val="left" w:pos="2218"/>
          <w:tab w:val="left" w:pos="2693"/>
        </w:tabs>
        <w:ind w:left="1267" w:right="1260" w:hanging="432"/>
        <w:rPr>
          <w:spacing w:val="0"/>
          <w:w w:val="100"/>
          <w:szCs w:val="17"/>
        </w:rPr>
      </w:pPr>
      <w:r w:rsidRPr="00C47801">
        <w:rPr>
          <w:rStyle w:val="FootnoteReference"/>
        </w:rPr>
        <w:tab/>
      </w:r>
      <w:r w:rsidRPr="00C47801">
        <w:rPr>
          <w:rStyle w:val="FootnoteReference"/>
        </w:rPr>
        <w:footnoteRef/>
      </w:r>
      <w:r w:rsidRPr="001E1114">
        <w:rPr>
          <w:spacing w:val="0"/>
          <w:w w:val="100"/>
          <w:szCs w:val="17"/>
        </w:rPr>
        <w:tab/>
      </w:r>
      <w:r w:rsidRPr="00C47801">
        <w:t>Там же, стр. 48.</w:t>
      </w:r>
    </w:p>
  </w:footnote>
  <w:footnote w:id="120">
    <w:p w:rsidR="00AD593A" w:rsidRPr="001E1114" w:rsidRDefault="00AD593A" w:rsidP="00AD593A">
      <w:pPr>
        <w:pStyle w:val="FootnoteText"/>
        <w:tabs>
          <w:tab w:val="right" w:pos="1195"/>
          <w:tab w:val="left" w:pos="1267"/>
          <w:tab w:val="left" w:pos="1742"/>
          <w:tab w:val="left" w:pos="2218"/>
          <w:tab w:val="left" w:pos="2693"/>
        </w:tabs>
        <w:ind w:left="1267" w:right="1260" w:hanging="432"/>
        <w:rPr>
          <w:spacing w:val="0"/>
          <w:w w:val="100"/>
          <w:szCs w:val="17"/>
        </w:rPr>
      </w:pPr>
      <w:r w:rsidRPr="00F7009F">
        <w:rPr>
          <w:rStyle w:val="FootnoteReference"/>
        </w:rPr>
        <w:tab/>
      </w:r>
      <w:r w:rsidRPr="00F7009F">
        <w:rPr>
          <w:rStyle w:val="FootnoteReference"/>
        </w:rPr>
        <w:footnoteRef/>
      </w:r>
      <w:r w:rsidRPr="001E1114">
        <w:rPr>
          <w:spacing w:val="0"/>
          <w:w w:val="100"/>
          <w:szCs w:val="17"/>
        </w:rPr>
        <w:tab/>
      </w:r>
      <w:r w:rsidRPr="00F7009F">
        <w:t>Там же.</w:t>
      </w:r>
    </w:p>
  </w:footnote>
  <w:footnote w:id="121">
    <w:p w:rsidR="00AD593A" w:rsidRPr="001E1114" w:rsidRDefault="00AD593A" w:rsidP="00AD593A">
      <w:pPr>
        <w:pStyle w:val="FootnoteText"/>
        <w:tabs>
          <w:tab w:val="right" w:pos="1195"/>
          <w:tab w:val="left" w:pos="1267"/>
          <w:tab w:val="left" w:pos="1742"/>
          <w:tab w:val="left" w:pos="2218"/>
          <w:tab w:val="left" w:pos="2693"/>
        </w:tabs>
        <w:ind w:left="1267" w:right="1260" w:hanging="432"/>
        <w:rPr>
          <w:spacing w:val="0"/>
          <w:w w:val="100"/>
          <w:szCs w:val="17"/>
        </w:rPr>
      </w:pPr>
      <w:r w:rsidRPr="00F7009F">
        <w:rPr>
          <w:rStyle w:val="FootnoteReference"/>
        </w:rPr>
        <w:tab/>
      </w:r>
      <w:r w:rsidRPr="00F7009F">
        <w:rPr>
          <w:rStyle w:val="FootnoteReference"/>
        </w:rPr>
        <w:footnoteRef/>
      </w:r>
      <w:r w:rsidRPr="00F7009F">
        <w:rPr>
          <w:rStyle w:val="FootnoteReference"/>
        </w:rPr>
        <w:tab/>
      </w:r>
      <w:r w:rsidRPr="00F7009F">
        <w:t>Там же.</w:t>
      </w:r>
    </w:p>
  </w:footnote>
  <w:footnote w:id="122">
    <w:p w:rsidR="00AD593A" w:rsidRPr="001E1114" w:rsidRDefault="00AD593A" w:rsidP="00AD593A">
      <w:pPr>
        <w:pStyle w:val="FootnoteText"/>
        <w:tabs>
          <w:tab w:val="right" w:pos="1195"/>
          <w:tab w:val="left" w:pos="1267"/>
          <w:tab w:val="left" w:pos="1742"/>
          <w:tab w:val="left" w:pos="2218"/>
          <w:tab w:val="left" w:pos="2693"/>
        </w:tabs>
        <w:ind w:left="1267" w:right="1260" w:hanging="432"/>
        <w:rPr>
          <w:spacing w:val="0"/>
          <w:w w:val="100"/>
          <w:szCs w:val="17"/>
        </w:rPr>
      </w:pPr>
      <w:r w:rsidRPr="00F7009F">
        <w:rPr>
          <w:rStyle w:val="FootnoteReference"/>
        </w:rPr>
        <w:tab/>
      </w:r>
      <w:r w:rsidRPr="00F7009F">
        <w:rPr>
          <w:rStyle w:val="FootnoteReference"/>
        </w:rPr>
        <w:footnoteRef/>
      </w:r>
      <w:r w:rsidRPr="00F7009F">
        <w:rPr>
          <w:rStyle w:val="FootnoteReference"/>
        </w:rPr>
        <w:tab/>
      </w:r>
      <w:r w:rsidRPr="00F7009F">
        <w:t>Там же.</w:t>
      </w:r>
    </w:p>
  </w:footnote>
  <w:footnote w:id="123">
    <w:p w:rsidR="00AD593A" w:rsidRPr="001E1114" w:rsidRDefault="00AD593A" w:rsidP="00AD593A">
      <w:pPr>
        <w:pStyle w:val="FootnoteText"/>
        <w:tabs>
          <w:tab w:val="right" w:pos="1195"/>
          <w:tab w:val="left" w:pos="1267"/>
          <w:tab w:val="left" w:pos="1742"/>
          <w:tab w:val="left" w:pos="2218"/>
          <w:tab w:val="left" w:pos="2693"/>
        </w:tabs>
        <w:ind w:left="1267" w:right="1260" w:hanging="432"/>
        <w:rPr>
          <w:spacing w:val="0"/>
          <w:w w:val="100"/>
          <w:szCs w:val="17"/>
        </w:rPr>
      </w:pPr>
      <w:r w:rsidRPr="00F7009F">
        <w:rPr>
          <w:rStyle w:val="FootnoteReference"/>
        </w:rPr>
        <w:tab/>
      </w:r>
      <w:r w:rsidRPr="00F7009F">
        <w:rPr>
          <w:rStyle w:val="FootnoteReference"/>
        </w:rPr>
        <w:footnoteRef/>
      </w:r>
      <w:r w:rsidRPr="00F7009F">
        <w:rPr>
          <w:rStyle w:val="FootnoteReference"/>
        </w:rPr>
        <w:tab/>
      </w:r>
      <w:r w:rsidRPr="00F7009F">
        <w:t>Танзанийская программа по гендерным вопросам, ЦППЖ, ВИЛДАФ, ТАЖЮ и Проект HOP.</w:t>
      </w:r>
    </w:p>
  </w:footnote>
  <w:footnote w:id="124">
    <w:p w:rsidR="00F7009F" w:rsidRDefault="00F7009F" w:rsidP="00F7009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F7009F">
        <w:t>Глава</w:t>
      </w:r>
      <w:r w:rsidRPr="00F7009F">
        <w:rPr>
          <w:lang w:val="en-US"/>
        </w:rPr>
        <w:t xml:space="preserve"> 114 </w:t>
      </w:r>
      <w:r w:rsidRPr="00F7009F">
        <w:t>в</w:t>
      </w:r>
      <w:r w:rsidRPr="00F7009F">
        <w:rPr>
          <w:lang w:val="en-US"/>
        </w:rPr>
        <w:t xml:space="preserve"> </w:t>
      </w:r>
      <w:r w:rsidRPr="00F7009F">
        <w:t>редакции</w:t>
      </w:r>
      <w:r w:rsidRPr="00F7009F">
        <w:rPr>
          <w:lang w:val="en-US"/>
        </w:rPr>
        <w:t xml:space="preserve"> 2002 </w:t>
      </w:r>
      <w:r w:rsidRPr="00F7009F">
        <w:t>года</w:t>
      </w:r>
      <w:r w:rsidRPr="00F7009F">
        <w:rPr>
          <w:lang w:val="en-US"/>
        </w:rPr>
        <w:t>.</w:t>
      </w:r>
    </w:p>
  </w:footnote>
  <w:footnote w:id="125">
    <w:p w:rsidR="00F7009F" w:rsidRDefault="00F7009F" w:rsidP="00F7009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sidRPr="00F7009F">
        <w:rPr>
          <w:lang w:val="en-US"/>
        </w:rPr>
        <w:tab/>
        <w:t>United Republic of Tanzania, "Response to Questionnaire on the Achievements of the Millennium Development Goals (MDGs)". Ministry of Community Development, Gender and Children, June 2010.</w:t>
      </w:r>
    </w:p>
  </w:footnote>
  <w:footnote w:id="126">
    <w:p w:rsidR="00F7009F" w:rsidRPr="00F7009F" w:rsidRDefault="00F7009F" w:rsidP="00F7009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ab/>
      </w:r>
      <w:r w:rsidRPr="00F7009F">
        <w:t>Закон</w:t>
      </w:r>
      <w:r w:rsidRPr="00F7009F">
        <w:rPr>
          <w:lang w:val="en-US"/>
        </w:rPr>
        <w:t xml:space="preserve"> № 12 1993 </w:t>
      </w:r>
      <w:r w:rsidRPr="00F7009F">
        <w:t>года</w:t>
      </w:r>
      <w:r w:rsidRPr="00F7009F">
        <w:rPr>
          <w:lang w:val="en-US"/>
        </w:rPr>
        <w:t>.</w:t>
      </w:r>
    </w:p>
  </w:footnote>
  <w:footnote w:id="127">
    <w:p w:rsidR="00F7009F" w:rsidRPr="00F7009F" w:rsidRDefault="00F7009F" w:rsidP="00F7009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ab/>
      </w:r>
      <w:r w:rsidRPr="00F7009F">
        <w:rPr>
          <w:lang w:val="en-US"/>
        </w:rPr>
        <w:t>Government of Zanzibar, "MoSWYWCD 2011/12 Budget Speech", p. 18-19.</w:t>
      </w:r>
    </w:p>
  </w:footnote>
  <w:footnote w:id="128">
    <w:p w:rsidR="00F7009F" w:rsidRPr="00F7009F" w:rsidRDefault="00F7009F" w:rsidP="00F7009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ab/>
      </w:r>
      <w:r w:rsidRPr="00F7009F">
        <w:rPr>
          <w:lang w:val="en-US"/>
        </w:rPr>
        <w:t>Government of Zanzibar, "Zanzibar Multi-Sectoral Annual HIV &amp; AIDS Monitoring and Evaluation Report", p.15.</w:t>
      </w:r>
    </w:p>
  </w:footnote>
  <w:footnote w:id="129">
    <w:p w:rsidR="00F7009F" w:rsidRPr="00F7009F" w:rsidRDefault="00F7009F" w:rsidP="00F7009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ab/>
      </w:r>
      <w:r w:rsidRPr="00F7009F">
        <w:rPr>
          <w:lang w:val="en-US"/>
        </w:rPr>
        <w:t>United Republic of Tanzania, "Response to Questionnaire on the Achievements of the Millennium Development Goals (MDGs)", op. cit.</w:t>
      </w:r>
    </w:p>
  </w:footnote>
  <w:footnote w:id="130">
    <w:p w:rsidR="00F7009F" w:rsidRPr="00F7009F" w:rsidRDefault="00F7009F" w:rsidP="00F7009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ab/>
      </w:r>
      <w:r w:rsidRPr="00F7009F">
        <w:t>Закон № 9 2010 года.</w:t>
      </w:r>
    </w:p>
  </w:footnote>
  <w:footnote w:id="131">
    <w:p w:rsidR="00F7009F" w:rsidRPr="00F7009F" w:rsidRDefault="00F7009F" w:rsidP="00F7009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ab/>
      </w:r>
      <w:r w:rsidRPr="00F7009F">
        <w:t>Там же, статья 4.</w:t>
      </w:r>
    </w:p>
  </w:footnote>
  <w:footnote w:id="132">
    <w:p w:rsidR="00F7009F" w:rsidRPr="00F7009F" w:rsidRDefault="00F7009F" w:rsidP="00F7009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ab/>
      </w:r>
      <w:r w:rsidRPr="00F7009F">
        <w:rPr>
          <w:lang w:val="en-US"/>
        </w:rPr>
        <w:t xml:space="preserve">United Nations High Commissioner for Refugees, </w:t>
      </w:r>
      <w:r w:rsidRPr="00F7009F">
        <w:rPr>
          <w:i/>
          <w:lang w:val="en-US"/>
        </w:rPr>
        <w:t>Fact Sheet September 2013</w:t>
      </w:r>
      <w:r w:rsidRPr="00F7009F">
        <w:rPr>
          <w:lang w:val="en-US"/>
        </w:rPr>
        <w:t xml:space="preserve"> Dar es Salaam: UNHCR Operation in Tanzania, September 2013.</w:t>
      </w:r>
    </w:p>
  </w:footnote>
  <w:footnote w:id="133">
    <w:p w:rsidR="00F7009F" w:rsidRPr="00F7009F" w:rsidRDefault="00F7009F" w:rsidP="00F7009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ab/>
      </w:r>
      <w:r w:rsidRPr="00F7009F">
        <w:rPr>
          <w:lang w:val="en-US"/>
        </w:rPr>
        <w:t xml:space="preserve">United Nations High Commissioner for Refugees, </w:t>
      </w:r>
      <w:r w:rsidRPr="00F7009F">
        <w:rPr>
          <w:i/>
          <w:lang w:val="en-US"/>
        </w:rPr>
        <w:t>Fact Sheet November 2013</w:t>
      </w:r>
      <w:r w:rsidRPr="00F7009F">
        <w:rPr>
          <w:lang w:val="en-US"/>
        </w:rPr>
        <w:t xml:space="preserve"> Dar es Salaam: UNHCR Operation in Tanzania, November 2013.</w:t>
      </w:r>
    </w:p>
  </w:footnote>
  <w:footnote w:id="134">
    <w:p w:rsidR="00F7009F" w:rsidRPr="00F7009F" w:rsidRDefault="00F7009F" w:rsidP="00F7009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rsidRPr="00F7009F">
        <w:tab/>
        <w:t>Данное обязательство было подкреплено принятием заключения по вопросу о регистрации беженцев и лиц, ищущих убежище, на пятьдесят второй сессии Исполнительного комитета (2001 год).</w:t>
      </w:r>
    </w:p>
  </w:footnote>
  <w:footnote w:id="135">
    <w:p w:rsidR="00F7009F" w:rsidRPr="00F7009F" w:rsidRDefault="00F7009F" w:rsidP="00F7009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rsidRPr="00F7009F">
        <w:tab/>
        <w:t>См.,</w:t>
      </w:r>
      <w:r w:rsidRPr="00F7009F">
        <w:rPr>
          <w:i/>
        </w:rPr>
        <w:t xml:space="preserve"> </w:t>
      </w:r>
      <w:r w:rsidRPr="00F7009F">
        <w:t>в особенности, статью 8 (2) и (4) второго проекта конституции (2013 год).</w:t>
      </w:r>
    </w:p>
  </w:footnote>
  <w:footnote w:id="136">
    <w:p w:rsidR="00F7009F" w:rsidRPr="00F7009F" w:rsidRDefault="00F7009F" w:rsidP="00F7009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ab/>
      </w:r>
      <w:r w:rsidRPr="00F7009F">
        <w:t>Там же, статьи 23 и 47.</w:t>
      </w:r>
    </w:p>
  </w:footnote>
  <w:footnote w:id="137">
    <w:p w:rsidR="00F7009F" w:rsidRPr="00F7009F" w:rsidRDefault="00F7009F" w:rsidP="00F7009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ab/>
      </w:r>
      <w:r w:rsidRPr="00F7009F">
        <w:t>Глава 92 Свода законов Занзибара.</w:t>
      </w:r>
    </w:p>
  </w:footnote>
  <w:footnote w:id="138">
    <w:p w:rsidR="00F7009F" w:rsidRPr="00F7009F" w:rsidRDefault="00F7009F" w:rsidP="00F7009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ab/>
      </w:r>
      <w:r w:rsidRPr="00F7009F">
        <w:t>Глава</w:t>
      </w:r>
      <w:r w:rsidRPr="00F7009F">
        <w:rPr>
          <w:lang w:val="en-US"/>
        </w:rPr>
        <w:t xml:space="preserve"> 21 </w:t>
      </w:r>
      <w:r w:rsidRPr="00F7009F">
        <w:t>Свода</w:t>
      </w:r>
      <w:r w:rsidRPr="00F7009F">
        <w:rPr>
          <w:lang w:val="en-US"/>
        </w:rPr>
        <w:t xml:space="preserve"> </w:t>
      </w:r>
      <w:r w:rsidRPr="00F7009F">
        <w:t>законов</w:t>
      </w:r>
      <w:r w:rsidRPr="00F7009F">
        <w:rPr>
          <w:lang w:val="en-US"/>
        </w:rPr>
        <w:t xml:space="preserve"> </w:t>
      </w:r>
      <w:r w:rsidRPr="00F7009F">
        <w:t>Занзибара</w:t>
      </w:r>
      <w:r w:rsidRPr="00F7009F">
        <w:rPr>
          <w:lang w:val="en-US"/>
        </w:rPr>
        <w:t>.</w:t>
      </w:r>
    </w:p>
  </w:footnote>
  <w:footnote w:id="139">
    <w:p w:rsidR="00F7009F" w:rsidRPr="00F7009F" w:rsidRDefault="00F7009F" w:rsidP="00F7009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ab/>
      </w:r>
      <w:r w:rsidRPr="00F7009F">
        <w:t>Ср</w:t>
      </w:r>
      <w:r w:rsidRPr="00F7009F">
        <w:rPr>
          <w:lang w:val="en-US"/>
        </w:rPr>
        <w:t>.:</w:t>
      </w:r>
      <w:r w:rsidRPr="00F7009F">
        <w:rPr>
          <w:i/>
          <w:lang w:val="en-US"/>
        </w:rPr>
        <w:t xml:space="preserve"> Elizabeth Stephen &amp; Another v AG</w:t>
      </w:r>
      <w:r w:rsidRPr="00F7009F">
        <w:rPr>
          <w:lang w:val="en-US"/>
        </w:rPr>
        <w:t xml:space="preserve"> High Court of Tanzania at Dar es Salaam, Misc. </w:t>
      </w:r>
      <w:r w:rsidRPr="00F7009F">
        <w:t>Civil Cause No. 82 of 2005 (unreported).</w:t>
      </w:r>
    </w:p>
  </w:footnote>
  <w:footnote w:id="140">
    <w:p w:rsidR="00AD593A" w:rsidRPr="001E1114" w:rsidRDefault="00AD593A" w:rsidP="00AD593A">
      <w:pPr>
        <w:pStyle w:val="FootnoteText"/>
        <w:tabs>
          <w:tab w:val="right" w:pos="1195"/>
          <w:tab w:val="left" w:pos="1267"/>
          <w:tab w:val="left" w:pos="1742"/>
          <w:tab w:val="left" w:pos="2218"/>
          <w:tab w:val="left" w:pos="2693"/>
        </w:tabs>
        <w:ind w:left="1267" w:right="1260" w:hanging="432"/>
        <w:rPr>
          <w:spacing w:val="0"/>
          <w:w w:val="100"/>
          <w:szCs w:val="17"/>
          <w:lang w:val="en-US"/>
        </w:rPr>
      </w:pPr>
      <w:r w:rsidRPr="001E1114">
        <w:rPr>
          <w:spacing w:val="0"/>
          <w:w w:val="100"/>
          <w:szCs w:val="17"/>
          <w:lang w:val="en-US"/>
        </w:rPr>
        <w:tab/>
      </w:r>
      <w:r w:rsidRPr="001E1114">
        <w:rPr>
          <w:rStyle w:val="FootnoteReference"/>
          <w:spacing w:val="0"/>
          <w:w w:val="100"/>
          <w:szCs w:val="17"/>
        </w:rPr>
        <w:footnoteRef/>
      </w:r>
      <w:r w:rsidRPr="001E1114">
        <w:rPr>
          <w:spacing w:val="0"/>
          <w:w w:val="100"/>
          <w:szCs w:val="17"/>
          <w:lang w:val="en-US"/>
        </w:rPr>
        <w:tab/>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285CD8" w:rsidTr="00285CD8">
      <w:tblPrEx>
        <w:tblCellMar>
          <w:top w:w="0" w:type="dxa"/>
          <w:bottom w:w="0" w:type="dxa"/>
        </w:tblCellMar>
      </w:tblPrEx>
      <w:trPr>
        <w:trHeight w:hRule="exact" w:val="864"/>
      </w:trPr>
      <w:tc>
        <w:tcPr>
          <w:tcW w:w="4838" w:type="dxa"/>
          <w:shd w:val="clear" w:color="auto" w:fill="auto"/>
          <w:vAlign w:val="bottom"/>
        </w:tcPr>
        <w:p w:rsidR="00285CD8" w:rsidRPr="00C504C6" w:rsidRDefault="00285CD8" w:rsidP="00285CD8">
          <w:pPr>
            <w:pStyle w:val="Header"/>
            <w:spacing w:after="80"/>
            <w:rPr>
              <w:b/>
              <w:szCs w:val="22"/>
              <w:lang w:eastAsia="en-US"/>
            </w:rPr>
          </w:pPr>
          <w:fldSimple w:instr=" DOCVARIABLE &quot;sss1&quot; \* MERGEFORMAT ">
            <w:r w:rsidR="00D60C66" w:rsidRPr="00C504C6">
              <w:rPr>
                <w:b/>
                <w:szCs w:val="22"/>
                <w:lang w:eastAsia="en-US"/>
              </w:rPr>
              <w:t>CEDAW/C/TZA/7-8</w:t>
            </w:r>
          </w:fldSimple>
        </w:p>
      </w:tc>
      <w:tc>
        <w:tcPr>
          <w:tcW w:w="5028" w:type="dxa"/>
          <w:shd w:val="clear" w:color="auto" w:fill="auto"/>
          <w:vAlign w:val="bottom"/>
        </w:tcPr>
        <w:p w:rsidR="00285CD8" w:rsidRPr="00C504C6" w:rsidRDefault="00285CD8" w:rsidP="00285CD8">
          <w:pPr>
            <w:pStyle w:val="Header"/>
            <w:rPr>
              <w:szCs w:val="22"/>
              <w:lang w:eastAsia="en-US"/>
            </w:rPr>
          </w:pPr>
        </w:p>
      </w:tc>
    </w:tr>
  </w:tbl>
  <w:p w:rsidR="00285CD8" w:rsidRPr="00285CD8" w:rsidRDefault="00285CD8" w:rsidP="00285C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285CD8" w:rsidTr="00285CD8">
      <w:tblPrEx>
        <w:tblCellMar>
          <w:top w:w="0" w:type="dxa"/>
          <w:bottom w:w="0" w:type="dxa"/>
        </w:tblCellMar>
      </w:tblPrEx>
      <w:trPr>
        <w:trHeight w:hRule="exact" w:val="864"/>
      </w:trPr>
      <w:tc>
        <w:tcPr>
          <w:tcW w:w="4838" w:type="dxa"/>
          <w:shd w:val="clear" w:color="auto" w:fill="auto"/>
          <w:vAlign w:val="bottom"/>
        </w:tcPr>
        <w:p w:rsidR="00285CD8" w:rsidRPr="00C504C6" w:rsidRDefault="00285CD8" w:rsidP="00285CD8">
          <w:pPr>
            <w:pStyle w:val="Header"/>
            <w:rPr>
              <w:szCs w:val="22"/>
              <w:lang w:eastAsia="en-US"/>
            </w:rPr>
          </w:pPr>
        </w:p>
      </w:tc>
      <w:tc>
        <w:tcPr>
          <w:tcW w:w="5028" w:type="dxa"/>
          <w:shd w:val="clear" w:color="auto" w:fill="auto"/>
          <w:vAlign w:val="bottom"/>
        </w:tcPr>
        <w:p w:rsidR="00285CD8" w:rsidRPr="00C504C6" w:rsidRDefault="00285CD8" w:rsidP="00285CD8">
          <w:pPr>
            <w:pStyle w:val="Header"/>
            <w:spacing w:after="80"/>
            <w:jc w:val="right"/>
            <w:rPr>
              <w:b/>
              <w:szCs w:val="22"/>
              <w:lang w:eastAsia="en-US"/>
            </w:rPr>
          </w:pPr>
          <w:fldSimple w:instr=" DOCVARIABLE &quot;sss1&quot; \* MERGEFORMAT ">
            <w:r w:rsidR="00D60C66" w:rsidRPr="00C504C6">
              <w:rPr>
                <w:b/>
                <w:szCs w:val="22"/>
                <w:lang w:eastAsia="en-US"/>
              </w:rPr>
              <w:t>CEDAW/C/TZA/7-8</w:t>
            </w:r>
          </w:fldSimple>
        </w:p>
      </w:tc>
    </w:tr>
  </w:tbl>
  <w:p w:rsidR="00285CD8" w:rsidRPr="00285CD8" w:rsidRDefault="00285CD8" w:rsidP="00285C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3154"/>
      <w:gridCol w:w="245"/>
      <w:gridCol w:w="1828"/>
      <w:gridCol w:w="245"/>
      <w:gridCol w:w="3140"/>
      <w:gridCol w:w="40"/>
    </w:tblGrid>
    <w:tr w:rsidR="00285CD8" w:rsidTr="00285CD8">
      <w:tblPrEx>
        <w:tblCellMar>
          <w:top w:w="0" w:type="dxa"/>
          <w:bottom w:w="0" w:type="dxa"/>
        </w:tblCellMar>
      </w:tblPrEx>
      <w:trPr>
        <w:gridAfter w:val="1"/>
        <w:wAfter w:w="40" w:type="dxa"/>
        <w:trHeight w:hRule="exact" w:val="864"/>
      </w:trPr>
      <w:tc>
        <w:tcPr>
          <w:tcW w:w="4421" w:type="dxa"/>
          <w:gridSpan w:val="2"/>
          <w:tcBorders>
            <w:bottom w:val="single" w:sz="4" w:space="0" w:color="auto"/>
          </w:tcBorders>
          <w:shd w:val="clear" w:color="auto" w:fill="auto"/>
          <w:vAlign w:val="bottom"/>
        </w:tcPr>
        <w:p w:rsidR="00285CD8" w:rsidRPr="00285CD8" w:rsidRDefault="00285CD8" w:rsidP="00285CD8">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285CD8" w:rsidRPr="00C504C6" w:rsidRDefault="00285CD8" w:rsidP="00285CD8">
          <w:pPr>
            <w:pStyle w:val="Header"/>
            <w:spacing w:after="120"/>
            <w:rPr>
              <w:szCs w:val="22"/>
              <w:lang w:eastAsia="en-US"/>
            </w:rPr>
          </w:pPr>
        </w:p>
      </w:tc>
      <w:tc>
        <w:tcPr>
          <w:tcW w:w="5213" w:type="dxa"/>
          <w:gridSpan w:val="3"/>
          <w:tcBorders>
            <w:bottom w:val="single" w:sz="4" w:space="0" w:color="auto"/>
          </w:tcBorders>
          <w:shd w:val="clear" w:color="auto" w:fill="auto"/>
          <w:vAlign w:val="bottom"/>
        </w:tcPr>
        <w:p w:rsidR="00285CD8" w:rsidRPr="00C504C6" w:rsidRDefault="00285CD8" w:rsidP="00285CD8">
          <w:pPr>
            <w:pStyle w:val="Header"/>
            <w:spacing w:after="20"/>
            <w:jc w:val="right"/>
            <w:rPr>
              <w:sz w:val="20"/>
              <w:szCs w:val="22"/>
              <w:lang w:eastAsia="en-US"/>
            </w:rPr>
          </w:pPr>
          <w:r w:rsidRPr="00C504C6">
            <w:rPr>
              <w:sz w:val="40"/>
              <w:szCs w:val="22"/>
              <w:lang w:eastAsia="en-US"/>
            </w:rPr>
            <w:t>CEDAW</w:t>
          </w:r>
          <w:r w:rsidRPr="00C504C6">
            <w:rPr>
              <w:sz w:val="20"/>
              <w:szCs w:val="22"/>
              <w:lang w:eastAsia="en-US"/>
            </w:rPr>
            <w:t>/C/TZA/7-8</w:t>
          </w:r>
        </w:p>
      </w:tc>
    </w:tr>
    <w:tr w:rsidR="00285CD8" w:rsidRPr="00D21874" w:rsidTr="00285CD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85CD8" w:rsidRPr="00C504C6" w:rsidRDefault="00285CD8" w:rsidP="00285CD8">
          <w:pPr>
            <w:pStyle w:val="Header"/>
            <w:spacing w:before="109"/>
            <w:rPr>
              <w:szCs w:val="22"/>
              <w:lang w:eastAsia="en-US"/>
            </w:rPr>
          </w:pPr>
          <w:r w:rsidRPr="00C504C6">
            <w:rPr>
              <w:szCs w:val="22"/>
              <w:lang w:eastAsia="en-US"/>
            </w:rPr>
            <w:t xml:space="preserve"> </w:t>
          </w:r>
          <w:r w:rsidRPr="00C504C6">
            <w:rPr>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285CD8" w:rsidRPr="00285CD8" w:rsidRDefault="00285CD8" w:rsidP="00285CD8">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top w:val="single" w:sz="4" w:space="0" w:color="auto"/>
            <w:bottom w:val="single" w:sz="12" w:space="0" w:color="auto"/>
          </w:tcBorders>
          <w:shd w:val="clear" w:color="auto" w:fill="auto"/>
        </w:tcPr>
        <w:p w:rsidR="00285CD8" w:rsidRPr="00C504C6" w:rsidRDefault="00285CD8" w:rsidP="00285CD8">
          <w:pPr>
            <w:pStyle w:val="Header"/>
            <w:spacing w:before="109"/>
            <w:rPr>
              <w:szCs w:val="22"/>
              <w:lang w:eastAsia="en-US"/>
            </w:rPr>
          </w:pPr>
        </w:p>
      </w:tc>
      <w:tc>
        <w:tcPr>
          <w:tcW w:w="3180" w:type="dxa"/>
          <w:gridSpan w:val="2"/>
          <w:tcBorders>
            <w:top w:val="single" w:sz="4" w:space="0" w:color="auto"/>
            <w:bottom w:val="single" w:sz="12" w:space="0" w:color="auto"/>
          </w:tcBorders>
          <w:shd w:val="clear" w:color="auto" w:fill="auto"/>
        </w:tcPr>
        <w:p w:rsidR="00285CD8" w:rsidRPr="00D21874" w:rsidRDefault="00285CD8" w:rsidP="00285CD8">
          <w:pPr>
            <w:pStyle w:val="Distribution"/>
            <w:rPr>
              <w:color w:val="000000"/>
              <w:lang w:val="en-US"/>
            </w:rPr>
          </w:pPr>
          <w:r w:rsidRPr="00D21874">
            <w:rPr>
              <w:color w:val="000000"/>
              <w:lang w:val="en-US"/>
            </w:rPr>
            <w:t>Distr.: General</w:t>
          </w:r>
        </w:p>
        <w:p w:rsidR="00285CD8" w:rsidRPr="00D21874" w:rsidRDefault="00285CD8" w:rsidP="00285CD8">
          <w:pPr>
            <w:pStyle w:val="Publication"/>
            <w:rPr>
              <w:color w:val="000000"/>
              <w:lang w:val="en-US"/>
            </w:rPr>
          </w:pPr>
          <w:r w:rsidRPr="00D21874">
            <w:rPr>
              <w:color w:val="000000"/>
              <w:lang w:val="en-US"/>
            </w:rPr>
            <w:t>3 December 2014</w:t>
          </w:r>
        </w:p>
        <w:p w:rsidR="00285CD8" w:rsidRPr="00D21874" w:rsidRDefault="00285CD8" w:rsidP="00285CD8">
          <w:pPr>
            <w:rPr>
              <w:color w:val="000000"/>
              <w:lang w:val="en-US"/>
            </w:rPr>
          </w:pPr>
          <w:r w:rsidRPr="00D21874">
            <w:rPr>
              <w:color w:val="000000"/>
              <w:lang w:val="en-US"/>
            </w:rPr>
            <w:t>Russian</w:t>
          </w:r>
        </w:p>
        <w:p w:rsidR="00285CD8" w:rsidRPr="00D21874" w:rsidRDefault="00285CD8" w:rsidP="00285CD8">
          <w:pPr>
            <w:pStyle w:val="Original"/>
            <w:rPr>
              <w:color w:val="000000"/>
              <w:lang w:val="en-US"/>
            </w:rPr>
          </w:pPr>
          <w:r w:rsidRPr="00D21874">
            <w:rPr>
              <w:color w:val="000000"/>
              <w:lang w:val="en-US"/>
            </w:rPr>
            <w:t>Original: English</w:t>
          </w:r>
        </w:p>
        <w:p w:rsidR="00285CD8" w:rsidRPr="00D21874" w:rsidRDefault="00285CD8" w:rsidP="00285CD8">
          <w:pPr>
            <w:rPr>
              <w:lang w:val="en-US"/>
            </w:rPr>
          </w:pPr>
        </w:p>
      </w:tc>
    </w:tr>
  </w:tbl>
  <w:p w:rsidR="00285CD8" w:rsidRPr="00D21874" w:rsidRDefault="00285CD8" w:rsidP="00285CD8">
    <w:pPr>
      <w:pStyle w:val="Header"/>
      <w:spacing w:line="20" w:lineRule="exact"/>
      <w:rPr>
        <w:sz w:val="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1D2D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B622ADC"/>
    <w:multiLevelType w:val="singleLevel"/>
    <w:tmpl w:val="B086A4CA"/>
    <w:lvl w:ilvl="0">
      <w:start w:val="1"/>
      <w:numFmt w:val="decimal"/>
      <w:lvlRestart w:val="0"/>
      <w:lvlText w:val="%1."/>
      <w:lvlJc w:val="left"/>
      <w:pPr>
        <w:ind w:left="0" w:firstLine="0"/>
      </w:pPr>
      <w:rPr>
        <w:spacing w:val="0"/>
        <w:w w:val="100"/>
      </w:rPr>
    </w:lvl>
  </w:abstractNum>
  <w:abstractNum w:abstractNumId="15">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6">
    <w:nsid w:val="242F56E8"/>
    <w:multiLevelType w:val="hybridMultilevel"/>
    <w:tmpl w:val="59268AF4"/>
    <w:lvl w:ilvl="0" w:tplc="529C98BE">
      <w:start w:val="1"/>
      <w:numFmt w:val="lowerLetter"/>
      <w:lvlText w:val="(%1)"/>
      <w:lvlJc w:val="left"/>
      <w:pPr>
        <w:ind w:left="1701" w:firstLine="0"/>
      </w:pPr>
      <w:rPr>
        <w:rFonts w:hint="default"/>
        <w:i w:val="0"/>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7">
    <w:nsid w:val="35762410"/>
    <w:multiLevelType w:val="hybridMultilevel"/>
    <w:tmpl w:val="E8523DFC"/>
    <w:lvl w:ilvl="0" w:tplc="6B96CCA8">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A100F886">
      <w:start w:val="1"/>
      <w:numFmt w:val="lowerLetter"/>
      <w:lvlText w:val="(%3)"/>
      <w:lvlJc w:val="left"/>
      <w:pPr>
        <w:ind w:left="1134" w:firstLine="567"/>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8E4D61"/>
    <w:multiLevelType w:val="multilevel"/>
    <w:tmpl w:val="23E2E6A8"/>
    <w:lvl w:ilvl="0">
      <w:start w:val="1"/>
      <w:numFmt w:val="upperRoman"/>
      <w:lvlText w:val="%1."/>
      <w:lvlJc w:val="left"/>
      <w:pPr>
        <w:ind w:left="1080" w:hanging="720"/>
      </w:pPr>
      <w:rPr>
        <w:rFonts w:hint="default"/>
      </w:rPr>
    </w:lvl>
    <w:lvl w:ilvl="1">
      <w:start w:val="1"/>
      <w:numFmt w:val="decimal"/>
      <w:isLgl/>
      <w:lvlText w:val="%1.%2"/>
      <w:lvlJc w:val="left"/>
      <w:pPr>
        <w:ind w:left="804" w:hanging="444"/>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13B43A1"/>
    <w:multiLevelType w:val="hybridMultilevel"/>
    <w:tmpl w:val="956E36EC"/>
    <w:lvl w:ilvl="0" w:tplc="22F0A208">
      <w:start w:val="1"/>
      <w:numFmt w:val="lowerLetter"/>
      <w:lvlText w:val="(%1)"/>
      <w:lvlJc w:val="left"/>
      <w:pPr>
        <w:ind w:left="1701"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7F117A"/>
    <w:multiLevelType w:val="hybridMultilevel"/>
    <w:tmpl w:val="34BC6564"/>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1">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D12AD8"/>
    <w:multiLevelType w:val="multilevel"/>
    <w:tmpl w:val="F0DA836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9"/>
  </w:num>
  <w:num w:numId="4">
    <w:abstractNumId w:val="4"/>
  </w:num>
  <w:num w:numId="5">
    <w:abstractNumId w:val="3"/>
  </w:num>
  <w:num w:numId="6">
    <w:abstractNumId w:val="2"/>
  </w:num>
  <w:num w:numId="7">
    <w:abstractNumId w:val="1"/>
  </w:num>
  <w:num w:numId="8">
    <w:abstractNumId w:val="22"/>
  </w:num>
  <w:num w:numId="9">
    <w:abstractNumId w:val="10"/>
  </w:num>
  <w:num w:numId="10">
    <w:abstractNumId w:val="8"/>
  </w:num>
  <w:num w:numId="11">
    <w:abstractNumId w:val="7"/>
  </w:num>
  <w:num w:numId="12">
    <w:abstractNumId w:val="6"/>
  </w:num>
  <w:num w:numId="13">
    <w:abstractNumId w:val="5"/>
  </w:num>
  <w:num w:numId="14">
    <w:abstractNumId w:val="23"/>
  </w:num>
  <w:num w:numId="15">
    <w:abstractNumId w:val="13"/>
  </w:num>
  <w:num w:numId="16">
    <w:abstractNumId w:val="12"/>
  </w:num>
  <w:num w:numId="17">
    <w:abstractNumId w:val="11"/>
  </w:num>
  <w:num w:numId="18">
    <w:abstractNumId w:val="24"/>
  </w:num>
  <w:num w:numId="19">
    <w:abstractNumId w:val="17"/>
  </w:num>
  <w:num w:numId="20">
    <w:abstractNumId w:val="19"/>
  </w:num>
  <w:num w:numId="21">
    <w:abstractNumId w:val="16"/>
  </w:num>
  <w:num w:numId="22">
    <w:abstractNumId w:val="18"/>
  </w:num>
  <w:num w:numId="23">
    <w:abstractNumId w:val="0"/>
  </w:num>
  <w:num w:numId="24">
    <w:abstractNumId w:val="1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visionView w:markup="0"/>
  <w:doNotTrackMoves/>
  <w:defaultTabStop w:val="475"/>
  <w:autoHyphenation/>
  <w:hyphenationZone w:val="220"/>
  <w:doNotHyphenateCaps/>
  <w:evenAndOddHeaders/>
  <w:drawingGridHorizontalSpacing w:val="209"/>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6070*"/>
    <w:docVar w:name="CreationDt" w:val="21/04/2015 12:15 PM"/>
    <w:docVar w:name="DocCategory" w:val="Doc"/>
    <w:docVar w:name="DocType" w:val="Final"/>
    <w:docVar w:name="DutyStation" w:val="New York"/>
    <w:docVar w:name="FooterJN" w:val="14-66070"/>
    <w:docVar w:name="jobn" w:val="14-66070 (R)"/>
    <w:docVar w:name="jobnDT" w:val="14-66070 (R)   210415"/>
    <w:docVar w:name="jobnDTDT" w:val="14-66070 (R)   210415   210415"/>
    <w:docVar w:name="JobNo" w:val="1466070R"/>
    <w:docVar w:name="JobNo2" w:val="1466445R"/>
    <w:docVar w:name="LocalDrive" w:val="False"/>
    <w:docVar w:name="OandT" w:val=" "/>
    <w:docVar w:name="PaperSize" w:val="Letter"/>
    <w:docVar w:name="sss1" w:val="CEDAW/C/TZA/7-8"/>
    <w:docVar w:name="sss2" w:val="-"/>
    <w:docVar w:name="Symbol1" w:val="CEDAW/C/TZA/7-8"/>
    <w:docVar w:name="Symbol2" w:val="-"/>
  </w:docVars>
  <w:rsids>
    <w:rsidRoot w:val="003D4F4D"/>
    <w:rsid w:val="00004615"/>
    <w:rsid w:val="00004756"/>
    <w:rsid w:val="00024A67"/>
    <w:rsid w:val="00033C1F"/>
    <w:rsid w:val="000513EF"/>
    <w:rsid w:val="0005420D"/>
    <w:rsid w:val="00055EA2"/>
    <w:rsid w:val="00067A90"/>
    <w:rsid w:val="00070C37"/>
    <w:rsid w:val="00076F88"/>
    <w:rsid w:val="0008067C"/>
    <w:rsid w:val="00092464"/>
    <w:rsid w:val="000A111E"/>
    <w:rsid w:val="000C069D"/>
    <w:rsid w:val="000C67BC"/>
    <w:rsid w:val="000E0F08"/>
    <w:rsid w:val="000E30BA"/>
    <w:rsid w:val="000E4411"/>
    <w:rsid w:val="000E5E06"/>
    <w:rsid w:val="000F1ACD"/>
    <w:rsid w:val="000F5D07"/>
    <w:rsid w:val="00105B0E"/>
    <w:rsid w:val="00113678"/>
    <w:rsid w:val="001235FD"/>
    <w:rsid w:val="001444A3"/>
    <w:rsid w:val="00153645"/>
    <w:rsid w:val="00153E8C"/>
    <w:rsid w:val="00160648"/>
    <w:rsid w:val="00161F29"/>
    <w:rsid w:val="00162E88"/>
    <w:rsid w:val="001726A4"/>
    <w:rsid w:val="00175AC4"/>
    <w:rsid w:val="00177361"/>
    <w:rsid w:val="001A39EE"/>
    <w:rsid w:val="001A4338"/>
    <w:rsid w:val="001A6777"/>
    <w:rsid w:val="001C54CE"/>
    <w:rsid w:val="001D1749"/>
    <w:rsid w:val="001E21CE"/>
    <w:rsid w:val="001E25A2"/>
    <w:rsid w:val="001E61AD"/>
    <w:rsid w:val="001E639C"/>
    <w:rsid w:val="001F6FBC"/>
    <w:rsid w:val="002078A2"/>
    <w:rsid w:val="00211A7E"/>
    <w:rsid w:val="00217A24"/>
    <w:rsid w:val="00223C57"/>
    <w:rsid w:val="00242477"/>
    <w:rsid w:val="002447C1"/>
    <w:rsid w:val="002535D8"/>
    <w:rsid w:val="00254046"/>
    <w:rsid w:val="00261386"/>
    <w:rsid w:val="00261C41"/>
    <w:rsid w:val="00264124"/>
    <w:rsid w:val="00264A43"/>
    <w:rsid w:val="002726BA"/>
    <w:rsid w:val="00277697"/>
    <w:rsid w:val="00285CD8"/>
    <w:rsid w:val="002A0BAE"/>
    <w:rsid w:val="002B6501"/>
    <w:rsid w:val="002B6E2A"/>
    <w:rsid w:val="002C66D0"/>
    <w:rsid w:val="002D396F"/>
    <w:rsid w:val="002D4606"/>
    <w:rsid w:val="002D73B5"/>
    <w:rsid w:val="002E1F79"/>
    <w:rsid w:val="002F5C45"/>
    <w:rsid w:val="002F6149"/>
    <w:rsid w:val="00326F5F"/>
    <w:rsid w:val="00333B06"/>
    <w:rsid w:val="00337D91"/>
    <w:rsid w:val="00346BFB"/>
    <w:rsid w:val="00350756"/>
    <w:rsid w:val="003542EE"/>
    <w:rsid w:val="003658B0"/>
    <w:rsid w:val="0038527A"/>
    <w:rsid w:val="0039505F"/>
    <w:rsid w:val="003A150E"/>
    <w:rsid w:val="003C2842"/>
    <w:rsid w:val="003D0825"/>
    <w:rsid w:val="003D2003"/>
    <w:rsid w:val="003D4F4D"/>
    <w:rsid w:val="003D5DA2"/>
    <w:rsid w:val="003E5193"/>
    <w:rsid w:val="003F30C7"/>
    <w:rsid w:val="00427FE5"/>
    <w:rsid w:val="00433222"/>
    <w:rsid w:val="00436A23"/>
    <w:rsid w:val="00436F13"/>
    <w:rsid w:val="004420FB"/>
    <w:rsid w:val="00445A4E"/>
    <w:rsid w:val="004504A6"/>
    <w:rsid w:val="00460D23"/>
    <w:rsid w:val="004645DD"/>
    <w:rsid w:val="004964B8"/>
    <w:rsid w:val="004A7499"/>
    <w:rsid w:val="004B1314"/>
    <w:rsid w:val="004B722C"/>
    <w:rsid w:val="004D275F"/>
    <w:rsid w:val="004D474D"/>
    <w:rsid w:val="004D656E"/>
    <w:rsid w:val="004E6443"/>
    <w:rsid w:val="00504669"/>
    <w:rsid w:val="005058E0"/>
    <w:rsid w:val="005121DC"/>
    <w:rsid w:val="00513113"/>
    <w:rsid w:val="00515869"/>
    <w:rsid w:val="005214BA"/>
    <w:rsid w:val="00522E6D"/>
    <w:rsid w:val="00524A24"/>
    <w:rsid w:val="005251C4"/>
    <w:rsid w:val="00526E12"/>
    <w:rsid w:val="00533411"/>
    <w:rsid w:val="005427EA"/>
    <w:rsid w:val="0054563F"/>
    <w:rsid w:val="005469E1"/>
    <w:rsid w:val="00552E08"/>
    <w:rsid w:val="005635F7"/>
    <w:rsid w:val="0056579C"/>
    <w:rsid w:val="00567706"/>
    <w:rsid w:val="00572298"/>
    <w:rsid w:val="005734C2"/>
    <w:rsid w:val="00574AA1"/>
    <w:rsid w:val="0057633B"/>
    <w:rsid w:val="00590EDF"/>
    <w:rsid w:val="005933CB"/>
    <w:rsid w:val="00593E2F"/>
    <w:rsid w:val="005A002C"/>
    <w:rsid w:val="005A1D01"/>
    <w:rsid w:val="005B064E"/>
    <w:rsid w:val="005B499C"/>
    <w:rsid w:val="005C0440"/>
    <w:rsid w:val="005D38B6"/>
    <w:rsid w:val="005D7642"/>
    <w:rsid w:val="005E0A46"/>
    <w:rsid w:val="005E7DCF"/>
    <w:rsid w:val="005F6E5C"/>
    <w:rsid w:val="00602F9D"/>
    <w:rsid w:val="00616B8D"/>
    <w:rsid w:val="006261A6"/>
    <w:rsid w:val="0062751F"/>
    <w:rsid w:val="0063491E"/>
    <w:rsid w:val="00634A27"/>
    <w:rsid w:val="00635AF8"/>
    <w:rsid w:val="006405B2"/>
    <w:rsid w:val="006409EF"/>
    <w:rsid w:val="00646363"/>
    <w:rsid w:val="00647668"/>
    <w:rsid w:val="00655212"/>
    <w:rsid w:val="00657EE4"/>
    <w:rsid w:val="006A1698"/>
    <w:rsid w:val="006A1D06"/>
    <w:rsid w:val="006A3F10"/>
    <w:rsid w:val="006B34CB"/>
    <w:rsid w:val="006B590B"/>
    <w:rsid w:val="006F3683"/>
    <w:rsid w:val="00700738"/>
    <w:rsid w:val="00705549"/>
    <w:rsid w:val="0071210D"/>
    <w:rsid w:val="00716BC5"/>
    <w:rsid w:val="007170E5"/>
    <w:rsid w:val="00723115"/>
    <w:rsid w:val="00724550"/>
    <w:rsid w:val="00731830"/>
    <w:rsid w:val="00736A19"/>
    <w:rsid w:val="00745258"/>
    <w:rsid w:val="00765231"/>
    <w:rsid w:val="0077374B"/>
    <w:rsid w:val="00781ACA"/>
    <w:rsid w:val="00785F8F"/>
    <w:rsid w:val="00787B44"/>
    <w:rsid w:val="00795A5A"/>
    <w:rsid w:val="00796EC3"/>
    <w:rsid w:val="007B098D"/>
    <w:rsid w:val="007B1DE5"/>
    <w:rsid w:val="007B5785"/>
    <w:rsid w:val="007B5CF3"/>
    <w:rsid w:val="007B67AE"/>
    <w:rsid w:val="007C2D5C"/>
    <w:rsid w:val="007C62D1"/>
    <w:rsid w:val="007C706F"/>
    <w:rsid w:val="007E0E39"/>
    <w:rsid w:val="007E2B60"/>
    <w:rsid w:val="007F5107"/>
    <w:rsid w:val="00803EC5"/>
    <w:rsid w:val="008042D6"/>
    <w:rsid w:val="00821CE2"/>
    <w:rsid w:val="00830FF8"/>
    <w:rsid w:val="00833A04"/>
    <w:rsid w:val="00844407"/>
    <w:rsid w:val="00851D9E"/>
    <w:rsid w:val="00853E2A"/>
    <w:rsid w:val="008541E9"/>
    <w:rsid w:val="00856EEB"/>
    <w:rsid w:val="008776BB"/>
    <w:rsid w:val="00880540"/>
    <w:rsid w:val="0088396E"/>
    <w:rsid w:val="008A1A7A"/>
    <w:rsid w:val="008B0632"/>
    <w:rsid w:val="008B08A3"/>
    <w:rsid w:val="008B4F64"/>
    <w:rsid w:val="008B53C0"/>
    <w:rsid w:val="008B5F7F"/>
    <w:rsid w:val="008B709D"/>
    <w:rsid w:val="008C2A03"/>
    <w:rsid w:val="008C6372"/>
    <w:rsid w:val="008D0CE3"/>
    <w:rsid w:val="008F12FD"/>
    <w:rsid w:val="008F13EA"/>
    <w:rsid w:val="008F24E6"/>
    <w:rsid w:val="00904F3C"/>
    <w:rsid w:val="0090623F"/>
    <w:rsid w:val="00907EDB"/>
    <w:rsid w:val="009110C5"/>
    <w:rsid w:val="00912FB5"/>
    <w:rsid w:val="00915944"/>
    <w:rsid w:val="009228D9"/>
    <w:rsid w:val="009327BF"/>
    <w:rsid w:val="00935F33"/>
    <w:rsid w:val="00946512"/>
    <w:rsid w:val="0094745A"/>
    <w:rsid w:val="00952B5F"/>
    <w:rsid w:val="00953546"/>
    <w:rsid w:val="0095649D"/>
    <w:rsid w:val="00963BDB"/>
    <w:rsid w:val="00984EE4"/>
    <w:rsid w:val="0099354F"/>
    <w:rsid w:val="009B16EA"/>
    <w:rsid w:val="009B3444"/>
    <w:rsid w:val="009B5DCD"/>
    <w:rsid w:val="009D6E3D"/>
    <w:rsid w:val="009E3270"/>
    <w:rsid w:val="009F0808"/>
    <w:rsid w:val="00A1426A"/>
    <w:rsid w:val="00A14F1D"/>
    <w:rsid w:val="00A1703F"/>
    <w:rsid w:val="00A2180A"/>
    <w:rsid w:val="00A22293"/>
    <w:rsid w:val="00A32EEE"/>
    <w:rsid w:val="00A344D5"/>
    <w:rsid w:val="00A63339"/>
    <w:rsid w:val="00A90F41"/>
    <w:rsid w:val="00A910E7"/>
    <w:rsid w:val="00A951DD"/>
    <w:rsid w:val="00A9600A"/>
    <w:rsid w:val="00A96C80"/>
    <w:rsid w:val="00AA0ABF"/>
    <w:rsid w:val="00AA27C2"/>
    <w:rsid w:val="00AD593A"/>
    <w:rsid w:val="00AD6322"/>
    <w:rsid w:val="00AD6752"/>
    <w:rsid w:val="00AD78B1"/>
    <w:rsid w:val="00AF0B91"/>
    <w:rsid w:val="00AF1A65"/>
    <w:rsid w:val="00AF3B70"/>
    <w:rsid w:val="00B17A11"/>
    <w:rsid w:val="00B2296A"/>
    <w:rsid w:val="00B2472B"/>
    <w:rsid w:val="00B2753B"/>
    <w:rsid w:val="00B33139"/>
    <w:rsid w:val="00B47DBD"/>
    <w:rsid w:val="00B5129B"/>
    <w:rsid w:val="00B56376"/>
    <w:rsid w:val="00B606B7"/>
    <w:rsid w:val="00B62C69"/>
    <w:rsid w:val="00B73201"/>
    <w:rsid w:val="00B77FC0"/>
    <w:rsid w:val="00BB052D"/>
    <w:rsid w:val="00BB1F92"/>
    <w:rsid w:val="00BB5B7F"/>
    <w:rsid w:val="00BB7E8A"/>
    <w:rsid w:val="00BC20A0"/>
    <w:rsid w:val="00BC75AA"/>
    <w:rsid w:val="00BD2F16"/>
    <w:rsid w:val="00BE2D25"/>
    <w:rsid w:val="00BE448A"/>
    <w:rsid w:val="00BE531D"/>
    <w:rsid w:val="00BF3D60"/>
    <w:rsid w:val="00BF5FCB"/>
    <w:rsid w:val="00C01B12"/>
    <w:rsid w:val="00C16B93"/>
    <w:rsid w:val="00C2210E"/>
    <w:rsid w:val="00C2524E"/>
    <w:rsid w:val="00C32802"/>
    <w:rsid w:val="00C40B0B"/>
    <w:rsid w:val="00C41B6F"/>
    <w:rsid w:val="00C47801"/>
    <w:rsid w:val="00C504C6"/>
    <w:rsid w:val="00C60105"/>
    <w:rsid w:val="00C623BF"/>
    <w:rsid w:val="00C640D1"/>
    <w:rsid w:val="00C7011D"/>
    <w:rsid w:val="00C70D59"/>
    <w:rsid w:val="00C7432F"/>
    <w:rsid w:val="00C77473"/>
    <w:rsid w:val="00C91210"/>
    <w:rsid w:val="00CA2CF3"/>
    <w:rsid w:val="00CB519E"/>
    <w:rsid w:val="00CC5B37"/>
    <w:rsid w:val="00CD2ED3"/>
    <w:rsid w:val="00CD3C62"/>
    <w:rsid w:val="00CF021B"/>
    <w:rsid w:val="00CF066B"/>
    <w:rsid w:val="00CF07BE"/>
    <w:rsid w:val="00D028FF"/>
    <w:rsid w:val="00D05963"/>
    <w:rsid w:val="00D11640"/>
    <w:rsid w:val="00D1470E"/>
    <w:rsid w:val="00D20AA4"/>
    <w:rsid w:val="00D21874"/>
    <w:rsid w:val="00D4044F"/>
    <w:rsid w:val="00D434AF"/>
    <w:rsid w:val="00D44FA6"/>
    <w:rsid w:val="00D60C66"/>
    <w:rsid w:val="00D61BB7"/>
    <w:rsid w:val="00D7165D"/>
    <w:rsid w:val="00D75705"/>
    <w:rsid w:val="00D961D6"/>
    <w:rsid w:val="00D97B17"/>
    <w:rsid w:val="00DA1A4A"/>
    <w:rsid w:val="00DA4AFE"/>
    <w:rsid w:val="00DC1E7E"/>
    <w:rsid w:val="00DC7A5F"/>
    <w:rsid w:val="00DD6A66"/>
    <w:rsid w:val="00DE0D15"/>
    <w:rsid w:val="00DF1CF0"/>
    <w:rsid w:val="00DF7388"/>
    <w:rsid w:val="00E04C73"/>
    <w:rsid w:val="00E067DE"/>
    <w:rsid w:val="00E079A3"/>
    <w:rsid w:val="00E12674"/>
    <w:rsid w:val="00E132AC"/>
    <w:rsid w:val="00E15CCC"/>
    <w:rsid w:val="00E15D7D"/>
    <w:rsid w:val="00E17234"/>
    <w:rsid w:val="00E2176A"/>
    <w:rsid w:val="00E261F5"/>
    <w:rsid w:val="00E34A5B"/>
    <w:rsid w:val="00E478DE"/>
    <w:rsid w:val="00E54D94"/>
    <w:rsid w:val="00E6111E"/>
    <w:rsid w:val="00E616D0"/>
    <w:rsid w:val="00E62CCE"/>
    <w:rsid w:val="00E64F51"/>
    <w:rsid w:val="00E65C07"/>
    <w:rsid w:val="00E8225E"/>
    <w:rsid w:val="00E90547"/>
    <w:rsid w:val="00E970B0"/>
    <w:rsid w:val="00EA1656"/>
    <w:rsid w:val="00EA1819"/>
    <w:rsid w:val="00EA255B"/>
    <w:rsid w:val="00EA499A"/>
    <w:rsid w:val="00EB646E"/>
    <w:rsid w:val="00EC6F5D"/>
    <w:rsid w:val="00EF1FBD"/>
    <w:rsid w:val="00F07DDF"/>
    <w:rsid w:val="00F16256"/>
    <w:rsid w:val="00F1729F"/>
    <w:rsid w:val="00F231E8"/>
    <w:rsid w:val="00F30632"/>
    <w:rsid w:val="00F33544"/>
    <w:rsid w:val="00F35ACF"/>
    <w:rsid w:val="00F624BD"/>
    <w:rsid w:val="00F62A5E"/>
    <w:rsid w:val="00F6634F"/>
    <w:rsid w:val="00F7009F"/>
    <w:rsid w:val="00F72CD1"/>
    <w:rsid w:val="00F74A39"/>
    <w:rsid w:val="00F8138E"/>
    <w:rsid w:val="00F85203"/>
    <w:rsid w:val="00F92173"/>
    <w:rsid w:val="00F92676"/>
    <w:rsid w:val="00F94262"/>
    <w:rsid w:val="00F979A8"/>
    <w:rsid w:val="00FA1B93"/>
    <w:rsid w:val="00FA5551"/>
    <w:rsid w:val="00FA7C7A"/>
    <w:rsid w:val="00FD213B"/>
    <w:rsid w:val="00FD3CE8"/>
    <w:rsid w:val="00FD5B91"/>
    <w:rsid w:val="00FE2684"/>
    <w:rsid w:val="00FE4D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semiHidden="0" w:uiPriority="99" w:unhideWhenUsed="0"/>
    <w:lsdException w:name="footer" w:semiHidden="0" w:uiPriority="99" w:unhideWhenUsed="0"/>
    <w:lsdException w:name="index heading" w:uiPriority="99"/>
    <w:lsdException w:name="caption" w:qFormat="1"/>
    <w:lsdException w:name="table of figures" w:uiPriority="99"/>
    <w:lsdException w:name="footnote reference" w:uiPriority="99" w:qFormat="1"/>
    <w:lsdException w:name="annotation reference" w:uiPriority="99"/>
    <w:lsdException w:name="line number" w:semiHidden="0" w:unhideWhenUsed="0"/>
    <w:lsdException w:name="endnote reference" w:uiPriority="99"/>
    <w:lsdException w:name="endnote text" w:uiPriority="99"/>
    <w:lsdException w:name="table of authorities" w:uiPriority="99"/>
    <w:lsdException w:name="macro" w:uiPriority="99"/>
    <w:lsdException w:name="toa heading" w:uiPriority="99"/>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nhideWhenUsed="0" w:qFormat="1"/>
    <w:lsdException w:name="Default Paragraph Font" w:uiPriority="1"/>
    <w:lsdException w:name="List Continue" w:semiHidden="0" w:unhideWhenUsed="0"/>
    <w:lsdException w:name="List Continue 2" w:semiHidden="0" w:unhideWhenUsed="0"/>
    <w:lsdException w:name="Subtitle" w:unhideWhenUsed="0" w:qFormat="1"/>
    <w:lsdException w:name="Body Text 3" w:uiPriority="99"/>
    <w:lsdException w:name="Strong" w:unhideWhenUsed="0" w:qFormat="1"/>
    <w:lsdException w:name="Emphasis" w:uiPriority="20" w:unhideWhenUsed="0" w:qFormat="1"/>
    <w:lsdException w:name="Document Map" w:uiPriority="99"/>
    <w:lsdException w:name="HTML Top of Form" w:uiPriority="99"/>
    <w:lsdException w:name="HTML Bottom of Form" w:uiPriority="99"/>
    <w:lsdException w:name="Normal (Web)" w:uiPriority="99"/>
    <w:lsdException w:name="HTML Cite"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qFormat="1"/>
    <w:lsdException w:name="Bibliography" w:uiPriority="37"/>
    <w:lsdException w:name="TOC Heading" w:uiPriority="39" w:qFormat="1"/>
  </w:latentStyles>
  <w:style w:type="paragraph" w:default="1" w:styleId="Normal">
    <w:name w:val="Normal"/>
    <w:unhideWhenUsed/>
    <w:qFormat/>
    <w:rsid w:val="00515869"/>
    <w:pPr>
      <w:spacing w:line="240" w:lineRule="exact"/>
    </w:pPr>
    <w:rPr>
      <w:rFonts w:ascii="Times New Roman" w:hAnsi="Times New Roman" w:cs="Times New Roman"/>
      <w:spacing w:val="4"/>
      <w:w w:val="103"/>
      <w:kern w:val="14"/>
      <w:szCs w:val="22"/>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SimSun" w:hAnsi="Arial"/>
      <w:b/>
      <w:bCs/>
      <w:sz w:val="32"/>
      <w:szCs w:val="28"/>
      <w:lang/>
    </w:rPr>
  </w:style>
  <w:style w:type="paragraph" w:styleId="Heading2">
    <w:name w:val="heading 2"/>
    <w:basedOn w:val="Normal"/>
    <w:next w:val="Normal"/>
    <w:link w:val="Heading2Char"/>
    <w:uiPriority w:val="9"/>
    <w:qFormat/>
    <w:rsid w:val="0088396E"/>
    <w:pPr>
      <w:keepNext/>
      <w:spacing w:before="240" w:after="60"/>
      <w:outlineLvl w:val="1"/>
    </w:pPr>
    <w:rPr>
      <w:rFonts w:ascii="Arial" w:eastAsia="SimSun" w:hAnsi="Arial"/>
      <w:b/>
      <w:bCs/>
      <w:i/>
      <w:sz w:val="28"/>
      <w:szCs w:val="26"/>
      <w:lang/>
    </w:rPr>
  </w:style>
  <w:style w:type="paragraph" w:styleId="Heading3">
    <w:name w:val="heading 3"/>
    <w:basedOn w:val="Normal"/>
    <w:next w:val="Normal"/>
    <w:link w:val="Heading3Char"/>
    <w:qFormat/>
    <w:rsid w:val="0071210D"/>
    <w:pPr>
      <w:keepNext/>
      <w:spacing w:before="240" w:after="60"/>
      <w:outlineLvl w:val="2"/>
    </w:pPr>
    <w:rPr>
      <w:rFonts w:ascii="Arial" w:eastAsia="SimSun" w:hAnsi="Arial"/>
      <w:b/>
      <w:bCs/>
      <w:sz w:val="26"/>
      <w:szCs w:val="20"/>
      <w:lang/>
    </w:rPr>
  </w:style>
  <w:style w:type="paragraph" w:styleId="Heading4">
    <w:name w:val="heading 4"/>
    <w:basedOn w:val="Normal"/>
    <w:next w:val="Normal"/>
    <w:link w:val="Heading4Char"/>
    <w:uiPriority w:val="9"/>
    <w:qFormat/>
    <w:rsid w:val="00AD593A"/>
    <w:pPr>
      <w:suppressAutoHyphens/>
      <w:spacing w:line="240" w:lineRule="auto"/>
      <w:outlineLvl w:val="3"/>
    </w:pPr>
    <w:rPr>
      <w:rFonts w:eastAsia="Times New Roman"/>
      <w:spacing w:val="0"/>
      <w:w w:val="100"/>
      <w:kern w:val="0"/>
      <w:szCs w:val="20"/>
      <w:lang w:val="en-GB"/>
    </w:rPr>
  </w:style>
  <w:style w:type="paragraph" w:styleId="Heading5">
    <w:name w:val="heading 5"/>
    <w:basedOn w:val="Normal"/>
    <w:next w:val="Normal"/>
    <w:link w:val="Heading5Char"/>
    <w:qFormat/>
    <w:rsid w:val="00AD593A"/>
    <w:pPr>
      <w:suppressAutoHyphens/>
      <w:spacing w:line="240" w:lineRule="auto"/>
      <w:outlineLvl w:val="4"/>
    </w:pPr>
    <w:rPr>
      <w:rFonts w:eastAsia="Times New Roman"/>
      <w:spacing w:val="0"/>
      <w:w w:val="100"/>
      <w:kern w:val="0"/>
      <w:szCs w:val="20"/>
      <w:lang w:val="en-GB"/>
    </w:rPr>
  </w:style>
  <w:style w:type="paragraph" w:styleId="Heading6">
    <w:name w:val="heading 6"/>
    <w:basedOn w:val="Normal"/>
    <w:next w:val="Normal"/>
    <w:link w:val="Heading6Char"/>
    <w:qFormat/>
    <w:rsid w:val="00AD593A"/>
    <w:pPr>
      <w:suppressAutoHyphens/>
      <w:spacing w:line="240" w:lineRule="auto"/>
      <w:outlineLvl w:val="5"/>
    </w:pPr>
    <w:rPr>
      <w:rFonts w:eastAsia="Times New Roman"/>
      <w:spacing w:val="0"/>
      <w:w w:val="100"/>
      <w:kern w:val="0"/>
      <w:szCs w:val="20"/>
      <w:lang w:val="en-GB"/>
    </w:rPr>
  </w:style>
  <w:style w:type="paragraph" w:styleId="Heading7">
    <w:name w:val="heading 7"/>
    <w:basedOn w:val="Normal"/>
    <w:next w:val="Normal"/>
    <w:link w:val="Heading7Char"/>
    <w:qFormat/>
    <w:rsid w:val="00AD593A"/>
    <w:pPr>
      <w:numPr>
        <w:ilvl w:val="6"/>
        <w:numId w:val="8"/>
      </w:numPr>
      <w:suppressAutoHyphens/>
      <w:spacing w:before="240" w:after="60"/>
      <w:outlineLvl w:val="6"/>
    </w:pPr>
    <w:rPr>
      <w:rFonts w:ascii="Calibri" w:eastAsia="Times New Roman" w:hAnsi="Calibri"/>
      <w:sz w:val="24"/>
      <w:szCs w:val="24"/>
      <w:lang w:val="en-GB"/>
    </w:rPr>
  </w:style>
  <w:style w:type="paragraph" w:styleId="Heading8">
    <w:name w:val="heading 8"/>
    <w:basedOn w:val="Normal"/>
    <w:next w:val="Normal"/>
    <w:link w:val="Heading8Char"/>
    <w:qFormat/>
    <w:rsid w:val="00AD593A"/>
    <w:pPr>
      <w:numPr>
        <w:ilvl w:val="7"/>
        <w:numId w:val="8"/>
      </w:numPr>
      <w:suppressAutoHyphens/>
      <w:spacing w:before="240" w:after="60"/>
      <w:outlineLvl w:val="7"/>
    </w:pPr>
    <w:rPr>
      <w:rFonts w:ascii="Calibri" w:eastAsia="Times New Roman" w:hAnsi="Calibri"/>
      <w:i/>
      <w:iCs/>
      <w:sz w:val="24"/>
      <w:szCs w:val="24"/>
      <w:lang w:val="en-GB"/>
    </w:rPr>
  </w:style>
  <w:style w:type="paragraph" w:styleId="Heading9">
    <w:name w:val="heading 9"/>
    <w:basedOn w:val="Normal"/>
    <w:next w:val="Normal"/>
    <w:link w:val="Heading9Char"/>
    <w:qFormat/>
    <w:rsid w:val="00AD593A"/>
    <w:pPr>
      <w:numPr>
        <w:ilvl w:val="8"/>
        <w:numId w:val="8"/>
      </w:numPr>
      <w:suppressAutoHyphens/>
      <w:spacing w:before="240" w:after="60"/>
      <w:outlineLvl w:val="8"/>
    </w:pPr>
    <w:rPr>
      <w:rFonts w:ascii="Cambria" w:eastAsia="Times New Roman" w:hAnsi="Cambria"/>
      <w:sz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rPr>
      <w:rFonts w:ascii="Times New Roman" w:hAnsi="Times New Roman"/>
      <w:spacing w:val="4"/>
      <w:w w:val="103"/>
      <w:kern w:val="14"/>
      <w:szCs w:val="22"/>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uiPriority w:val="99"/>
    <w:qFormat/>
    <w:rsid w:val="00E970B0"/>
    <w:pPr>
      <w:suppressAutoHyphens/>
      <w:spacing w:line="270" w:lineRule="exact"/>
      <w:outlineLvl w:val="0"/>
    </w:pPr>
    <w:rPr>
      <w:b/>
      <w:sz w:val="24"/>
    </w:rPr>
  </w:style>
  <w:style w:type="paragraph" w:customStyle="1" w:styleId="HCh">
    <w:name w:val="_ H _Ch"/>
    <w:basedOn w:val="H1"/>
    <w:next w:val="SingleTxt"/>
    <w:uiPriority w:val="99"/>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uiPriority w:val="99"/>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iPriority w:val="99"/>
    <w:unhideWhenUsed/>
    <w:rsid w:val="0056579C"/>
    <w:pPr>
      <w:tabs>
        <w:tab w:val="center" w:pos="4320"/>
        <w:tab w:val="right" w:pos="8640"/>
      </w:tabs>
      <w:spacing w:line="240" w:lineRule="auto"/>
    </w:pPr>
    <w:rPr>
      <w:b/>
      <w:spacing w:val="0"/>
      <w:w w:val="100"/>
      <w:kern w:val="0"/>
      <w:sz w:val="17"/>
      <w:szCs w:val="20"/>
      <w:lang/>
    </w:rPr>
  </w:style>
  <w:style w:type="character" w:customStyle="1" w:styleId="FooterChar">
    <w:name w:val="Footer Char"/>
    <w:aliases w:val="3_G Char"/>
    <w:link w:val="Footer"/>
    <w:uiPriority w:val="99"/>
    <w:rsid w:val="00BE531D"/>
    <w:rPr>
      <w:rFonts w:ascii="Times New Roman" w:hAnsi="Times New Roman"/>
      <w:b/>
      <w:sz w:val="17"/>
      <w:lang w:val="ru-RU"/>
    </w:rPr>
  </w:style>
  <w:style w:type="paragraph" w:styleId="Header">
    <w:name w:val="header"/>
    <w:aliases w:val="6_G"/>
    <w:basedOn w:val="Normal"/>
    <w:link w:val="HeaderChar"/>
    <w:uiPriority w:val="2"/>
    <w:rsid w:val="0056579C"/>
    <w:pPr>
      <w:tabs>
        <w:tab w:val="center" w:pos="4320"/>
        <w:tab w:val="right" w:pos="8640"/>
      </w:tabs>
      <w:spacing w:line="240" w:lineRule="auto"/>
    </w:pPr>
    <w:rPr>
      <w:spacing w:val="0"/>
      <w:w w:val="100"/>
      <w:kern w:val="0"/>
      <w:sz w:val="17"/>
      <w:szCs w:val="20"/>
      <w:lang/>
    </w:rPr>
  </w:style>
  <w:style w:type="character" w:customStyle="1" w:styleId="HeaderChar">
    <w:name w:val="Header Char"/>
    <w:link w:val="Header"/>
    <w:uiPriority w:val="2"/>
    <w:rsid w:val="00BE531D"/>
    <w:rPr>
      <w:rFonts w:ascii="Times New Roman" w:hAnsi="Times New Roman"/>
      <w:sz w:val="17"/>
      <w:lang w:val="ru-RU"/>
    </w:rPr>
  </w:style>
  <w:style w:type="character" w:customStyle="1" w:styleId="Heading1Char">
    <w:name w:val="Heading 1 Char"/>
    <w:aliases w:val="Table_G Char"/>
    <w:link w:val="Heading1"/>
    <w:rsid w:val="0088396E"/>
    <w:rPr>
      <w:rFonts w:ascii="Arial" w:eastAsia="SimSun" w:hAnsi="Arial" w:cs="Times New Roman"/>
      <w:b/>
      <w:bCs/>
      <w:spacing w:val="4"/>
      <w:w w:val="103"/>
      <w:kern w:val="14"/>
      <w:sz w:val="32"/>
      <w:szCs w:val="28"/>
    </w:rPr>
  </w:style>
  <w:style w:type="character" w:customStyle="1" w:styleId="Heading2Char">
    <w:name w:val="Heading 2 Char"/>
    <w:link w:val="Heading2"/>
    <w:uiPriority w:val="9"/>
    <w:rsid w:val="0088396E"/>
    <w:rPr>
      <w:rFonts w:ascii="Arial" w:eastAsia="SimSun" w:hAnsi="Arial" w:cs="Times New Roman"/>
      <w:b/>
      <w:bCs/>
      <w:i/>
      <w:spacing w:val="4"/>
      <w:w w:val="103"/>
      <w:kern w:val="14"/>
      <w:sz w:val="28"/>
      <w:szCs w:val="26"/>
    </w:rPr>
  </w:style>
  <w:style w:type="character" w:customStyle="1" w:styleId="Heading3Char">
    <w:name w:val="Heading 3 Char"/>
    <w:link w:val="Heading3"/>
    <w:rsid w:val="0071210D"/>
    <w:rPr>
      <w:rFonts w:ascii="Arial" w:eastAsia="SimSun" w:hAnsi="Arial" w:cs="Times New Roman"/>
      <w:b/>
      <w:bCs/>
      <w:spacing w:val="4"/>
      <w:w w:val="103"/>
      <w:kern w:val="14"/>
      <w:sz w:val="26"/>
    </w:rPr>
  </w:style>
  <w:style w:type="paragraph" w:styleId="ListContinue">
    <w:name w:val="List Continue"/>
    <w:basedOn w:val="Normal"/>
    <w:rsid w:val="00DA1A4A"/>
    <w:pPr>
      <w:spacing w:after="120"/>
      <w:ind w:left="360"/>
      <w:contextualSpacing/>
    </w:pPr>
  </w:style>
  <w:style w:type="paragraph" w:styleId="ListContinue2">
    <w:name w:val="List Continue 2"/>
    <w:basedOn w:val="Normal"/>
    <w:next w:val="Normal"/>
    <w:rsid w:val="00DA1A4A"/>
    <w:pPr>
      <w:numPr>
        <w:numId w:val="2"/>
      </w:numPr>
      <w:tabs>
        <w:tab w:val="left" w:pos="792"/>
      </w:tabs>
      <w:spacing w:after="120"/>
    </w:pPr>
  </w:style>
  <w:style w:type="paragraph" w:styleId="ListNumber">
    <w:name w:val="List Number"/>
    <w:basedOn w:val="H1"/>
    <w:next w:val="Normal"/>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rsid w:val="00004756"/>
    <w:pPr>
      <w:numPr>
        <w:numId w:val="5"/>
      </w:numPr>
      <w:tabs>
        <w:tab w:val="clear" w:pos="1080"/>
        <w:tab w:val="left" w:pos="922"/>
      </w:tabs>
      <w:ind w:left="922"/>
      <w:contextualSpacing/>
    </w:pPr>
  </w:style>
  <w:style w:type="paragraph" w:styleId="ListNumber4">
    <w:name w:val="List Number 4"/>
    <w:basedOn w:val="Normal"/>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uiPriority w:val="99"/>
    <w:unhideWhenUsed/>
    <w:qFormat/>
    <w:rsid w:val="00CF07BE"/>
    <w:pPr>
      <w:suppressAutoHyphens/>
      <w:spacing w:line="210" w:lineRule="exact"/>
      <w:ind w:left="475" w:hanging="475"/>
    </w:pPr>
    <w:rPr>
      <w:spacing w:val="5"/>
      <w:w w:val="104"/>
      <w:sz w:val="17"/>
      <w:szCs w:val="20"/>
      <w:lang/>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uiPriority w:val="99"/>
    <w:rsid w:val="00CF07BE"/>
    <w:rPr>
      <w:rFonts w:ascii="Times New Roman" w:hAnsi="Times New Roman"/>
      <w:spacing w:val="5"/>
      <w:w w:val="104"/>
      <w:kern w:val="14"/>
      <w:sz w:val="17"/>
      <w:szCs w:val="20"/>
      <w:lang w:val="ru-RU"/>
    </w:rPr>
  </w:style>
  <w:style w:type="character" w:styleId="FootnoteReference">
    <w:name w:val="footnote reference"/>
    <w:aliases w:val="4_G Знак,16 Point Знак,Superscript 6 Point Знак, Char Char Знак, Carattere Char1 Знак, Carattere Char Char Carattere Carattere Char Char Знак,ftref Знак, BVI fnr Car Char Char Char Char Char Char Char Char Char Char Знак,Ref Знак"/>
    <w:link w:val="4G"/>
    <w:uiPriority w:val="99"/>
    <w:unhideWhenUsed/>
    <w:qFormat/>
    <w:rsid w:val="00EC6F5D"/>
    <w:rPr>
      <w:spacing w:val="-5"/>
      <w:w w:val="130"/>
      <w:position w:val="-4"/>
      <w:vertAlign w:val="superscript"/>
    </w:rPr>
  </w:style>
  <w:style w:type="paragraph" w:styleId="EndnoteText">
    <w:name w:val="endnote text"/>
    <w:aliases w:val="2_G"/>
    <w:basedOn w:val="Normal"/>
    <w:link w:val="EndnoteTextChar"/>
    <w:uiPriority w:val="99"/>
    <w:unhideWhenUsed/>
    <w:rsid w:val="00515869"/>
    <w:pPr>
      <w:suppressAutoHyphens/>
      <w:spacing w:line="240" w:lineRule="auto"/>
    </w:pPr>
    <w:rPr>
      <w:spacing w:val="5"/>
      <w:w w:val="104"/>
      <w:szCs w:val="20"/>
      <w:lang/>
    </w:rPr>
  </w:style>
  <w:style w:type="character" w:customStyle="1" w:styleId="EndnoteTextChar">
    <w:name w:val="Endnote Text Char"/>
    <w:aliases w:val="2_G Char"/>
    <w:link w:val="EndnoteText"/>
    <w:uiPriority w:val="99"/>
    <w:rsid w:val="00515869"/>
    <w:rPr>
      <w:rFonts w:ascii="Times New Roman" w:hAnsi="Times New Roman"/>
      <w:spacing w:val="5"/>
      <w:w w:val="104"/>
      <w:kern w:val="14"/>
      <w:sz w:val="20"/>
      <w:szCs w:val="20"/>
      <w:lang w:val="ru-RU"/>
    </w:rPr>
  </w:style>
  <w:style w:type="character" w:styleId="CommentReference">
    <w:name w:val="annotation reference"/>
    <w:uiPriority w:val="99"/>
    <w:unhideWhenUsed/>
    <w:rsid w:val="00285CD8"/>
    <w:rPr>
      <w:sz w:val="16"/>
      <w:szCs w:val="16"/>
    </w:rPr>
  </w:style>
  <w:style w:type="paragraph" w:styleId="CommentText">
    <w:name w:val="annotation text"/>
    <w:basedOn w:val="Normal"/>
    <w:link w:val="CommentTextChar"/>
    <w:uiPriority w:val="99"/>
    <w:unhideWhenUsed/>
    <w:rsid w:val="00285CD8"/>
    <w:rPr>
      <w:szCs w:val="20"/>
      <w:lang/>
    </w:rPr>
  </w:style>
  <w:style w:type="character" w:customStyle="1" w:styleId="CommentTextChar">
    <w:name w:val="Comment Text Char"/>
    <w:link w:val="CommentText"/>
    <w:uiPriority w:val="99"/>
    <w:rsid w:val="00285CD8"/>
    <w:rPr>
      <w:rFonts w:ascii="Times New Roman" w:hAnsi="Times New Roman" w:cs="Times New Roman"/>
      <w:spacing w:val="4"/>
      <w:w w:val="103"/>
      <w:kern w:val="14"/>
      <w:lang w:val="ru-RU"/>
    </w:rPr>
  </w:style>
  <w:style w:type="paragraph" w:styleId="CommentSubject">
    <w:name w:val="annotation subject"/>
    <w:basedOn w:val="CommentText"/>
    <w:next w:val="CommentText"/>
    <w:link w:val="CommentSubjectChar"/>
    <w:uiPriority w:val="99"/>
    <w:unhideWhenUsed/>
    <w:rsid w:val="00285CD8"/>
    <w:rPr>
      <w:b/>
      <w:bCs/>
    </w:rPr>
  </w:style>
  <w:style w:type="character" w:customStyle="1" w:styleId="CommentSubjectChar">
    <w:name w:val="Comment Subject Char"/>
    <w:link w:val="CommentSubject"/>
    <w:uiPriority w:val="99"/>
    <w:rsid w:val="00285CD8"/>
    <w:rPr>
      <w:rFonts w:ascii="Times New Roman" w:hAnsi="Times New Roman" w:cs="Times New Roman"/>
      <w:b/>
      <w:bCs/>
      <w:spacing w:val="4"/>
      <w:w w:val="103"/>
      <w:kern w:val="14"/>
      <w:lang w:val="ru-RU"/>
    </w:rPr>
  </w:style>
  <w:style w:type="character" w:styleId="Hyperlink">
    <w:name w:val="Hyperlink"/>
    <w:rsid w:val="001F6FBC"/>
    <w:rPr>
      <w:color w:val="0000FF"/>
      <w:u w:val="none"/>
    </w:rPr>
  </w:style>
  <w:style w:type="paragraph" w:styleId="TOC1">
    <w:name w:val="toc 1"/>
    <w:basedOn w:val="Normal"/>
    <w:next w:val="Normal"/>
    <w:autoRedefine/>
    <w:uiPriority w:val="39"/>
    <w:unhideWhenUsed/>
    <w:rsid w:val="001F6FBC"/>
    <w:pPr>
      <w:tabs>
        <w:tab w:val="right" w:leader="dot" w:pos="9350"/>
      </w:tabs>
      <w:spacing w:line="276" w:lineRule="auto"/>
      <w:ind w:left="709" w:hanging="709"/>
    </w:pPr>
    <w:rPr>
      <w:rFonts w:eastAsia="Times New Roman"/>
      <w:spacing w:val="0"/>
      <w:w w:val="100"/>
      <w:kern w:val="0"/>
      <w:sz w:val="24"/>
      <w:szCs w:val="24"/>
      <w:lang w:val="en-GB"/>
    </w:rPr>
  </w:style>
  <w:style w:type="paragraph" w:styleId="TOC2">
    <w:name w:val="toc 2"/>
    <w:basedOn w:val="Normal"/>
    <w:next w:val="Normal"/>
    <w:autoRedefine/>
    <w:uiPriority w:val="39"/>
    <w:unhideWhenUsed/>
    <w:rsid w:val="001F6FBC"/>
    <w:pPr>
      <w:tabs>
        <w:tab w:val="right" w:pos="993"/>
        <w:tab w:val="left" w:pos="1276"/>
        <w:tab w:val="left" w:pos="1843"/>
        <w:tab w:val="right" w:leader="dot" w:pos="9350"/>
        <w:tab w:val="right" w:pos="9781"/>
      </w:tabs>
      <w:spacing w:after="120" w:line="240" w:lineRule="auto"/>
    </w:pPr>
    <w:rPr>
      <w:rFonts w:eastAsia="Times New Roman"/>
      <w:spacing w:val="0"/>
      <w:w w:val="100"/>
      <w:kern w:val="0"/>
      <w:sz w:val="24"/>
      <w:szCs w:val="24"/>
      <w:lang w:val="en-GB"/>
    </w:rPr>
  </w:style>
  <w:style w:type="character" w:customStyle="1" w:styleId="Heading4Char">
    <w:name w:val="Heading 4 Char"/>
    <w:link w:val="Heading4"/>
    <w:uiPriority w:val="9"/>
    <w:rsid w:val="00AD593A"/>
    <w:rPr>
      <w:rFonts w:ascii="Times New Roman" w:eastAsia="Times New Roman" w:hAnsi="Times New Roman" w:cs="Times New Roman"/>
      <w:lang w:val="en-GB"/>
    </w:rPr>
  </w:style>
  <w:style w:type="character" w:customStyle="1" w:styleId="Heading5Char">
    <w:name w:val="Heading 5 Char"/>
    <w:link w:val="Heading5"/>
    <w:rsid w:val="00AD593A"/>
    <w:rPr>
      <w:rFonts w:ascii="Times New Roman" w:eastAsia="Times New Roman" w:hAnsi="Times New Roman" w:cs="Times New Roman"/>
      <w:lang w:val="en-GB"/>
    </w:rPr>
  </w:style>
  <w:style w:type="character" w:customStyle="1" w:styleId="Heading6Char">
    <w:name w:val="Heading 6 Char"/>
    <w:link w:val="Heading6"/>
    <w:rsid w:val="00AD593A"/>
    <w:rPr>
      <w:rFonts w:ascii="Times New Roman" w:eastAsia="Times New Roman" w:hAnsi="Times New Roman" w:cs="Times New Roman"/>
      <w:lang w:val="en-GB"/>
    </w:rPr>
  </w:style>
  <w:style w:type="character" w:customStyle="1" w:styleId="Heading7Char">
    <w:name w:val="Heading 7 Char"/>
    <w:link w:val="Heading7"/>
    <w:rsid w:val="00AD593A"/>
    <w:rPr>
      <w:rFonts w:eastAsia="Times New Roman" w:cs="Times New Roman"/>
      <w:spacing w:val="4"/>
      <w:w w:val="103"/>
      <w:kern w:val="14"/>
      <w:sz w:val="24"/>
      <w:szCs w:val="24"/>
      <w:lang w:val="en-GB"/>
    </w:rPr>
  </w:style>
  <w:style w:type="character" w:customStyle="1" w:styleId="Heading8Char">
    <w:name w:val="Heading 8 Char"/>
    <w:link w:val="Heading8"/>
    <w:rsid w:val="00AD593A"/>
    <w:rPr>
      <w:rFonts w:eastAsia="Times New Roman" w:cs="Times New Roman"/>
      <w:i/>
      <w:iCs/>
      <w:spacing w:val="4"/>
      <w:w w:val="103"/>
      <w:kern w:val="14"/>
      <w:sz w:val="24"/>
      <w:szCs w:val="24"/>
      <w:lang w:val="en-GB"/>
    </w:rPr>
  </w:style>
  <w:style w:type="character" w:customStyle="1" w:styleId="Heading9Char">
    <w:name w:val="Heading 9 Char"/>
    <w:link w:val="Heading9"/>
    <w:rsid w:val="00AD593A"/>
    <w:rPr>
      <w:rFonts w:ascii="Cambria" w:eastAsia="Times New Roman" w:hAnsi="Cambria" w:cs="Times New Roman"/>
      <w:spacing w:val="4"/>
      <w:w w:val="103"/>
      <w:kern w:val="14"/>
      <w:sz w:val="22"/>
      <w:szCs w:val="22"/>
      <w:lang w:val="en-GB"/>
    </w:rPr>
  </w:style>
  <w:style w:type="paragraph" w:styleId="BalloonText">
    <w:name w:val="Balloon Text"/>
    <w:basedOn w:val="Normal"/>
    <w:link w:val="BalloonTextChar"/>
    <w:uiPriority w:val="99"/>
    <w:rsid w:val="00AD593A"/>
    <w:pPr>
      <w:suppressAutoHyphens/>
    </w:pPr>
    <w:rPr>
      <w:rFonts w:ascii="Tahoma" w:hAnsi="Tahoma"/>
      <w:sz w:val="16"/>
      <w:szCs w:val="16"/>
      <w:lang w:val="en-GB"/>
    </w:rPr>
  </w:style>
  <w:style w:type="character" w:customStyle="1" w:styleId="BalloonTextChar">
    <w:name w:val="Balloon Text Char"/>
    <w:link w:val="BalloonText"/>
    <w:uiPriority w:val="99"/>
    <w:rsid w:val="00AD593A"/>
    <w:rPr>
      <w:rFonts w:ascii="Tahoma" w:hAnsi="Tahoma" w:cs="Tahoma"/>
      <w:spacing w:val="4"/>
      <w:w w:val="103"/>
      <w:kern w:val="14"/>
      <w:sz w:val="16"/>
      <w:szCs w:val="16"/>
      <w:lang w:val="en-GB"/>
    </w:rPr>
  </w:style>
  <w:style w:type="character" w:styleId="EndnoteReference">
    <w:name w:val="endnote reference"/>
    <w:aliases w:val="1_G"/>
    <w:uiPriority w:val="99"/>
    <w:rsid w:val="00AD593A"/>
    <w:rPr>
      <w:spacing w:val="-5"/>
      <w:w w:val="130"/>
      <w:position w:val="-4"/>
      <w:vertAlign w:val="superscript"/>
    </w:rPr>
  </w:style>
  <w:style w:type="character" w:styleId="LineNumber">
    <w:name w:val="line number"/>
    <w:rsid w:val="00AD593A"/>
    <w:rPr>
      <w:sz w:val="14"/>
    </w:rPr>
  </w:style>
  <w:style w:type="paragraph" w:styleId="PlainText">
    <w:name w:val="Plain Text"/>
    <w:basedOn w:val="Normal"/>
    <w:link w:val="PlainTextChar"/>
    <w:rsid w:val="00AD593A"/>
    <w:pPr>
      <w:spacing w:line="240" w:lineRule="auto"/>
    </w:pPr>
    <w:rPr>
      <w:rFonts w:ascii="Courier New" w:eastAsia="Times New Roman" w:hAnsi="Courier New"/>
      <w:spacing w:val="0"/>
      <w:w w:val="100"/>
      <w:kern w:val="0"/>
      <w:szCs w:val="20"/>
      <w:lang w:eastAsia="en-GB"/>
    </w:rPr>
  </w:style>
  <w:style w:type="character" w:customStyle="1" w:styleId="PlainTextChar">
    <w:name w:val="Plain Text Char"/>
    <w:link w:val="PlainText"/>
    <w:rsid w:val="00AD593A"/>
    <w:rPr>
      <w:rFonts w:ascii="Courier New" w:eastAsia="Times New Roman" w:hAnsi="Courier New" w:cs="Times New Roman"/>
      <w:lang w:eastAsia="en-GB"/>
    </w:rPr>
  </w:style>
  <w:style w:type="table" w:styleId="TableGrid">
    <w:name w:val="Table Grid"/>
    <w:basedOn w:val="TableNormal"/>
    <w:rsid w:val="00AD593A"/>
    <w:pPr>
      <w:suppressAutoHyphens/>
      <w:spacing w:line="240" w:lineRule="exac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AD593A"/>
    <w:pPr>
      <w:suppressAutoHyphens/>
    </w:pPr>
    <w:rPr>
      <w:szCs w:val="20"/>
      <w:lang w:val="en-GB"/>
    </w:rPr>
  </w:style>
  <w:style w:type="paragraph" w:customStyle="1" w:styleId="ReleaseDate0">
    <w:name w:val="Release Date"/>
    <w:next w:val="Footer"/>
    <w:rsid w:val="00AD593A"/>
    <w:rPr>
      <w:rFonts w:ascii="Times New Roman" w:hAnsi="Times New Roman" w:cs="Times New Roman"/>
      <w:spacing w:val="4"/>
      <w:w w:val="103"/>
      <w:kern w:val="14"/>
      <w:lang w:val="en-GB"/>
    </w:rPr>
  </w:style>
  <w:style w:type="paragraph" w:customStyle="1" w:styleId="HMG">
    <w:name w:val="_ H __M_G"/>
    <w:basedOn w:val="Normal"/>
    <w:next w:val="Normal"/>
    <w:rsid w:val="00AD593A"/>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AD593A"/>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rsid w:val="00AD593A"/>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AD593A"/>
    <w:rPr>
      <w:rFonts w:ascii="Times New Roman" w:hAnsi="Times New Roman"/>
      <w:b/>
      <w:sz w:val="18"/>
    </w:rPr>
  </w:style>
  <w:style w:type="paragraph" w:styleId="BodyText">
    <w:name w:val="Body Text"/>
    <w:basedOn w:val="Normal"/>
    <w:next w:val="Normal"/>
    <w:link w:val="BodyTextChar"/>
    <w:rsid w:val="00AD593A"/>
    <w:pPr>
      <w:suppressAutoHyphens/>
      <w:spacing w:line="240" w:lineRule="atLeast"/>
    </w:pPr>
    <w:rPr>
      <w:rFonts w:eastAsia="Times New Roman"/>
      <w:spacing w:val="0"/>
      <w:w w:val="100"/>
      <w:kern w:val="0"/>
      <w:szCs w:val="20"/>
      <w:lang w:val="en-GB"/>
    </w:rPr>
  </w:style>
  <w:style w:type="character" w:customStyle="1" w:styleId="BodyTextChar">
    <w:name w:val="Body Text Char"/>
    <w:link w:val="BodyText"/>
    <w:rsid w:val="00AD593A"/>
    <w:rPr>
      <w:rFonts w:ascii="Times New Roman" w:eastAsia="Times New Roman" w:hAnsi="Times New Roman" w:cs="Times New Roman"/>
      <w:lang w:val="en-GB"/>
    </w:rPr>
  </w:style>
  <w:style w:type="paragraph" w:styleId="BodyTextIndent">
    <w:name w:val="Body Text Indent"/>
    <w:basedOn w:val="Normal"/>
    <w:link w:val="BodyTextIndentChar"/>
    <w:rsid w:val="00AD593A"/>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link w:val="BodyTextIndent"/>
    <w:rsid w:val="00AD593A"/>
    <w:rPr>
      <w:rFonts w:ascii="Times New Roman" w:eastAsia="Times New Roman" w:hAnsi="Times New Roman" w:cs="Times New Roman"/>
      <w:lang w:val="en-GB"/>
    </w:rPr>
  </w:style>
  <w:style w:type="paragraph" w:styleId="BlockText">
    <w:name w:val="Block Text"/>
    <w:basedOn w:val="Normal"/>
    <w:rsid w:val="00AD593A"/>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AD593A"/>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AD593A"/>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AD593A"/>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AD593A"/>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AD593A"/>
    <w:pPr>
      <w:numPr>
        <w:numId w:val="17"/>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AD593A"/>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link w:val="H1GChar"/>
    <w:rsid w:val="00AD593A"/>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AD593A"/>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AD593A"/>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AD593A"/>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rsid w:val="00AD593A"/>
    <w:pPr>
      <w:numPr>
        <w:numId w:val="14"/>
      </w:numPr>
    </w:pPr>
  </w:style>
  <w:style w:type="numbering" w:styleId="1ai">
    <w:name w:val="Outline List 1"/>
    <w:basedOn w:val="NoList"/>
    <w:rsid w:val="00AD593A"/>
    <w:pPr>
      <w:numPr>
        <w:numId w:val="15"/>
      </w:numPr>
    </w:pPr>
  </w:style>
  <w:style w:type="numbering" w:styleId="ArticleSection">
    <w:name w:val="Outline List 3"/>
    <w:basedOn w:val="NoList"/>
    <w:rsid w:val="00AD593A"/>
    <w:pPr>
      <w:numPr>
        <w:numId w:val="16"/>
      </w:numPr>
    </w:pPr>
  </w:style>
  <w:style w:type="paragraph" w:styleId="BodyText2">
    <w:name w:val="Body Text 2"/>
    <w:basedOn w:val="Normal"/>
    <w:link w:val="BodyText2Char"/>
    <w:rsid w:val="00AD593A"/>
    <w:pPr>
      <w:suppressAutoHyphens/>
      <w:spacing w:after="120" w:line="480" w:lineRule="auto"/>
    </w:pPr>
    <w:rPr>
      <w:rFonts w:eastAsia="Times New Roman"/>
      <w:spacing w:val="0"/>
      <w:w w:val="100"/>
      <w:kern w:val="0"/>
      <w:szCs w:val="20"/>
      <w:lang w:val="en-GB"/>
    </w:rPr>
  </w:style>
  <w:style w:type="character" w:customStyle="1" w:styleId="BodyText2Char">
    <w:name w:val="Body Text 2 Char"/>
    <w:link w:val="BodyText2"/>
    <w:rsid w:val="00AD593A"/>
    <w:rPr>
      <w:rFonts w:ascii="Times New Roman" w:eastAsia="Times New Roman" w:hAnsi="Times New Roman" w:cs="Times New Roman"/>
      <w:lang w:val="en-GB"/>
    </w:rPr>
  </w:style>
  <w:style w:type="paragraph" w:styleId="BodyText3">
    <w:name w:val="Body Text 3"/>
    <w:basedOn w:val="Normal"/>
    <w:link w:val="BodyText3Char"/>
    <w:uiPriority w:val="99"/>
    <w:rsid w:val="00AD593A"/>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link w:val="BodyText3"/>
    <w:uiPriority w:val="99"/>
    <w:rsid w:val="00AD593A"/>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rsid w:val="00AD593A"/>
    <w:pPr>
      <w:spacing w:after="120"/>
      <w:ind w:firstLine="210"/>
    </w:pPr>
  </w:style>
  <w:style w:type="character" w:customStyle="1" w:styleId="BodyTextFirstIndentChar">
    <w:name w:val="Body Text First Indent Char"/>
    <w:basedOn w:val="BodyTextChar"/>
    <w:link w:val="BodyTextFirstIndent"/>
    <w:rsid w:val="00AD593A"/>
  </w:style>
  <w:style w:type="paragraph" w:styleId="BodyTextFirstIndent2">
    <w:name w:val="Body Text First Indent 2"/>
    <w:basedOn w:val="BodyTextIndent"/>
    <w:link w:val="BodyTextFirstIndent2Char"/>
    <w:rsid w:val="00AD593A"/>
    <w:pPr>
      <w:ind w:firstLine="210"/>
    </w:pPr>
  </w:style>
  <w:style w:type="character" w:customStyle="1" w:styleId="BodyTextFirstIndent2Char">
    <w:name w:val="Body Text First Indent 2 Char"/>
    <w:basedOn w:val="BodyTextIndentChar"/>
    <w:link w:val="BodyTextFirstIndent2"/>
    <w:rsid w:val="00AD593A"/>
  </w:style>
  <w:style w:type="paragraph" w:styleId="BodyTextIndent2">
    <w:name w:val="Body Text Indent 2"/>
    <w:basedOn w:val="Normal"/>
    <w:link w:val="BodyTextIndent2Char"/>
    <w:rsid w:val="00AD593A"/>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link w:val="BodyTextIndent2"/>
    <w:rsid w:val="00AD593A"/>
    <w:rPr>
      <w:rFonts w:ascii="Times New Roman" w:eastAsia="Times New Roman" w:hAnsi="Times New Roman" w:cs="Times New Roman"/>
      <w:lang w:val="en-GB"/>
    </w:rPr>
  </w:style>
  <w:style w:type="paragraph" w:styleId="BodyTextIndent3">
    <w:name w:val="Body Text Indent 3"/>
    <w:basedOn w:val="Normal"/>
    <w:link w:val="BodyTextIndent3Char"/>
    <w:rsid w:val="00AD593A"/>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link w:val="BodyTextIndent3"/>
    <w:rsid w:val="00AD593A"/>
    <w:rPr>
      <w:rFonts w:ascii="Times New Roman" w:eastAsia="Times New Roman" w:hAnsi="Times New Roman" w:cs="Times New Roman"/>
      <w:sz w:val="16"/>
      <w:szCs w:val="16"/>
      <w:lang w:val="en-GB"/>
    </w:rPr>
  </w:style>
  <w:style w:type="paragraph" w:styleId="Closing">
    <w:name w:val="Closing"/>
    <w:basedOn w:val="Normal"/>
    <w:link w:val="ClosingChar"/>
    <w:rsid w:val="00AD593A"/>
    <w:pPr>
      <w:suppressAutoHyphens/>
      <w:spacing w:line="240" w:lineRule="atLeast"/>
      <w:ind w:left="4252"/>
    </w:pPr>
    <w:rPr>
      <w:rFonts w:eastAsia="Times New Roman"/>
      <w:spacing w:val="0"/>
      <w:w w:val="100"/>
      <w:kern w:val="0"/>
      <w:szCs w:val="20"/>
      <w:lang w:val="en-GB"/>
    </w:rPr>
  </w:style>
  <w:style w:type="character" w:customStyle="1" w:styleId="ClosingChar">
    <w:name w:val="Closing Char"/>
    <w:link w:val="Closing"/>
    <w:rsid w:val="00AD593A"/>
    <w:rPr>
      <w:rFonts w:ascii="Times New Roman" w:eastAsia="Times New Roman" w:hAnsi="Times New Roman" w:cs="Times New Roman"/>
      <w:lang w:val="en-GB"/>
    </w:rPr>
  </w:style>
  <w:style w:type="paragraph" w:styleId="Date">
    <w:name w:val="Date"/>
    <w:basedOn w:val="Normal"/>
    <w:next w:val="Normal"/>
    <w:link w:val="DateChar"/>
    <w:rsid w:val="00AD593A"/>
    <w:pPr>
      <w:suppressAutoHyphens/>
      <w:spacing w:line="240" w:lineRule="atLeast"/>
    </w:pPr>
    <w:rPr>
      <w:rFonts w:eastAsia="Times New Roman"/>
      <w:spacing w:val="0"/>
      <w:w w:val="100"/>
      <w:kern w:val="0"/>
      <w:szCs w:val="20"/>
      <w:lang w:val="en-GB"/>
    </w:rPr>
  </w:style>
  <w:style w:type="character" w:customStyle="1" w:styleId="DateChar">
    <w:name w:val="Date Char"/>
    <w:link w:val="Date"/>
    <w:rsid w:val="00AD593A"/>
    <w:rPr>
      <w:rFonts w:ascii="Times New Roman" w:eastAsia="Times New Roman" w:hAnsi="Times New Roman" w:cs="Times New Roman"/>
      <w:lang w:val="en-GB"/>
    </w:rPr>
  </w:style>
  <w:style w:type="paragraph" w:styleId="E-mailSignature">
    <w:name w:val="E-mail Signature"/>
    <w:basedOn w:val="Normal"/>
    <w:link w:val="E-mailSignatureChar"/>
    <w:rsid w:val="00AD593A"/>
    <w:pPr>
      <w:suppressAutoHyphens/>
      <w:spacing w:line="240" w:lineRule="atLeast"/>
    </w:pPr>
    <w:rPr>
      <w:rFonts w:eastAsia="Times New Roman"/>
      <w:spacing w:val="0"/>
      <w:w w:val="100"/>
      <w:kern w:val="0"/>
      <w:szCs w:val="20"/>
      <w:lang w:val="en-GB"/>
    </w:rPr>
  </w:style>
  <w:style w:type="character" w:customStyle="1" w:styleId="E-mailSignatureChar">
    <w:name w:val="E-mail Signature Char"/>
    <w:link w:val="E-mailSignature"/>
    <w:rsid w:val="00AD593A"/>
    <w:rPr>
      <w:rFonts w:ascii="Times New Roman" w:eastAsia="Times New Roman" w:hAnsi="Times New Roman" w:cs="Times New Roman"/>
      <w:lang w:val="en-GB"/>
    </w:rPr>
  </w:style>
  <w:style w:type="character" w:styleId="Emphasis">
    <w:name w:val="Emphasis"/>
    <w:uiPriority w:val="20"/>
    <w:qFormat/>
    <w:rsid w:val="00AD593A"/>
    <w:rPr>
      <w:i/>
      <w:iCs/>
    </w:rPr>
  </w:style>
  <w:style w:type="paragraph" w:styleId="EnvelopeReturn">
    <w:name w:val="envelope return"/>
    <w:basedOn w:val="Normal"/>
    <w:rsid w:val="00AD593A"/>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rsid w:val="00AD593A"/>
    <w:rPr>
      <w:color w:val="0000FF"/>
      <w:u w:val="none"/>
    </w:rPr>
  </w:style>
  <w:style w:type="character" w:styleId="HTMLAcronym">
    <w:name w:val="HTML Acronym"/>
    <w:rsid w:val="00AD593A"/>
  </w:style>
  <w:style w:type="paragraph" w:styleId="HTMLAddress">
    <w:name w:val="HTML Address"/>
    <w:basedOn w:val="Normal"/>
    <w:link w:val="HTMLAddressChar"/>
    <w:rsid w:val="00AD593A"/>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link w:val="HTMLAddress"/>
    <w:rsid w:val="00AD593A"/>
    <w:rPr>
      <w:rFonts w:ascii="Times New Roman" w:eastAsia="Times New Roman" w:hAnsi="Times New Roman" w:cs="Times New Roman"/>
      <w:i/>
      <w:iCs/>
      <w:lang w:val="en-GB"/>
    </w:rPr>
  </w:style>
  <w:style w:type="character" w:styleId="HTMLCite">
    <w:name w:val="HTML Cite"/>
    <w:uiPriority w:val="99"/>
    <w:rsid w:val="00AD593A"/>
    <w:rPr>
      <w:i/>
      <w:iCs/>
    </w:rPr>
  </w:style>
  <w:style w:type="character" w:styleId="HTMLCode">
    <w:name w:val="HTML Code"/>
    <w:rsid w:val="00AD593A"/>
    <w:rPr>
      <w:rFonts w:ascii="Courier New" w:hAnsi="Courier New" w:cs="Courier New"/>
      <w:sz w:val="20"/>
      <w:szCs w:val="20"/>
    </w:rPr>
  </w:style>
  <w:style w:type="character" w:styleId="HTMLDefinition">
    <w:name w:val="HTML Definition"/>
    <w:rsid w:val="00AD593A"/>
    <w:rPr>
      <w:i/>
      <w:iCs/>
    </w:rPr>
  </w:style>
  <w:style w:type="character" w:styleId="HTMLKeyboard">
    <w:name w:val="HTML Keyboard"/>
    <w:rsid w:val="00AD593A"/>
    <w:rPr>
      <w:rFonts w:ascii="Courier New" w:hAnsi="Courier New" w:cs="Courier New"/>
      <w:sz w:val="20"/>
      <w:szCs w:val="20"/>
    </w:rPr>
  </w:style>
  <w:style w:type="paragraph" w:styleId="HTMLPreformatted">
    <w:name w:val="HTML Preformatted"/>
    <w:basedOn w:val="Normal"/>
    <w:link w:val="HTMLPreformattedChar"/>
    <w:rsid w:val="00AD593A"/>
    <w:pPr>
      <w:suppressAutoHyphens/>
      <w:spacing w:line="240" w:lineRule="atLeast"/>
    </w:pPr>
    <w:rPr>
      <w:rFonts w:ascii="Courier New" w:eastAsia="Times New Roman" w:hAnsi="Courier New"/>
      <w:spacing w:val="0"/>
      <w:w w:val="100"/>
      <w:kern w:val="0"/>
      <w:szCs w:val="20"/>
      <w:lang w:val="en-GB"/>
    </w:rPr>
  </w:style>
  <w:style w:type="character" w:customStyle="1" w:styleId="HTMLPreformattedChar">
    <w:name w:val="HTML Preformatted Char"/>
    <w:link w:val="HTMLPreformatted"/>
    <w:rsid w:val="00AD593A"/>
    <w:rPr>
      <w:rFonts w:ascii="Courier New" w:eastAsia="Times New Roman" w:hAnsi="Courier New" w:cs="Courier New"/>
      <w:lang w:val="en-GB"/>
    </w:rPr>
  </w:style>
  <w:style w:type="character" w:styleId="HTMLSample">
    <w:name w:val="HTML Sample"/>
    <w:rsid w:val="00AD593A"/>
    <w:rPr>
      <w:rFonts w:ascii="Courier New" w:hAnsi="Courier New" w:cs="Courier New"/>
    </w:rPr>
  </w:style>
  <w:style w:type="character" w:styleId="HTMLTypewriter">
    <w:name w:val="HTML Typewriter"/>
    <w:rsid w:val="00AD593A"/>
    <w:rPr>
      <w:rFonts w:ascii="Courier New" w:hAnsi="Courier New" w:cs="Courier New"/>
      <w:sz w:val="20"/>
      <w:szCs w:val="20"/>
    </w:rPr>
  </w:style>
  <w:style w:type="character" w:styleId="HTMLVariable">
    <w:name w:val="HTML Variable"/>
    <w:rsid w:val="00AD593A"/>
    <w:rPr>
      <w:i/>
      <w:iCs/>
    </w:rPr>
  </w:style>
  <w:style w:type="paragraph" w:styleId="List">
    <w:name w:val="List"/>
    <w:basedOn w:val="Normal"/>
    <w:rsid w:val="00AD593A"/>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rsid w:val="00AD593A"/>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rsid w:val="00AD593A"/>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rsid w:val="00AD593A"/>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rsid w:val="00AD593A"/>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rsid w:val="00AD593A"/>
    <w:pPr>
      <w:numPr>
        <w:numId w:val="9"/>
      </w:numPr>
      <w:suppressAutoHyphens/>
      <w:spacing w:line="240" w:lineRule="atLeast"/>
    </w:pPr>
    <w:rPr>
      <w:rFonts w:eastAsia="Times New Roman"/>
      <w:spacing w:val="0"/>
      <w:w w:val="100"/>
      <w:kern w:val="0"/>
      <w:szCs w:val="20"/>
      <w:lang w:val="en-GB"/>
    </w:rPr>
  </w:style>
  <w:style w:type="paragraph" w:styleId="ListBullet2">
    <w:name w:val="List Bullet 2"/>
    <w:basedOn w:val="Normal"/>
    <w:rsid w:val="00AD593A"/>
    <w:pPr>
      <w:numPr>
        <w:numId w:val="10"/>
      </w:numPr>
      <w:suppressAutoHyphens/>
      <w:spacing w:line="240" w:lineRule="atLeast"/>
    </w:pPr>
    <w:rPr>
      <w:rFonts w:eastAsia="Times New Roman"/>
      <w:spacing w:val="0"/>
      <w:w w:val="100"/>
      <w:kern w:val="0"/>
      <w:szCs w:val="20"/>
      <w:lang w:val="en-GB"/>
    </w:rPr>
  </w:style>
  <w:style w:type="paragraph" w:styleId="ListBullet3">
    <w:name w:val="List Bullet 3"/>
    <w:basedOn w:val="Normal"/>
    <w:rsid w:val="00AD593A"/>
    <w:pPr>
      <w:numPr>
        <w:numId w:val="11"/>
      </w:numPr>
      <w:suppressAutoHyphens/>
      <w:spacing w:line="240" w:lineRule="atLeast"/>
    </w:pPr>
    <w:rPr>
      <w:rFonts w:eastAsia="Times New Roman"/>
      <w:spacing w:val="0"/>
      <w:w w:val="100"/>
      <w:kern w:val="0"/>
      <w:szCs w:val="20"/>
      <w:lang w:val="en-GB"/>
    </w:rPr>
  </w:style>
  <w:style w:type="paragraph" w:styleId="ListBullet4">
    <w:name w:val="List Bullet 4"/>
    <w:basedOn w:val="Normal"/>
    <w:rsid w:val="00AD593A"/>
    <w:pPr>
      <w:numPr>
        <w:numId w:val="12"/>
      </w:numPr>
      <w:suppressAutoHyphens/>
      <w:spacing w:line="240" w:lineRule="atLeast"/>
    </w:pPr>
    <w:rPr>
      <w:rFonts w:eastAsia="Times New Roman"/>
      <w:spacing w:val="0"/>
      <w:w w:val="100"/>
      <w:kern w:val="0"/>
      <w:szCs w:val="20"/>
      <w:lang w:val="en-GB"/>
    </w:rPr>
  </w:style>
  <w:style w:type="paragraph" w:styleId="ListBullet5">
    <w:name w:val="List Bullet 5"/>
    <w:basedOn w:val="Normal"/>
    <w:rsid w:val="00AD593A"/>
    <w:pPr>
      <w:numPr>
        <w:numId w:val="13"/>
      </w:numPr>
      <w:suppressAutoHyphens/>
      <w:spacing w:line="240" w:lineRule="atLeast"/>
    </w:pPr>
    <w:rPr>
      <w:rFonts w:eastAsia="Times New Roman"/>
      <w:spacing w:val="0"/>
      <w:w w:val="100"/>
      <w:kern w:val="0"/>
      <w:szCs w:val="20"/>
      <w:lang w:val="en-GB"/>
    </w:rPr>
  </w:style>
  <w:style w:type="paragraph" w:styleId="ListContinue3">
    <w:name w:val="List Continue 3"/>
    <w:basedOn w:val="Normal"/>
    <w:rsid w:val="00AD593A"/>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rsid w:val="00AD593A"/>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rsid w:val="00AD593A"/>
    <w:pPr>
      <w:suppressAutoHyphens/>
      <w:spacing w:after="120" w:line="240" w:lineRule="atLeast"/>
      <w:ind w:left="1415"/>
    </w:pPr>
    <w:rPr>
      <w:rFonts w:eastAsia="Times New Roman"/>
      <w:spacing w:val="0"/>
      <w:w w:val="100"/>
      <w:kern w:val="0"/>
      <w:szCs w:val="20"/>
      <w:lang w:val="en-GB"/>
    </w:rPr>
  </w:style>
  <w:style w:type="paragraph" w:styleId="MessageHeader">
    <w:name w:val="Message Header"/>
    <w:basedOn w:val="Normal"/>
    <w:link w:val="MessageHeaderChar"/>
    <w:rsid w:val="00AD593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spacing w:val="0"/>
      <w:w w:val="100"/>
      <w:kern w:val="0"/>
      <w:sz w:val="24"/>
      <w:szCs w:val="24"/>
      <w:lang w:val="en-GB"/>
    </w:rPr>
  </w:style>
  <w:style w:type="character" w:customStyle="1" w:styleId="MessageHeaderChar">
    <w:name w:val="Message Header Char"/>
    <w:link w:val="MessageHeader"/>
    <w:rsid w:val="00AD593A"/>
    <w:rPr>
      <w:rFonts w:ascii="Arial" w:eastAsia="Times New Roman" w:hAnsi="Arial"/>
      <w:sz w:val="24"/>
      <w:szCs w:val="24"/>
      <w:shd w:val="pct20" w:color="auto" w:fill="auto"/>
      <w:lang w:val="en-GB"/>
    </w:rPr>
  </w:style>
  <w:style w:type="paragraph" w:styleId="NormalWeb">
    <w:name w:val="Normal (Web)"/>
    <w:basedOn w:val="Normal"/>
    <w:uiPriority w:val="99"/>
    <w:rsid w:val="00AD593A"/>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rsid w:val="00AD593A"/>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rsid w:val="00AD593A"/>
    <w:pPr>
      <w:suppressAutoHyphens/>
      <w:spacing w:line="240" w:lineRule="atLeast"/>
    </w:pPr>
    <w:rPr>
      <w:rFonts w:eastAsia="Times New Roman"/>
      <w:spacing w:val="0"/>
      <w:w w:val="100"/>
      <w:kern w:val="0"/>
      <w:szCs w:val="20"/>
      <w:lang w:val="en-GB"/>
    </w:rPr>
  </w:style>
  <w:style w:type="character" w:customStyle="1" w:styleId="NoteHeadingChar">
    <w:name w:val="Note Heading Char"/>
    <w:link w:val="NoteHeading"/>
    <w:rsid w:val="00AD593A"/>
    <w:rPr>
      <w:rFonts w:ascii="Times New Roman" w:eastAsia="Times New Roman" w:hAnsi="Times New Roman" w:cs="Times New Roman"/>
      <w:lang w:val="en-GB"/>
    </w:rPr>
  </w:style>
  <w:style w:type="paragraph" w:styleId="Salutation">
    <w:name w:val="Salutation"/>
    <w:basedOn w:val="Normal"/>
    <w:next w:val="Normal"/>
    <w:link w:val="SalutationChar"/>
    <w:rsid w:val="00AD593A"/>
    <w:pPr>
      <w:suppressAutoHyphens/>
      <w:spacing w:line="240" w:lineRule="atLeast"/>
    </w:pPr>
    <w:rPr>
      <w:rFonts w:eastAsia="Times New Roman"/>
      <w:spacing w:val="0"/>
      <w:w w:val="100"/>
      <w:kern w:val="0"/>
      <w:szCs w:val="20"/>
      <w:lang w:val="en-GB"/>
    </w:rPr>
  </w:style>
  <w:style w:type="character" w:customStyle="1" w:styleId="SalutationChar">
    <w:name w:val="Salutation Char"/>
    <w:link w:val="Salutation"/>
    <w:rsid w:val="00AD593A"/>
    <w:rPr>
      <w:rFonts w:ascii="Times New Roman" w:eastAsia="Times New Roman" w:hAnsi="Times New Roman" w:cs="Times New Roman"/>
      <w:lang w:val="en-GB"/>
    </w:rPr>
  </w:style>
  <w:style w:type="paragraph" w:styleId="Signature">
    <w:name w:val="Signature"/>
    <w:basedOn w:val="Normal"/>
    <w:link w:val="SignatureChar"/>
    <w:rsid w:val="00AD593A"/>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link w:val="Signature"/>
    <w:rsid w:val="00AD593A"/>
    <w:rPr>
      <w:rFonts w:ascii="Times New Roman" w:eastAsia="Times New Roman" w:hAnsi="Times New Roman" w:cs="Times New Roman"/>
      <w:lang w:val="en-GB"/>
    </w:rPr>
  </w:style>
  <w:style w:type="character" w:styleId="Strong">
    <w:name w:val="Strong"/>
    <w:qFormat/>
    <w:rsid w:val="00AD593A"/>
    <w:rPr>
      <w:b/>
      <w:bCs/>
    </w:rPr>
  </w:style>
  <w:style w:type="paragraph" w:styleId="Subtitle">
    <w:name w:val="Subtitle"/>
    <w:basedOn w:val="Normal"/>
    <w:link w:val="SubtitleChar"/>
    <w:qFormat/>
    <w:rsid w:val="00AD593A"/>
    <w:pPr>
      <w:suppressAutoHyphens/>
      <w:spacing w:after="60" w:line="240" w:lineRule="atLeast"/>
      <w:jc w:val="center"/>
      <w:outlineLvl w:val="1"/>
    </w:pPr>
    <w:rPr>
      <w:rFonts w:ascii="Arial" w:eastAsia="Times New Roman" w:hAnsi="Arial"/>
      <w:spacing w:val="0"/>
      <w:w w:val="100"/>
      <w:kern w:val="0"/>
      <w:sz w:val="24"/>
      <w:szCs w:val="24"/>
      <w:lang w:val="en-GB"/>
    </w:rPr>
  </w:style>
  <w:style w:type="character" w:customStyle="1" w:styleId="SubtitleChar">
    <w:name w:val="Subtitle Char"/>
    <w:link w:val="Subtitle"/>
    <w:rsid w:val="00AD593A"/>
    <w:rPr>
      <w:rFonts w:ascii="Arial" w:eastAsia="Times New Roman" w:hAnsi="Arial"/>
      <w:sz w:val="24"/>
      <w:szCs w:val="24"/>
      <w:lang w:val="en-GB"/>
    </w:rPr>
  </w:style>
  <w:style w:type="table" w:styleId="Table3Deffects1">
    <w:name w:val="Table 3D effects 1"/>
    <w:basedOn w:val="TableNormal"/>
    <w:rsid w:val="00AD593A"/>
    <w:pPr>
      <w:suppressAutoHyphens/>
      <w:spacing w:line="240" w:lineRule="atLeast"/>
    </w:pPr>
    <w:rPr>
      <w:rFonts w:ascii="Times New Roman" w:eastAsia="Times New Roman"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593A"/>
    <w:pPr>
      <w:suppressAutoHyphens/>
      <w:spacing w:line="240" w:lineRule="atLeast"/>
    </w:pPr>
    <w:rPr>
      <w:rFonts w:ascii="Times New Roman" w:eastAsia="Times New Roman"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593A"/>
    <w:pPr>
      <w:suppressAutoHyphens/>
      <w:spacing w:line="240" w:lineRule="atLeast"/>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593A"/>
    <w:pPr>
      <w:suppressAutoHyphens/>
      <w:spacing w:line="240" w:lineRule="atLeast"/>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593A"/>
    <w:pPr>
      <w:suppressAutoHyphens/>
      <w:spacing w:line="240" w:lineRule="atLeast"/>
    </w:pPr>
    <w:rPr>
      <w:rFonts w:ascii="Times New Roman" w:eastAsia="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593A"/>
    <w:pPr>
      <w:suppressAutoHyphens/>
      <w:spacing w:line="240" w:lineRule="atLeast"/>
    </w:pPr>
    <w:rPr>
      <w:rFonts w:ascii="Times New Roman" w:eastAsia="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D593A"/>
    <w:pPr>
      <w:suppressAutoHyphens/>
      <w:spacing w:line="240" w:lineRule="atLeast"/>
    </w:pPr>
    <w:rPr>
      <w:rFonts w:ascii="Times New Roman" w:eastAsia="Times New Roman"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D593A"/>
    <w:pPr>
      <w:suppressAutoHyphens/>
      <w:spacing w:line="240" w:lineRule="atLeast"/>
    </w:pPr>
    <w:rPr>
      <w:rFonts w:ascii="Times New Roman" w:eastAsia="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D593A"/>
    <w:pPr>
      <w:suppressAutoHyphens/>
      <w:spacing w:line="240" w:lineRule="atLeast"/>
    </w:pPr>
    <w:rPr>
      <w:rFonts w:ascii="Times New Roman" w:eastAsia="Times New Roman"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D593A"/>
    <w:pPr>
      <w:suppressAutoHyphens/>
      <w:spacing w:line="240" w:lineRule="atLeast"/>
    </w:pPr>
    <w:rPr>
      <w:rFonts w:ascii="Times New Roman" w:eastAsia="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593A"/>
    <w:pPr>
      <w:suppressAutoHyphens/>
      <w:spacing w:line="240" w:lineRule="atLeast"/>
    </w:pPr>
    <w:rPr>
      <w:rFonts w:ascii="Times New Roman" w:eastAsia="Times New Roman"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D593A"/>
    <w:pPr>
      <w:suppressAutoHyphens/>
      <w:spacing w:line="240" w:lineRule="atLeast"/>
    </w:pPr>
    <w:rPr>
      <w:rFonts w:ascii="Times New Roman" w:eastAsia="Times New Roman"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D593A"/>
    <w:pPr>
      <w:suppressAutoHyphens/>
      <w:spacing w:line="240" w:lineRule="atLeast"/>
    </w:pPr>
    <w:rPr>
      <w:rFonts w:ascii="Times New Roman" w:eastAsia="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D593A"/>
    <w:pPr>
      <w:suppressAutoHyphens/>
      <w:spacing w:line="240" w:lineRule="atLeast"/>
    </w:pPr>
    <w:rPr>
      <w:rFonts w:ascii="Times New Roman" w:eastAsia="Times New Roman"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593A"/>
    <w:pPr>
      <w:suppressAutoHyphens/>
      <w:spacing w:line="240" w:lineRule="atLeast"/>
    </w:pPr>
    <w:rPr>
      <w:rFonts w:ascii="Times New Roman" w:eastAsia="Times New Roman"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593A"/>
    <w:pPr>
      <w:suppressAutoHyphens/>
      <w:spacing w:line="240" w:lineRule="atLeast"/>
    </w:pPr>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593A"/>
    <w:pPr>
      <w:suppressAutoHyphens/>
      <w:spacing w:line="240" w:lineRule="atLeast"/>
    </w:pPr>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D593A"/>
    <w:pPr>
      <w:suppressAutoHyphens/>
      <w:spacing w:line="240" w:lineRule="atLeast"/>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D593A"/>
    <w:pPr>
      <w:suppressAutoHyphens/>
      <w:spacing w:line="240" w:lineRule="atLeast"/>
    </w:pPr>
    <w:rPr>
      <w:rFonts w:ascii="Times New Roman" w:eastAsia="Times New Roman"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D593A"/>
    <w:pPr>
      <w:suppressAutoHyphens/>
      <w:spacing w:line="240" w:lineRule="atLeast"/>
    </w:pPr>
    <w:rPr>
      <w:rFonts w:ascii="Times New Roman" w:eastAsia="Times New Roman"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D593A"/>
    <w:pPr>
      <w:suppressAutoHyphens/>
      <w:spacing w:line="240" w:lineRule="atLeast"/>
    </w:pPr>
    <w:rPr>
      <w:rFonts w:ascii="Times New Roman" w:eastAsia="Times New Roman"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D593A"/>
    <w:pPr>
      <w:suppressAutoHyphens/>
      <w:spacing w:line="24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D593A"/>
    <w:pPr>
      <w:suppressAutoHyphens/>
      <w:spacing w:line="24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593A"/>
    <w:pPr>
      <w:suppressAutoHyphens/>
      <w:spacing w:line="240" w:lineRule="atLeast"/>
    </w:pPr>
    <w:rPr>
      <w:rFonts w:ascii="Times New Roman" w:eastAsia="Times New Roman"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D593A"/>
    <w:pPr>
      <w:suppressAutoHyphens/>
      <w:spacing w:line="240" w:lineRule="atLeast"/>
    </w:pPr>
    <w:rPr>
      <w:rFonts w:ascii="Times New Roman" w:eastAsia="Times New Roman"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D593A"/>
    <w:pPr>
      <w:suppressAutoHyphens/>
      <w:spacing w:line="240" w:lineRule="atLeast"/>
    </w:pPr>
    <w:rPr>
      <w:rFonts w:ascii="Times New Roman" w:eastAsia="Times New Roman"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D593A"/>
    <w:pPr>
      <w:suppressAutoHyphens/>
      <w:spacing w:line="240" w:lineRule="atLeast"/>
    </w:pPr>
    <w:rPr>
      <w:rFonts w:ascii="Times New Roman" w:eastAsia="Times New Roman"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D593A"/>
    <w:pPr>
      <w:suppressAutoHyphens/>
      <w:spacing w:line="240" w:lineRule="atLeast"/>
    </w:pPr>
    <w:rPr>
      <w:rFonts w:ascii="Times New Roman" w:eastAsia="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D593A"/>
    <w:pPr>
      <w:suppressAutoHyphens/>
      <w:spacing w:line="24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593A"/>
    <w:pPr>
      <w:suppressAutoHyphens/>
      <w:spacing w:line="240" w:lineRule="atLeast"/>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D593A"/>
    <w:pPr>
      <w:suppressAutoHyphens/>
      <w:spacing w:line="240" w:lineRule="atLeast"/>
    </w:pPr>
    <w:rPr>
      <w:rFonts w:ascii="Times New Roman" w:eastAsia="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593A"/>
    <w:pPr>
      <w:suppressAutoHyphens/>
      <w:spacing w:line="240" w:lineRule="atLeast"/>
    </w:pPr>
    <w:rPr>
      <w:rFonts w:ascii="Times New Roman" w:eastAsia="Times New Roman"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593A"/>
    <w:pPr>
      <w:suppressAutoHyphens/>
      <w:spacing w:line="240" w:lineRule="atLeast"/>
    </w:pPr>
    <w:rPr>
      <w:rFonts w:ascii="Times New Roman" w:eastAsia="Times New Roman"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D593A"/>
    <w:pPr>
      <w:suppressAutoHyphens/>
      <w:spacing w:line="240" w:lineRule="atLeast"/>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593A"/>
    <w:pPr>
      <w:suppressAutoHyphens/>
      <w:spacing w:line="240" w:lineRule="atLeast"/>
    </w:pPr>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593A"/>
    <w:pPr>
      <w:suppressAutoHyphens/>
      <w:spacing w:line="240" w:lineRule="atLeast"/>
    </w:pPr>
    <w:rPr>
      <w:rFonts w:ascii="Times New Roman" w:eastAsia="Times New Roman"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593A"/>
    <w:pPr>
      <w:suppressAutoHyphens/>
      <w:spacing w:line="240" w:lineRule="atLeast"/>
    </w:pPr>
    <w:rPr>
      <w:rFonts w:ascii="Times New Roman" w:eastAsia="Times New Roman"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593A"/>
    <w:pPr>
      <w:suppressAutoHyphens/>
      <w:spacing w:line="240" w:lineRule="atLeast"/>
    </w:pPr>
    <w:rPr>
      <w:rFonts w:ascii="Times New Roman" w:eastAsia="Times New Roman"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593A"/>
    <w:pPr>
      <w:suppressAutoHyphens/>
      <w:spacing w:line="240" w:lineRule="atLeast"/>
    </w:pPr>
    <w:rPr>
      <w:rFonts w:ascii="Times New Roman" w:eastAsia="Times New Roman"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593A"/>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D593A"/>
    <w:pPr>
      <w:suppressAutoHyphens/>
      <w:spacing w:line="240" w:lineRule="atLeast"/>
    </w:pPr>
    <w:rPr>
      <w:rFonts w:ascii="Times New Roman" w:eastAsia="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593A"/>
    <w:pPr>
      <w:suppressAutoHyphens/>
      <w:spacing w:line="240" w:lineRule="atLeast"/>
    </w:pPr>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D593A"/>
    <w:pPr>
      <w:suppressAutoHyphens/>
      <w:spacing w:line="240" w:lineRule="atLeast"/>
    </w:pPr>
    <w:rPr>
      <w:rFonts w:ascii="Times New Roman" w:eastAsia="Times New Roman"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D593A"/>
    <w:pPr>
      <w:suppressAutoHyphens/>
      <w:spacing w:before="240" w:after="60" w:line="240" w:lineRule="atLeast"/>
      <w:jc w:val="center"/>
      <w:outlineLvl w:val="0"/>
    </w:pPr>
    <w:rPr>
      <w:rFonts w:ascii="Arial" w:eastAsia="Times New Roman" w:hAnsi="Arial"/>
      <w:b/>
      <w:bCs/>
      <w:spacing w:val="0"/>
      <w:w w:val="100"/>
      <w:kern w:val="28"/>
      <w:sz w:val="32"/>
      <w:szCs w:val="32"/>
      <w:lang w:val="en-GB"/>
    </w:rPr>
  </w:style>
  <w:style w:type="character" w:customStyle="1" w:styleId="TitleChar">
    <w:name w:val="Title Char"/>
    <w:link w:val="Title"/>
    <w:rsid w:val="00AD593A"/>
    <w:rPr>
      <w:rFonts w:ascii="Arial" w:eastAsia="Times New Roman" w:hAnsi="Arial"/>
      <w:b/>
      <w:bCs/>
      <w:kern w:val="28"/>
      <w:sz w:val="32"/>
      <w:szCs w:val="32"/>
      <w:lang w:val="en-GB"/>
    </w:rPr>
  </w:style>
  <w:style w:type="paragraph" w:styleId="EnvelopeAddress">
    <w:name w:val="envelope address"/>
    <w:basedOn w:val="Normal"/>
    <w:rsid w:val="00AD593A"/>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rsid w:val="00AD593A"/>
    <w:rPr>
      <w:rFonts w:ascii="Times New Roman" w:eastAsia="Times New Roman" w:hAnsi="Times New Roman" w:cs="Times New Roman"/>
      <w:b/>
      <w:sz w:val="28"/>
      <w:lang w:val="en-GB"/>
    </w:rPr>
  </w:style>
  <w:style w:type="paragraph" w:customStyle="1" w:styleId="4G">
    <w:name w:val="4_G"/>
    <w:aliases w:val="16 Point,Superscript 6 Point, Char Char, Carattere Char1, Carattere Char Char Carattere Carattere Char Char,ftref, BVI fnr Car Char Char Char Char Char Char Char Char Char Char,Ref,de nota al pie,Carattere Char1,BVI fnr,Header Cha"/>
    <w:basedOn w:val="Normal"/>
    <w:link w:val="FootnoteReference"/>
    <w:uiPriority w:val="99"/>
    <w:rsid w:val="00AD593A"/>
    <w:pPr>
      <w:spacing w:before="240" w:after="160"/>
      <w:jc w:val="both"/>
    </w:pPr>
    <w:rPr>
      <w:rFonts w:ascii="Calibri" w:hAnsi="Calibri"/>
      <w:spacing w:val="-5"/>
      <w:w w:val="130"/>
      <w:kern w:val="0"/>
      <w:position w:val="-4"/>
      <w:szCs w:val="20"/>
      <w:vertAlign w:val="superscript"/>
      <w:lang/>
    </w:rPr>
  </w:style>
  <w:style w:type="character" w:customStyle="1" w:styleId="mw-headline">
    <w:name w:val="mw-headline"/>
    <w:rsid w:val="00AD593A"/>
  </w:style>
  <w:style w:type="paragraph" w:styleId="Caption">
    <w:name w:val="caption"/>
    <w:basedOn w:val="Normal"/>
    <w:next w:val="Normal"/>
    <w:qFormat/>
    <w:rsid w:val="00AD593A"/>
    <w:pPr>
      <w:spacing w:line="240" w:lineRule="auto"/>
    </w:pPr>
    <w:rPr>
      <w:rFonts w:eastAsia="Times New Roman"/>
      <w:b/>
      <w:bCs/>
      <w:spacing w:val="0"/>
      <w:w w:val="100"/>
      <w:kern w:val="0"/>
      <w:szCs w:val="20"/>
      <w:lang w:val="en-GB"/>
    </w:rPr>
  </w:style>
  <w:style w:type="paragraph" w:customStyle="1" w:styleId="Default">
    <w:name w:val="Default"/>
    <w:uiPriority w:val="99"/>
    <w:rsid w:val="00AD593A"/>
    <w:pPr>
      <w:autoSpaceDE w:val="0"/>
      <w:autoSpaceDN w:val="0"/>
      <w:adjustRightInd w:val="0"/>
    </w:pPr>
    <w:rPr>
      <w:rFonts w:ascii="Arial" w:eastAsia="Times New Roman" w:hAnsi="Arial"/>
      <w:color w:val="000000"/>
      <w:sz w:val="24"/>
      <w:szCs w:val="24"/>
      <w:lang w:bidi="hi-IN"/>
    </w:rPr>
  </w:style>
  <w:style w:type="character" w:customStyle="1" w:styleId="CharacterStyle2">
    <w:name w:val="Character Style 2"/>
    <w:rsid w:val="00AD593A"/>
    <w:rPr>
      <w:rFonts w:ascii="Tahoma" w:hAnsi="Tahoma" w:cs="Tahoma"/>
      <w:sz w:val="28"/>
      <w:szCs w:val="28"/>
    </w:rPr>
  </w:style>
  <w:style w:type="character" w:customStyle="1" w:styleId="FontStyle31">
    <w:name w:val="Font Style31"/>
    <w:rsid w:val="00AD593A"/>
    <w:rPr>
      <w:rFonts w:ascii="Tahoma" w:hAnsi="Tahoma" w:cs="Tahoma"/>
      <w:lang w:bidi="hi-IN"/>
    </w:rPr>
  </w:style>
  <w:style w:type="paragraph" w:styleId="TOC3">
    <w:name w:val="toc 3"/>
    <w:basedOn w:val="Normal"/>
    <w:next w:val="Normal"/>
    <w:autoRedefine/>
    <w:uiPriority w:val="39"/>
    <w:rsid w:val="00AD593A"/>
    <w:pPr>
      <w:tabs>
        <w:tab w:val="left" w:pos="1260"/>
        <w:tab w:val="right" w:leader="dot" w:pos="9061"/>
      </w:tabs>
      <w:spacing w:line="240" w:lineRule="auto"/>
      <w:jc w:val="both"/>
    </w:pPr>
    <w:rPr>
      <w:rFonts w:ascii="Book Antiqua" w:eastAsia="Times New Roman" w:hAnsi="Book Antiqua"/>
      <w:b/>
      <w:iCs/>
      <w:noProof/>
      <w:color w:val="000000"/>
      <w:spacing w:val="0"/>
      <w:w w:val="100"/>
      <w:kern w:val="0"/>
      <w:sz w:val="24"/>
      <w:szCs w:val="24"/>
      <w:lang w:val="en-GB"/>
    </w:rPr>
  </w:style>
  <w:style w:type="paragraph" w:customStyle="1" w:styleId="CharChar1CharCharCharCharCharCharCharCharCharCharCharCharChar">
    <w:name w:val="Char Char1 Char Char Char Char Char Char Char Char Char Char Char Char Char"/>
    <w:basedOn w:val="Normal"/>
    <w:rsid w:val="00AD593A"/>
    <w:pPr>
      <w:spacing w:after="160"/>
    </w:pPr>
    <w:rPr>
      <w:rFonts w:ascii="Arial" w:eastAsia="Times New Roman" w:hAnsi="Arial" w:cs="Arial"/>
      <w:spacing w:val="0"/>
      <w:w w:val="100"/>
      <w:kern w:val="0"/>
      <w:szCs w:val="20"/>
      <w:lang w:val="en-US"/>
    </w:rPr>
  </w:style>
  <w:style w:type="character" w:customStyle="1" w:styleId="FontStyle28">
    <w:name w:val="Font Style28"/>
    <w:rsid w:val="00AD593A"/>
    <w:rPr>
      <w:rFonts w:ascii="Tahoma" w:hAnsi="Tahoma" w:cs="Tahoma"/>
      <w:b/>
      <w:bCs/>
      <w:sz w:val="22"/>
      <w:szCs w:val="22"/>
      <w:lang w:bidi="hi-IN"/>
    </w:rPr>
  </w:style>
  <w:style w:type="character" w:customStyle="1" w:styleId="CommentTextChar1">
    <w:name w:val="Comment Text Char1"/>
    <w:uiPriority w:val="99"/>
    <w:rsid w:val="00AD593A"/>
    <w:rPr>
      <w:lang w:val="en-GB" w:eastAsia="en-US"/>
    </w:rPr>
  </w:style>
  <w:style w:type="paragraph" w:customStyle="1" w:styleId="TOCHeading1">
    <w:name w:val="TOC Heading1"/>
    <w:basedOn w:val="Heading1"/>
    <w:next w:val="Normal"/>
    <w:uiPriority w:val="39"/>
    <w:semiHidden/>
    <w:unhideWhenUsed/>
    <w:qFormat/>
    <w:rsid w:val="00AD593A"/>
    <w:pPr>
      <w:keepLines/>
      <w:spacing w:before="480" w:after="0" w:line="276" w:lineRule="auto"/>
      <w:outlineLvl w:val="9"/>
    </w:pPr>
    <w:rPr>
      <w:rFonts w:ascii="Cambria" w:eastAsia="Times New Roman" w:hAnsi="Cambria"/>
      <w:color w:val="365F91"/>
      <w:spacing w:val="0"/>
      <w:w w:val="100"/>
      <w:kern w:val="0"/>
      <w:sz w:val="28"/>
      <w:lang w:val="en-US"/>
    </w:rPr>
  </w:style>
  <w:style w:type="character" w:customStyle="1" w:styleId="BookTitle1">
    <w:name w:val="Book Title1"/>
    <w:uiPriority w:val="33"/>
    <w:qFormat/>
    <w:rsid w:val="00AD593A"/>
    <w:rPr>
      <w:b/>
      <w:bCs/>
      <w:smallCaps/>
      <w:spacing w:val="5"/>
    </w:rPr>
  </w:style>
  <w:style w:type="character" w:customStyle="1" w:styleId="ColorfulGrid-Accent1Char">
    <w:name w:val="Colorful Grid - Accent 1 Char"/>
    <w:link w:val="-1"/>
    <w:uiPriority w:val="29"/>
    <w:rsid w:val="00AD593A"/>
    <w:rPr>
      <w:rFonts w:ascii="Calibri" w:eastAsia="Calibri" w:hAnsi="Calibri"/>
      <w:i/>
      <w:iCs/>
      <w:color w:val="000000"/>
      <w:sz w:val="22"/>
      <w:szCs w:val="22"/>
      <w:lang w:eastAsia="en-US"/>
    </w:rPr>
  </w:style>
  <w:style w:type="table" w:customStyle="1" w:styleId="-1">
    <w:name w:val="Цветная сетка - Акцент 1"/>
    <w:basedOn w:val="TableNormal"/>
    <w:link w:val="ColorfulGrid-Accent1Char"/>
    <w:uiPriority w:val="29"/>
    <w:rsid w:val="00AD593A"/>
    <w:rPr>
      <w:i/>
      <w:iCs/>
      <w:color w:val="000000"/>
      <w:sz w:val="22"/>
      <w:szCs w:val="22"/>
      <w:lang/>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a">
    <w:name w:val="Рецензия"/>
    <w:hidden/>
    <w:uiPriority w:val="99"/>
    <w:semiHidden/>
    <w:rsid w:val="00AD593A"/>
    <w:rPr>
      <w:rFonts w:ascii="Times New Roman" w:hAnsi="Times New Roman" w:cs="Times New Roman"/>
      <w:spacing w:val="4"/>
      <w:w w:val="103"/>
      <w:kern w:val="14"/>
      <w:lang w:val="en-GB"/>
    </w:rPr>
  </w:style>
  <w:style w:type="character" w:customStyle="1" w:styleId="H1GChar">
    <w:name w:val="_ H_1_G Char"/>
    <w:link w:val="H1G"/>
    <w:rsid w:val="00AD593A"/>
    <w:rPr>
      <w:rFonts w:ascii="Times New Roman" w:eastAsia="Times New Roman" w:hAnsi="Times New Roman" w:cs="Times New Roman"/>
      <w:b/>
      <w:sz w:val="24"/>
      <w:lang w:val="en-GB"/>
    </w:rPr>
  </w:style>
  <w:style w:type="character" w:customStyle="1" w:styleId="apple-converted-space">
    <w:name w:val="apple-converted-space"/>
    <w:rsid w:val="00AD593A"/>
  </w:style>
  <w:style w:type="paragraph" w:customStyle="1" w:styleId="a0">
    <w:name w:val="a"/>
    <w:basedOn w:val="Normal"/>
    <w:rsid w:val="00AD593A"/>
    <w:pPr>
      <w:spacing w:before="100" w:beforeAutospacing="1" w:after="100" w:afterAutospacing="1" w:line="240" w:lineRule="auto"/>
    </w:pPr>
    <w:rPr>
      <w:rFonts w:eastAsia="Times New Roman"/>
      <w:spacing w:val="0"/>
      <w:w w:val="100"/>
      <w:kern w:val="0"/>
      <w:sz w:val="24"/>
      <w:szCs w:val="24"/>
      <w:lang w:eastAsia="ru-RU"/>
    </w:rPr>
  </w:style>
  <w:style w:type="paragraph" w:styleId="TOCHeading">
    <w:name w:val="TOC Heading"/>
    <w:basedOn w:val="Heading1"/>
    <w:next w:val="Normal"/>
    <w:uiPriority w:val="39"/>
    <w:qFormat/>
    <w:rsid w:val="00AD593A"/>
    <w:pPr>
      <w:keepLines/>
      <w:spacing w:before="480" w:after="0" w:line="276" w:lineRule="auto"/>
      <w:outlineLvl w:val="9"/>
    </w:pPr>
    <w:rPr>
      <w:rFonts w:ascii="Cambria" w:eastAsia="Times New Roman" w:hAnsi="Cambria"/>
      <w:color w:val="365F91"/>
      <w:spacing w:val="0"/>
      <w:w w:val="100"/>
      <w:kern w:val="0"/>
      <w:sz w:val="28"/>
      <w:lang w:val="en-US"/>
    </w:rPr>
  </w:style>
  <w:style w:type="character" w:styleId="BookTitle">
    <w:name w:val="Book Title"/>
    <w:uiPriority w:val="33"/>
    <w:qFormat/>
    <w:rsid w:val="00AD593A"/>
    <w:rPr>
      <w:b/>
      <w:bCs/>
      <w:smallCaps/>
      <w:spacing w:val="5"/>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CRC/C/TZA/CO/2"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RC/C/TZA/CO/2" TargetMode="External"/><Relationship Id="rId2" Type="http://schemas.openxmlformats.org/officeDocument/2006/relationships/styles" Target="styles.xml"/><Relationship Id="rId16" Type="http://schemas.openxmlformats.org/officeDocument/2006/relationships/hyperlink" Target="http://undocs.org/A/63/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A/61/299"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S/1032/2002/2003/MARA"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A/61/299" TargetMode="External"/><Relationship Id="rId2" Type="http://schemas.openxmlformats.org/officeDocument/2006/relationships/hyperlink" Target="http://undocs.org/HRI/GEN/2/Rev.6" TargetMode="External"/><Relationship Id="rId1" Type="http://schemas.openxmlformats.org/officeDocument/2006/relationships/hyperlink" Target="http://undocs.org/A/63/38" TargetMode="External"/><Relationship Id="rId5" Type="http://schemas.openxmlformats.org/officeDocument/2006/relationships/hyperlink" Target="http://undocs.org/A/61/299" TargetMode="External"/><Relationship Id="rId4" Type="http://schemas.openxmlformats.org/officeDocument/2006/relationships/hyperlink" Target="http://undocs.org/CRC/C/TZA/CO/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Pages>
  <Words>27612</Words>
  <Characters>157395</Characters>
  <Application>Microsoft Office Outlook</Application>
  <DocSecurity>4</DocSecurity>
  <Lines>1311</Lines>
  <Paragraphs>369</Paragraphs>
  <ScaleCrop>false</ScaleCrop>
  <HeadingPairs>
    <vt:vector size="2" baseType="variant">
      <vt:variant>
        <vt:lpstr>Title</vt:lpstr>
      </vt:variant>
      <vt:variant>
        <vt:i4>1</vt:i4>
      </vt:variant>
    </vt:vector>
  </HeadingPairs>
  <TitlesOfParts>
    <vt:vector size="1" baseType="lpstr">
      <vt:lpstr>Revised 27-02-14 8:37am</vt:lpstr>
    </vt:vector>
  </TitlesOfParts>
  <Company>United Nations</Company>
  <LinksUpToDate>false</LinksUpToDate>
  <CharactersWithSpaces>184638</CharactersWithSpaces>
  <SharedDoc>false</SharedDoc>
  <HLinks>
    <vt:vector size="204" baseType="variant">
      <vt:variant>
        <vt:i4>5242953</vt:i4>
      </vt:variant>
      <vt:variant>
        <vt:i4>132</vt:i4>
      </vt:variant>
      <vt:variant>
        <vt:i4>0</vt:i4>
      </vt:variant>
      <vt:variant>
        <vt:i4>5</vt:i4>
      </vt:variant>
      <vt:variant>
        <vt:lpwstr>http://undocs.org/CRC/C/TZA/CO/2</vt:lpwstr>
      </vt:variant>
      <vt:variant>
        <vt:lpwstr/>
      </vt:variant>
      <vt:variant>
        <vt:i4>5242953</vt:i4>
      </vt:variant>
      <vt:variant>
        <vt:i4>129</vt:i4>
      </vt:variant>
      <vt:variant>
        <vt:i4>0</vt:i4>
      </vt:variant>
      <vt:variant>
        <vt:i4>5</vt:i4>
      </vt:variant>
      <vt:variant>
        <vt:lpwstr>http://undocs.org/CRC/C/TZA/CO/2</vt:lpwstr>
      </vt:variant>
      <vt:variant>
        <vt:lpwstr/>
      </vt:variant>
      <vt:variant>
        <vt:i4>327691</vt:i4>
      </vt:variant>
      <vt:variant>
        <vt:i4>126</vt:i4>
      </vt:variant>
      <vt:variant>
        <vt:i4>0</vt:i4>
      </vt:variant>
      <vt:variant>
        <vt:i4>5</vt:i4>
      </vt:variant>
      <vt:variant>
        <vt:lpwstr>http://undocs.org/A/63/38</vt:lpwstr>
      </vt:variant>
      <vt:variant>
        <vt:lpwstr/>
      </vt:variant>
      <vt:variant>
        <vt:i4>4128818</vt:i4>
      </vt:variant>
      <vt:variant>
        <vt:i4>123</vt:i4>
      </vt:variant>
      <vt:variant>
        <vt:i4>0</vt:i4>
      </vt:variant>
      <vt:variant>
        <vt:i4>5</vt:i4>
      </vt:variant>
      <vt:variant>
        <vt:lpwstr>http://undocs.org/A/61/299</vt:lpwstr>
      </vt:variant>
      <vt:variant>
        <vt:lpwstr/>
      </vt:variant>
      <vt:variant>
        <vt:i4>3539043</vt:i4>
      </vt:variant>
      <vt:variant>
        <vt:i4>120</vt:i4>
      </vt:variant>
      <vt:variant>
        <vt:i4>0</vt:i4>
      </vt:variant>
      <vt:variant>
        <vt:i4>5</vt:i4>
      </vt:variant>
      <vt:variant>
        <vt:lpwstr>http://undocs.org/S/1032/2002/2003/MARA</vt:lpwstr>
      </vt:variant>
      <vt:variant>
        <vt:lpwstr/>
      </vt:variant>
      <vt:variant>
        <vt:i4>1572924</vt:i4>
      </vt:variant>
      <vt:variant>
        <vt:i4>114</vt:i4>
      </vt:variant>
      <vt:variant>
        <vt:i4>0</vt:i4>
      </vt:variant>
      <vt:variant>
        <vt:i4>5</vt:i4>
      </vt:variant>
      <vt:variant>
        <vt:lpwstr/>
      </vt:variant>
      <vt:variant>
        <vt:lpwstr>_Toc417398657</vt:lpwstr>
      </vt:variant>
      <vt:variant>
        <vt:i4>1572924</vt:i4>
      </vt:variant>
      <vt:variant>
        <vt:i4>108</vt:i4>
      </vt:variant>
      <vt:variant>
        <vt:i4>0</vt:i4>
      </vt:variant>
      <vt:variant>
        <vt:i4>5</vt:i4>
      </vt:variant>
      <vt:variant>
        <vt:lpwstr/>
      </vt:variant>
      <vt:variant>
        <vt:lpwstr>_Toc417398656</vt:lpwstr>
      </vt:variant>
      <vt:variant>
        <vt:i4>1572924</vt:i4>
      </vt:variant>
      <vt:variant>
        <vt:i4>102</vt:i4>
      </vt:variant>
      <vt:variant>
        <vt:i4>0</vt:i4>
      </vt:variant>
      <vt:variant>
        <vt:i4>5</vt:i4>
      </vt:variant>
      <vt:variant>
        <vt:lpwstr/>
      </vt:variant>
      <vt:variant>
        <vt:lpwstr>_Toc417398655</vt:lpwstr>
      </vt:variant>
      <vt:variant>
        <vt:i4>1572924</vt:i4>
      </vt:variant>
      <vt:variant>
        <vt:i4>96</vt:i4>
      </vt:variant>
      <vt:variant>
        <vt:i4>0</vt:i4>
      </vt:variant>
      <vt:variant>
        <vt:i4>5</vt:i4>
      </vt:variant>
      <vt:variant>
        <vt:lpwstr/>
      </vt:variant>
      <vt:variant>
        <vt:lpwstr>_Toc417398654</vt:lpwstr>
      </vt:variant>
      <vt:variant>
        <vt:i4>1572924</vt:i4>
      </vt:variant>
      <vt:variant>
        <vt:i4>93</vt:i4>
      </vt:variant>
      <vt:variant>
        <vt:i4>0</vt:i4>
      </vt:variant>
      <vt:variant>
        <vt:i4>5</vt:i4>
      </vt:variant>
      <vt:variant>
        <vt:lpwstr/>
      </vt:variant>
      <vt:variant>
        <vt:lpwstr>_Toc417398653</vt:lpwstr>
      </vt:variant>
      <vt:variant>
        <vt:i4>1572924</vt:i4>
      </vt:variant>
      <vt:variant>
        <vt:i4>90</vt:i4>
      </vt:variant>
      <vt:variant>
        <vt:i4>0</vt:i4>
      </vt:variant>
      <vt:variant>
        <vt:i4>5</vt:i4>
      </vt:variant>
      <vt:variant>
        <vt:lpwstr/>
      </vt:variant>
      <vt:variant>
        <vt:lpwstr>_Toc417398652</vt:lpwstr>
      </vt:variant>
      <vt:variant>
        <vt:i4>1572924</vt:i4>
      </vt:variant>
      <vt:variant>
        <vt:i4>87</vt:i4>
      </vt:variant>
      <vt:variant>
        <vt:i4>0</vt:i4>
      </vt:variant>
      <vt:variant>
        <vt:i4>5</vt:i4>
      </vt:variant>
      <vt:variant>
        <vt:lpwstr/>
      </vt:variant>
      <vt:variant>
        <vt:lpwstr>_Toc417398651</vt:lpwstr>
      </vt:variant>
      <vt:variant>
        <vt:i4>1572924</vt:i4>
      </vt:variant>
      <vt:variant>
        <vt:i4>84</vt:i4>
      </vt:variant>
      <vt:variant>
        <vt:i4>0</vt:i4>
      </vt:variant>
      <vt:variant>
        <vt:i4>5</vt:i4>
      </vt:variant>
      <vt:variant>
        <vt:lpwstr/>
      </vt:variant>
      <vt:variant>
        <vt:lpwstr>_Toc417398650</vt:lpwstr>
      </vt:variant>
      <vt:variant>
        <vt:i4>1638460</vt:i4>
      </vt:variant>
      <vt:variant>
        <vt:i4>81</vt:i4>
      </vt:variant>
      <vt:variant>
        <vt:i4>0</vt:i4>
      </vt:variant>
      <vt:variant>
        <vt:i4>5</vt:i4>
      </vt:variant>
      <vt:variant>
        <vt:lpwstr/>
      </vt:variant>
      <vt:variant>
        <vt:lpwstr>_Toc417398649</vt:lpwstr>
      </vt:variant>
      <vt:variant>
        <vt:i4>1638460</vt:i4>
      </vt:variant>
      <vt:variant>
        <vt:i4>75</vt:i4>
      </vt:variant>
      <vt:variant>
        <vt:i4>0</vt:i4>
      </vt:variant>
      <vt:variant>
        <vt:i4>5</vt:i4>
      </vt:variant>
      <vt:variant>
        <vt:lpwstr/>
      </vt:variant>
      <vt:variant>
        <vt:lpwstr>_Toc417398648</vt:lpwstr>
      </vt:variant>
      <vt:variant>
        <vt:i4>1638460</vt:i4>
      </vt:variant>
      <vt:variant>
        <vt:i4>69</vt:i4>
      </vt:variant>
      <vt:variant>
        <vt:i4>0</vt:i4>
      </vt:variant>
      <vt:variant>
        <vt:i4>5</vt:i4>
      </vt:variant>
      <vt:variant>
        <vt:lpwstr/>
      </vt:variant>
      <vt:variant>
        <vt:lpwstr>_Toc417398647</vt:lpwstr>
      </vt:variant>
      <vt:variant>
        <vt:i4>1638460</vt:i4>
      </vt:variant>
      <vt:variant>
        <vt:i4>63</vt:i4>
      </vt:variant>
      <vt:variant>
        <vt:i4>0</vt:i4>
      </vt:variant>
      <vt:variant>
        <vt:i4>5</vt:i4>
      </vt:variant>
      <vt:variant>
        <vt:lpwstr/>
      </vt:variant>
      <vt:variant>
        <vt:lpwstr>_Toc417398646</vt:lpwstr>
      </vt:variant>
      <vt:variant>
        <vt:i4>1638460</vt:i4>
      </vt:variant>
      <vt:variant>
        <vt:i4>57</vt:i4>
      </vt:variant>
      <vt:variant>
        <vt:i4>0</vt:i4>
      </vt:variant>
      <vt:variant>
        <vt:i4>5</vt:i4>
      </vt:variant>
      <vt:variant>
        <vt:lpwstr/>
      </vt:variant>
      <vt:variant>
        <vt:lpwstr>_Toc417398645</vt:lpwstr>
      </vt:variant>
      <vt:variant>
        <vt:i4>1638460</vt:i4>
      </vt:variant>
      <vt:variant>
        <vt:i4>51</vt:i4>
      </vt:variant>
      <vt:variant>
        <vt:i4>0</vt:i4>
      </vt:variant>
      <vt:variant>
        <vt:i4>5</vt:i4>
      </vt:variant>
      <vt:variant>
        <vt:lpwstr/>
      </vt:variant>
      <vt:variant>
        <vt:lpwstr>_Toc417398644</vt:lpwstr>
      </vt:variant>
      <vt:variant>
        <vt:i4>1638460</vt:i4>
      </vt:variant>
      <vt:variant>
        <vt:i4>45</vt:i4>
      </vt:variant>
      <vt:variant>
        <vt:i4>0</vt:i4>
      </vt:variant>
      <vt:variant>
        <vt:i4>5</vt:i4>
      </vt:variant>
      <vt:variant>
        <vt:lpwstr/>
      </vt:variant>
      <vt:variant>
        <vt:lpwstr>_Toc417398643</vt:lpwstr>
      </vt:variant>
      <vt:variant>
        <vt:i4>1638460</vt:i4>
      </vt:variant>
      <vt:variant>
        <vt:i4>39</vt:i4>
      </vt:variant>
      <vt:variant>
        <vt:i4>0</vt:i4>
      </vt:variant>
      <vt:variant>
        <vt:i4>5</vt:i4>
      </vt:variant>
      <vt:variant>
        <vt:lpwstr/>
      </vt:variant>
      <vt:variant>
        <vt:lpwstr>_Toc417398642</vt:lpwstr>
      </vt:variant>
      <vt:variant>
        <vt:i4>1638460</vt:i4>
      </vt:variant>
      <vt:variant>
        <vt:i4>36</vt:i4>
      </vt:variant>
      <vt:variant>
        <vt:i4>0</vt:i4>
      </vt:variant>
      <vt:variant>
        <vt:i4>5</vt:i4>
      </vt:variant>
      <vt:variant>
        <vt:lpwstr/>
      </vt:variant>
      <vt:variant>
        <vt:lpwstr>_Toc417398641</vt:lpwstr>
      </vt:variant>
      <vt:variant>
        <vt:i4>1638460</vt:i4>
      </vt:variant>
      <vt:variant>
        <vt:i4>33</vt:i4>
      </vt:variant>
      <vt:variant>
        <vt:i4>0</vt:i4>
      </vt:variant>
      <vt:variant>
        <vt:i4>5</vt:i4>
      </vt:variant>
      <vt:variant>
        <vt:lpwstr/>
      </vt:variant>
      <vt:variant>
        <vt:lpwstr>_Toc417398640</vt:lpwstr>
      </vt:variant>
      <vt:variant>
        <vt:i4>1966140</vt:i4>
      </vt:variant>
      <vt:variant>
        <vt:i4>27</vt:i4>
      </vt:variant>
      <vt:variant>
        <vt:i4>0</vt:i4>
      </vt:variant>
      <vt:variant>
        <vt:i4>5</vt:i4>
      </vt:variant>
      <vt:variant>
        <vt:lpwstr/>
      </vt:variant>
      <vt:variant>
        <vt:lpwstr>_Toc417398639</vt:lpwstr>
      </vt:variant>
      <vt:variant>
        <vt:i4>1966140</vt:i4>
      </vt:variant>
      <vt:variant>
        <vt:i4>21</vt:i4>
      </vt:variant>
      <vt:variant>
        <vt:i4>0</vt:i4>
      </vt:variant>
      <vt:variant>
        <vt:i4>5</vt:i4>
      </vt:variant>
      <vt:variant>
        <vt:lpwstr/>
      </vt:variant>
      <vt:variant>
        <vt:lpwstr>_Toc417398638</vt:lpwstr>
      </vt:variant>
      <vt:variant>
        <vt:i4>1966140</vt:i4>
      </vt:variant>
      <vt:variant>
        <vt:i4>18</vt:i4>
      </vt:variant>
      <vt:variant>
        <vt:i4>0</vt:i4>
      </vt:variant>
      <vt:variant>
        <vt:i4>5</vt:i4>
      </vt:variant>
      <vt:variant>
        <vt:lpwstr/>
      </vt:variant>
      <vt:variant>
        <vt:lpwstr>_Toc417398637</vt:lpwstr>
      </vt:variant>
      <vt:variant>
        <vt:i4>1966140</vt:i4>
      </vt:variant>
      <vt:variant>
        <vt:i4>12</vt:i4>
      </vt:variant>
      <vt:variant>
        <vt:i4>0</vt:i4>
      </vt:variant>
      <vt:variant>
        <vt:i4>5</vt:i4>
      </vt:variant>
      <vt:variant>
        <vt:lpwstr/>
      </vt:variant>
      <vt:variant>
        <vt:lpwstr>_Toc417398636</vt:lpwstr>
      </vt:variant>
      <vt:variant>
        <vt:i4>1966140</vt:i4>
      </vt:variant>
      <vt:variant>
        <vt:i4>6</vt:i4>
      </vt:variant>
      <vt:variant>
        <vt:i4>0</vt:i4>
      </vt:variant>
      <vt:variant>
        <vt:i4>5</vt:i4>
      </vt:variant>
      <vt:variant>
        <vt:lpwstr/>
      </vt:variant>
      <vt:variant>
        <vt:lpwstr>_Toc417398635</vt:lpwstr>
      </vt:variant>
      <vt:variant>
        <vt:i4>1966140</vt:i4>
      </vt:variant>
      <vt:variant>
        <vt:i4>0</vt:i4>
      </vt:variant>
      <vt:variant>
        <vt:i4>0</vt:i4>
      </vt:variant>
      <vt:variant>
        <vt:i4>5</vt:i4>
      </vt:variant>
      <vt:variant>
        <vt:lpwstr/>
      </vt:variant>
      <vt:variant>
        <vt:lpwstr>_Toc417398634</vt:lpwstr>
      </vt:variant>
      <vt:variant>
        <vt:i4>4128818</vt:i4>
      </vt:variant>
      <vt:variant>
        <vt:i4>12</vt:i4>
      </vt:variant>
      <vt:variant>
        <vt:i4>0</vt:i4>
      </vt:variant>
      <vt:variant>
        <vt:i4>5</vt:i4>
      </vt:variant>
      <vt:variant>
        <vt:lpwstr>http://undocs.org/A/61/299</vt:lpwstr>
      </vt:variant>
      <vt:variant>
        <vt:lpwstr/>
      </vt:variant>
      <vt:variant>
        <vt:i4>5242953</vt:i4>
      </vt:variant>
      <vt:variant>
        <vt:i4>9</vt:i4>
      </vt:variant>
      <vt:variant>
        <vt:i4>0</vt:i4>
      </vt:variant>
      <vt:variant>
        <vt:i4>5</vt:i4>
      </vt:variant>
      <vt:variant>
        <vt:lpwstr>http://undocs.org/CRC/C/TZA/CO/2</vt:lpwstr>
      </vt:variant>
      <vt:variant>
        <vt:lpwstr/>
      </vt:variant>
      <vt:variant>
        <vt:i4>4128818</vt:i4>
      </vt:variant>
      <vt:variant>
        <vt:i4>6</vt:i4>
      </vt:variant>
      <vt:variant>
        <vt:i4>0</vt:i4>
      </vt:variant>
      <vt:variant>
        <vt:i4>5</vt:i4>
      </vt:variant>
      <vt:variant>
        <vt:lpwstr>http://undocs.org/A/61/299</vt:lpwstr>
      </vt:variant>
      <vt:variant>
        <vt:lpwstr/>
      </vt:variant>
      <vt:variant>
        <vt:i4>5832781</vt:i4>
      </vt:variant>
      <vt:variant>
        <vt:i4>3</vt:i4>
      </vt:variant>
      <vt:variant>
        <vt:i4>0</vt:i4>
      </vt:variant>
      <vt:variant>
        <vt:i4>5</vt:i4>
      </vt:variant>
      <vt:variant>
        <vt:lpwstr>http://undocs.org/HRI/GEN/2/Rev.6</vt:lpwstr>
      </vt:variant>
      <vt:variant>
        <vt:lpwstr/>
      </vt:variant>
      <vt:variant>
        <vt:i4>327691</vt:i4>
      </vt:variant>
      <vt:variant>
        <vt:i4>0</vt:i4>
      </vt:variant>
      <vt:variant>
        <vt:i4>0</vt:i4>
      </vt:variant>
      <vt:variant>
        <vt:i4>5</vt:i4>
      </vt:variant>
      <vt:variant>
        <vt:lpwstr>http://undocs.org/A/63/38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27-02-14 8:37am</dc:title>
  <dc:subject/>
  <dc:creator>Test</dc:creator>
  <cp:keywords/>
  <cp:lastModifiedBy>Front Desk</cp:lastModifiedBy>
  <cp:revision>15</cp:revision>
  <cp:lastPrinted>2015-04-21T13:20:00Z</cp:lastPrinted>
  <dcterms:created xsi:type="dcterms:W3CDTF">2015-04-21T13:09:00Z</dcterms:created>
  <dcterms:modified xsi:type="dcterms:W3CDTF">2015-04-21T13:27:00Z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1466070R</vt:lpwstr>
  </property>
  <property fmtid="{D5CDD505-2E9C-101B-9397-08002B2CF9AE}" pid="3" name="ODSRefJobNo">
    <vt:lpwstr>1466445R</vt:lpwstr>
  </property>
  <property fmtid="{D5CDD505-2E9C-101B-9397-08002B2CF9AE}" pid="4" name="Symbol1">
    <vt:lpwstr>CEDAW/C/TZA/7-8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 December 2014</vt:lpwstr>
  </property>
  <property fmtid="{D5CDD505-2E9C-101B-9397-08002B2CF9AE}" pid="9" name="Original">
    <vt:lpwstr>English</vt:lpwstr>
  </property>
  <property fmtid="{D5CDD505-2E9C-101B-9397-08002B2CF9AE}" pid="10" name="Release Date">
    <vt:lpwstr>210415</vt:lpwstr>
  </property>
  <property fmtid="{D5CDD505-2E9C-101B-9397-08002B2CF9AE}" pid="11" name="Comment">
    <vt:lpwstr/>
  </property>
  <property fmtid="{D5CDD505-2E9C-101B-9397-08002B2CF9AE}" pid="12" name="DraftPages">
    <vt:lpwstr> 71</vt:lpwstr>
  </property>
  <property fmtid="{D5CDD505-2E9C-101B-9397-08002B2CF9AE}" pid="13" name="Operator">
    <vt:lpwstr>Feoktistova</vt:lpwstr>
  </property>
</Properties>
</file>