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F38B7" w:rsidRPr="00961388" w:rsidTr="00570B62">
        <w:trPr>
          <w:trHeight w:hRule="exact" w:val="851"/>
        </w:trPr>
        <w:tc>
          <w:tcPr>
            <w:tcW w:w="1276" w:type="dxa"/>
            <w:tcBorders>
              <w:bottom w:val="single" w:sz="4" w:space="0" w:color="auto"/>
            </w:tcBorders>
          </w:tcPr>
          <w:p w:rsidR="000F38B7" w:rsidRPr="00961388" w:rsidRDefault="000F38B7" w:rsidP="000F38B7">
            <w:pPr>
              <w:rPr>
                <w:lang w:val="fr-CH"/>
              </w:rPr>
            </w:pPr>
          </w:p>
        </w:tc>
        <w:tc>
          <w:tcPr>
            <w:tcW w:w="2268" w:type="dxa"/>
            <w:tcBorders>
              <w:bottom w:val="single" w:sz="4" w:space="0" w:color="auto"/>
            </w:tcBorders>
            <w:vAlign w:val="bottom"/>
          </w:tcPr>
          <w:p w:rsidR="000F38B7" w:rsidRPr="00961388" w:rsidRDefault="000F38B7" w:rsidP="000F38B7">
            <w:pPr>
              <w:spacing w:after="80" w:line="300" w:lineRule="exact"/>
              <w:rPr>
                <w:sz w:val="28"/>
                <w:lang w:val="fr-CH"/>
              </w:rPr>
            </w:pPr>
            <w:r w:rsidRPr="00961388">
              <w:rPr>
                <w:sz w:val="28"/>
                <w:lang w:val="fr-CH"/>
              </w:rPr>
              <w:t>Nations Unies</w:t>
            </w:r>
          </w:p>
        </w:tc>
        <w:tc>
          <w:tcPr>
            <w:tcW w:w="6095" w:type="dxa"/>
            <w:gridSpan w:val="2"/>
            <w:tcBorders>
              <w:bottom w:val="single" w:sz="4" w:space="0" w:color="auto"/>
            </w:tcBorders>
            <w:vAlign w:val="bottom"/>
          </w:tcPr>
          <w:p w:rsidR="000F38B7" w:rsidRPr="00961388" w:rsidRDefault="00570B62" w:rsidP="00570B62">
            <w:pPr>
              <w:jc w:val="right"/>
              <w:rPr>
                <w:lang w:val="fr-CH"/>
              </w:rPr>
            </w:pPr>
            <w:r w:rsidRPr="00961388">
              <w:rPr>
                <w:sz w:val="40"/>
                <w:lang w:val="fr-CH"/>
              </w:rPr>
              <w:t>CEDAW</w:t>
            </w:r>
            <w:r w:rsidRPr="00961388">
              <w:rPr>
                <w:lang w:val="fr-CH"/>
              </w:rPr>
              <w:t>/C/TUN/Q/6/Add.1</w:t>
            </w:r>
          </w:p>
        </w:tc>
      </w:tr>
      <w:tr w:rsidR="000F38B7" w:rsidRPr="00961388" w:rsidTr="006F574E">
        <w:trPr>
          <w:trHeight w:hRule="exact" w:val="2395"/>
        </w:trPr>
        <w:tc>
          <w:tcPr>
            <w:tcW w:w="1276" w:type="dxa"/>
            <w:tcBorders>
              <w:top w:val="single" w:sz="4" w:space="0" w:color="auto"/>
              <w:bottom w:val="single" w:sz="12" w:space="0" w:color="auto"/>
            </w:tcBorders>
          </w:tcPr>
          <w:p w:rsidR="000F38B7" w:rsidRPr="00961388" w:rsidRDefault="000F38B7" w:rsidP="000F38B7">
            <w:pPr>
              <w:spacing w:before="120"/>
              <w:jc w:val="center"/>
              <w:rPr>
                <w:lang w:val="fr-CH"/>
              </w:rPr>
            </w:pPr>
            <w:r w:rsidRPr="00961388">
              <w:rPr>
                <w:lang w:val="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F38B7" w:rsidRPr="00961388" w:rsidRDefault="000F38B7" w:rsidP="000F38B7">
            <w:pPr>
              <w:spacing w:before="120" w:line="380" w:lineRule="exact"/>
              <w:rPr>
                <w:b/>
                <w:sz w:val="34"/>
                <w:szCs w:val="34"/>
                <w:lang w:val="fr-CH"/>
              </w:rPr>
            </w:pPr>
            <w:r w:rsidRPr="00961388">
              <w:rPr>
                <w:b/>
                <w:sz w:val="34"/>
                <w:szCs w:val="34"/>
                <w:lang w:val="fr-CH"/>
              </w:rPr>
              <w:t>Convention sur l</w:t>
            </w:r>
            <w:r w:rsidR="00961388">
              <w:rPr>
                <w:b/>
                <w:sz w:val="34"/>
                <w:szCs w:val="34"/>
                <w:lang w:val="fr-CH"/>
              </w:rPr>
              <w:t>’</w:t>
            </w:r>
            <w:r w:rsidRPr="00961388">
              <w:rPr>
                <w:b/>
                <w:sz w:val="34"/>
                <w:szCs w:val="34"/>
                <w:lang w:val="fr-CH"/>
              </w:rPr>
              <w:t>élimination</w:t>
            </w:r>
            <w:r w:rsidRPr="00961388">
              <w:rPr>
                <w:b/>
                <w:sz w:val="34"/>
                <w:szCs w:val="34"/>
                <w:lang w:val="fr-CH"/>
              </w:rPr>
              <w:br/>
              <w:t>de toutes les formes</w:t>
            </w:r>
            <w:r w:rsidRPr="00961388">
              <w:rPr>
                <w:b/>
                <w:sz w:val="34"/>
                <w:szCs w:val="34"/>
                <w:lang w:val="fr-CH"/>
              </w:rPr>
              <w:br/>
              <w:t>de discrimination à l</w:t>
            </w:r>
            <w:r w:rsidR="00961388">
              <w:rPr>
                <w:b/>
                <w:sz w:val="34"/>
                <w:szCs w:val="34"/>
                <w:lang w:val="fr-CH"/>
              </w:rPr>
              <w:t>’</w:t>
            </w:r>
            <w:r w:rsidRPr="00961388">
              <w:rPr>
                <w:b/>
                <w:sz w:val="34"/>
                <w:szCs w:val="34"/>
                <w:lang w:val="fr-CH"/>
              </w:rPr>
              <w:t>égard</w:t>
            </w:r>
            <w:r w:rsidRPr="00961388">
              <w:rPr>
                <w:b/>
                <w:sz w:val="34"/>
                <w:szCs w:val="34"/>
                <w:lang w:val="fr-CH"/>
              </w:rPr>
              <w:br/>
              <w:t>des femmes</w:t>
            </w:r>
          </w:p>
        </w:tc>
        <w:tc>
          <w:tcPr>
            <w:tcW w:w="2835" w:type="dxa"/>
            <w:tcBorders>
              <w:top w:val="single" w:sz="4" w:space="0" w:color="auto"/>
              <w:bottom w:val="single" w:sz="12" w:space="0" w:color="auto"/>
            </w:tcBorders>
          </w:tcPr>
          <w:p w:rsidR="00570B62" w:rsidRPr="00961388" w:rsidRDefault="00570B62" w:rsidP="000F38B7">
            <w:pPr>
              <w:spacing w:before="240"/>
              <w:rPr>
                <w:lang w:val="fr-CH"/>
              </w:rPr>
            </w:pPr>
            <w:r w:rsidRPr="00961388">
              <w:rPr>
                <w:lang w:val="fr-CH"/>
              </w:rPr>
              <w:t>Distr. générale</w:t>
            </w:r>
          </w:p>
          <w:p w:rsidR="00961388" w:rsidRDefault="00570B62" w:rsidP="00570B62">
            <w:pPr>
              <w:spacing w:line="240" w:lineRule="exact"/>
              <w:rPr>
                <w:lang w:val="fr-CH"/>
              </w:rPr>
            </w:pPr>
            <w:r w:rsidRPr="00961388">
              <w:rPr>
                <w:lang w:val="fr-CH"/>
              </w:rPr>
              <w:t>18 août 2010</w:t>
            </w:r>
          </w:p>
          <w:p w:rsidR="008E2B6F" w:rsidRDefault="008E2B6F" w:rsidP="00570B62">
            <w:pPr>
              <w:spacing w:line="240" w:lineRule="exact"/>
              <w:rPr>
                <w:lang w:val="fr-CH"/>
              </w:rPr>
            </w:pPr>
          </w:p>
          <w:p w:rsidR="000F38B7" w:rsidRPr="00961388" w:rsidRDefault="00570B62" w:rsidP="00570B62">
            <w:pPr>
              <w:spacing w:line="240" w:lineRule="exact"/>
              <w:rPr>
                <w:lang w:val="fr-CH"/>
              </w:rPr>
            </w:pPr>
            <w:r w:rsidRPr="00961388">
              <w:rPr>
                <w:lang w:val="fr-CH"/>
              </w:rPr>
              <w:t>Original: français</w:t>
            </w:r>
          </w:p>
        </w:tc>
      </w:tr>
    </w:tbl>
    <w:p w:rsidR="00570B62" w:rsidRPr="00961388" w:rsidRDefault="00570B62" w:rsidP="00961388">
      <w:pPr>
        <w:spacing w:before="120"/>
        <w:rPr>
          <w:b/>
          <w:sz w:val="24"/>
          <w:szCs w:val="24"/>
          <w:lang w:val="fr-CH"/>
        </w:rPr>
      </w:pPr>
      <w:r w:rsidRPr="00961388">
        <w:rPr>
          <w:b/>
          <w:sz w:val="24"/>
          <w:szCs w:val="24"/>
          <w:lang w:val="fr-CH"/>
        </w:rPr>
        <w:t>Comité pour l</w:t>
      </w:r>
      <w:r w:rsidR="00961388">
        <w:rPr>
          <w:b/>
          <w:sz w:val="24"/>
          <w:szCs w:val="24"/>
          <w:lang w:val="fr-CH"/>
        </w:rPr>
        <w:t>’</w:t>
      </w:r>
      <w:r w:rsidRPr="00961388">
        <w:rPr>
          <w:b/>
          <w:sz w:val="24"/>
          <w:szCs w:val="24"/>
          <w:lang w:val="fr-CH"/>
        </w:rPr>
        <w:t>él</w:t>
      </w:r>
      <w:r w:rsidR="00961388">
        <w:rPr>
          <w:b/>
          <w:sz w:val="24"/>
          <w:szCs w:val="24"/>
          <w:lang w:val="fr-CH"/>
        </w:rPr>
        <w:t>imination de la discrimination</w:t>
      </w:r>
      <w:r w:rsidRPr="00961388">
        <w:rPr>
          <w:b/>
          <w:sz w:val="24"/>
          <w:szCs w:val="24"/>
          <w:lang w:val="fr-CH"/>
        </w:rPr>
        <w:br/>
        <w:t>à l</w:t>
      </w:r>
      <w:r w:rsidR="00961388">
        <w:rPr>
          <w:b/>
          <w:sz w:val="24"/>
          <w:szCs w:val="24"/>
          <w:lang w:val="fr-CH"/>
        </w:rPr>
        <w:t>’</w:t>
      </w:r>
      <w:r w:rsidRPr="00961388">
        <w:rPr>
          <w:b/>
          <w:sz w:val="24"/>
          <w:szCs w:val="24"/>
          <w:lang w:val="fr-CH"/>
        </w:rPr>
        <w:t xml:space="preserve">égard des femmes </w:t>
      </w:r>
    </w:p>
    <w:p w:rsidR="00570B62" w:rsidRPr="00961388" w:rsidRDefault="00570B62" w:rsidP="00570B62">
      <w:pPr>
        <w:rPr>
          <w:b/>
          <w:lang w:val="fr-CH"/>
        </w:rPr>
      </w:pPr>
      <w:r w:rsidRPr="00961388">
        <w:rPr>
          <w:b/>
          <w:lang w:val="fr-CH"/>
        </w:rPr>
        <w:t>Groupe de travail d</w:t>
      </w:r>
      <w:r w:rsidR="00961388">
        <w:rPr>
          <w:b/>
          <w:lang w:val="fr-CH"/>
        </w:rPr>
        <w:t>’</w:t>
      </w:r>
      <w:r w:rsidRPr="00961388">
        <w:rPr>
          <w:b/>
          <w:lang w:val="fr-CH"/>
        </w:rPr>
        <w:t>avant-session</w:t>
      </w:r>
    </w:p>
    <w:p w:rsidR="00570B62" w:rsidRPr="00961388" w:rsidRDefault="00570B62" w:rsidP="00570B62">
      <w:pPr>
        <w:rPr>
          <w:b/>
          <w:lang w:val="fr-CH"/>
        </w:rPr>
      </w:pPr>
      <w:r w:rsidRPr="00961388">
        <w:rPr>
          <w:b/>
          <w:lang w:val="fr-CH"/>
        </w:rPr>
        <w:t>Quarante-septième session</w:t>
      </w:r>
    </w:p>
    <w:p w:rsidR="00570B62" w:rsidRPr="00961388" w:rsidRDefault="00961388" w:rsidP="00570B62">
      <w:pPr>
        <w:rPr>
          <w:lang w:val="fr-CH"/>
        </w:rPr>
      </w:pPr>
      <w:r w:rsidRPr="00961388">
        <w:rPr>
          <w:lang w:val="fr-CH"/>
        </w:rPr>
        <w:t>4-</w:t>
      </w:r>
      <w:r w:rsidR="00570B62" w:rsidRPr="00961388">
        <w:rPr>
          <w:lang w:val="fr-CH"/>
        </w:rPr>
        <w:t>22 octobre 2010</w:t>
      </w:r>
    </w:p>
    <w:p w:rsidR="00570B62" w:rsidRPr="00961388" w:rsidRDefault="00570B62" w:rsidP="00961388">
      <w:pPr>
        <w:pStyle w:val="HMG"/>
        <w:rPr>
          <w:lang w:val="fr-CH"/>
        </w:rPr>
      </w:pPr>
      <w:r w:rsidRPr="00961388">
        <w:rPr>
          <w:lang w:val="fr-CH"/>
        </w:rPr>
        <w:tab/>
      </w:r>
      <w:r w:rsidRPr="00961388">
        <w:rPr>
          <w:lang w:val="fr-CH"/>
        </w:rPr>
        <w:tab/>
        <w:t xml:space="preserve">Réponses écrites </w:t>
      </w:r>
      <w:r w:rsidR="00961388" w:rsidRPr="00961388">
        <w:rPr>
          <w:lang w:val="fr-CH"/>
        </w:rPr>
        <w:t>du Gouvernement de la Tunisie à </w:t>
      </w:r>
      <w:r w:rsidRPr="00961388">
        <w:rPr>
          <w:lang w:val="fr-CH"/>
        </w:rPr>
        <w:t>la liste des points et questions (CEDAW/C/TUN/Q/6) se rapportant à l</w:t>
      </w:r>
      <w:r w:rsidR="00961388">
        <w:rPr>
          <w:lang w:val="fr-CH"/>
        </w:rPr>
        <w:t>’</w:t>
      </w:r>
      <w:r w:rsidRPr="00961388">
        <w:rPr>
          <w:lang w:val="fr-CH"/>
        </w:rPr>
        <w:t>examen des cinquième et sixième rapports périodiques combinés de la Tunisie (CEDAW/C/TUN/5-6)</w:t>
      </w:r>
    </w:p>
    <w:p w:rsidR="00570B62" w:rsidRPr="00961388" w:rsidRDefault="00570B62" w:rsidP="00961388">
      <w:pPr>
        <w:pStyle w:val="HMG"/>
        <w:rPr>
          <w:lang w:val="fr-CH"/>
        </w:rPr>
      </w:pPr>
      <w:r w:rsidRPr="00961388">
        <w:rPr>
          <w:lang w:val="fr-CH"/>
        </w:rPr>
        <w:tab/>
      </w:r>
      <w:r w:rsidRPr="00961388">
        <w:rPr>
          <w:lang w:val="fr-CH"/>
        </w:rPr>
        <w:tab/>
        <w:t>Tunisie</w:t>
      </w:r>
      <w:r w:rsidR="00961388" w:rsidRPr="00961388">
        <w:rPr>
          <w:rStyle w:val="FootnoteReference"/>
          <w:b w:val="0"/>
          <w:sz w:val="20"/>
          <w:vertAlign w:val="baseline"/>
          <w:lang w:val="fr-CH"/>
        </w:rPr>
        <w:footnoteReference w:customMarkFollows="1" w:id="2"/>
        <w:t>*</w:t>
      </w:r>
      <w:r w:rsidR="00961388" w:rsidRPr="00B222AF">
        <w:rPr>
          <w:sz w:val="20"/>
          <w:lang w:val="fr-CH"/>
        </w:rPr>
        <w:t>,</w:t>
      </w:r>
      <w:r w:rsidR="00961388" w:rsidRPr="00961388">
        <w:rPr>
          <w:sz w:val="20"/>
          <w:lang w:val="fr-CH"/>
        </w:rPr>
        <w:t xml:space="preserve"> </w:t>
      </w:r>
      <w:r w:rsidR="00961388" w:rsidRPr="00961388">
        <w:rPr>
          <w:rStyle w:val="FootnoteReference"/>
          <w:b w:val="0"/>
          <w:sz w:val="20"/>
          <w:vertAlign w:val="baseline"/>
          <w:lang w:val="fr-CH"/>
        </w:rPr>
        <w:footnoteReference w:customMarkFollows="1" w:id="3"/>
        <w:t>**</w:t>
      </w:r>
    </w:p>
    <w:p w:rsidR="00570B62" w:rsidRPr="00961388" w:rsidRDefault="00570B62" w:rsidP="00283379">
      <w:pPr>
        <w:pStyle w:val="H1G"/>
        <w:rPr>
          <w:lang w:val="fr-CH"/>
        </w:rPr>
      </w:pPr>
      <w:r w:rsidRPr="00961388">
        <w:rPr>
          <w:lang w:val="fr-CH"/>
        </w:rPr>
        <w:br w:type="page"/>
      </w:r>
      <w:r w:rsidRPr="00961388">
        <w:rPr>
          <w:lang w:val="fr-CH"/>
        </w:rPr>
        <w:tab/>
      </w:r>
      <w:r w:rsidRPr="00961388">
        <w:rPr>
          <w:lang w:val="fr-CH"/>
        </w:rPr>
        <w:tab/>
        <w:t>Généralités</w:t>
      </w:r>
    </w:p>
    <w:p w:rsidR="00570B62" w:rsidRPr="00961388" w:rsidRDefault="00593CC2" w:rsidP="00593CC2">
      <w:pPr>
        <w:pStyle w:val="H23G"/>
        <w:rPr>
          <w:lang w:val="fr-CH"/>
        </w:rPr>
      </w:pPr>
      <w:r>
        <w:rPr>
          <w:lang w:val="fr-CH"/>
        </w:rPr>
        <w:tab/>
      </w:r>
      <w:r>
        <w:rPr>
          <w:lang w:val="fr-CH"/>
        </w:rPr>
        <w:tab/>
      </w:r>
      <w:r w:rsidR="00570B62" w:rsidRPr="00961388">
        <w:rPr>
          <w:lang w:val="fr-CH"/>
        </w:rPr>
        <w:t>Réponse au paragraphe 1 de la liste de points à traiter (CEDAW/C/TUN/Q/6)</w:t>
      </w:r>
      <w:r w:rsidRPr="00593CC2">
        <w:rPr>
          <w:rStyle w:val="FootnoteReference"/>
          <w:b w:val="0"/>
          <w:sz w:val="20"/>
          <w:vertAlign w:val="baseline"/>
          <w:lang w:val="fr-CH"/>
        </w:rPr>
        <w:footnoteReference w:customMarkFollows="1" w:id="4"/>
        <w:t>*</w:t>
      </w:r>
    </w:p>
    <w:p w:rsidR="00570B62" w:rsidRPr="00961388" w:rsidRDefault="00570B62" w:rsidP="00593CC2">
      <w:pPr>
        <w:pStyle w:val="SingleTxtG"/>
        <w:rPr>
          <w:lang w:val="fr-CH"/>
        </w:rPr>
      </w:pPr>
      <w:r w:rsidRPr="00961388">
        <w:rPr>
          <w:lang w:val="fr-CH"/>
        </w:rPr>
        <w:t>1.</w:t>
      </w:r>
      <w:r w:rsidRPr="00961388">
        <w:rPr>
          <w:lang w:val="fr-CH"/>
        </w:rPr>
        <w:tab/>
        <w:t>Convaincu du rôle important des composantes de la société civile dans la prise de décision, la réalisation et la mise en œuvre des politiques et programmes nationaux dans les différents domaines des droits de l</w:t>
      </w:r>
      <w:r w:rsidR="00961388">
        <w:rPr>
          <w:lang w:val="fr-CH"/>
        </w:rPr>
        <w:t>’</w:t>
      </w:r>
      <w:r w:rsidRPr="00961388">
        <w:rPr>
          <w:lang w:val="fr-CH"/>
        </w:rPr>
        <w:t>homme et notamment des droits de la femme, le Gouvernement tunisien s</w:t>
      </w:r>
      <w:r w:rsidR="00961388">
        <w:rPr>
          <w:lang w:val="fr-CH"/>
        </w:rPr>
        <w:t>’</w:t>
      </w:r>
      <w:r w:rsidRPr="00961388">
        <w:rPr>
          <w:lang w:val="fr-CH"/>
        </w:rPr>
        <w:t>est attelé, lors de l</w:t>
      </w:r>
      <w:r w:rsidR="00961388">
        <w:rPr>
          <w:lang w:val="fr-CH"/>
        </w:rPr>
        <w:t>’</w:t>
      </w:r>
      <w:r w:rsidRPr="00961388">
        <w:rPr>
          <w:lang w:val="fr-CH"/>
        </w:rPr>
        <w:t>élaboration du présent rapport, à impliquer toutes les parties prenantes. En effet, ce rapport a été élaboré avec le concours des représentants de tous les ministères en charge des questions relatives aux droits de la femme ainsi qu</w:t>
      </w:r>
      <w:r w:rsidR="00961388">
        <w:rPr>
          <w:lang w:val="fr-CH"/>
        </w:rPr>
        <w:t>’</w:t>
      </w:r>
      <w:r w:rsidRPr="00961388">
        <w:rPr>
          <w:lang w:val="fr-CH"/>
        </w:rPr>
        <w:t>avec la société civile représentée, notamment, par des ONG, des parlementaires, des universitaires.</w:t>
      </w:r>
    </w:p>
    <w:p w:rsidR="00570B62" w:rsidRPr="00961388" w:rsidRDefault="00570B62" w:rsidP="00593CC2">
      <w:pPr>
        <w:pStyle w:val="SingleTxtG"/>
        <w:rPr>
          <w:lang w:val="fr-CH"/>
        </w:rPr>
      </w:pPr>
      <w:r w:rsidRPr="00961388">
        <w:rPr>
          <w:lang w:val="fr-CH"/>
        </w:rPr>
        <w:t>2.</w:t>
      </w:r>
      <w:r w:rsidRPr="00961388">
        <w:rPr>
          <w:lang w:val="fr-CH"/>
        </w:rPr>
        <w:tab/>
        <w:t>La démarche adoptée reposait sur la nécessité d</w:t>
      </w:r>
      <w:r w:rsidR="00961388">
        <w:rPr>
          <w:lang w:val="fr-CH"/>
        </w:rPr>
        <w:t>’</w:t>
      </w:r>
      <w:r w:rsidRPr="00961388">
        <w:rPr>
          <w:lang w:val="fr-CH"/>
        </w:rPr>
        <w:t>impliquer toutes les parties prenantes au processus d</w:t>
      </w:r>
      <w:r w:rsidR="00961388">
        <w:rPr>
          <w:lang w:val="fr-CH"/>
        </w:rPr>
        <w:t>’</w:t>
      </w:r>
      <w:r w:rsidRPr="00961388">
        <w:rPr>
          <w:lang w:val="fr-CH"/>
        </w:rPr>
        <w:t>élaboration du rapport. Les réunions consacrées à la préparation de ce dernier montrent l</w:t>
      </w:r>
      <w:r w:rsidR="00961388">
        <w:rPr>
          <w:lang w:val="fr-CH"/>
        </w:rPr>
        <w:t>’</w:t>
      </w:r>
      <w:r w:rsidRPr="00961388">
        <w:rPr>
          <w:lang w:val="fr-CH"/>
        </w:rPr>
        <w:t>importance qu</w:t>
      </w:r>
      <w:r w:rsidR="00961388">
        <w:rPr>
          <w:lang w:val="fr-CH"/>
        </w:rPr>
        <w:t>’</w:t>
      </w:r>
      <w:r w:rsidRPr="00961388">
        <w:rPr>
          <w:lang w:val="fr-CH"/>
        </w:rPr>
        <w:t>accorde la Tunisie au respect de ses engagements en la matière et l</w:t>
      </w:r>
      <w:r w:rsidR="00961388">
        <w:rPr>
          <w:lang w:val="fr-CH"/>
        </w:rPr>
        <w:t>’</w:t>
      </w:r>
      <w:r w:rsidRPr="00961388">
        <w:rPr>
          <w:lang w:val="fr-CH"/>
        </w:rPr>
        <w:t>intérêt qu</w:t>
      </w:r>
      <w:r w:rsidR="00961388">
        <w:rPr>
          <w:lang w:val="fr-CH"/>
        </w:rPr>
        <w:t>’</w:t>
      </w:r>
      <w:r w:rsidRPr="00961388">
        <w:rPr>
          <w:lang w:val="fr-CH"/>
        </w:rPr>
        <w:t>elle accorde au suivi des recommandations du CEDAW ainsi que des autres organes de traités relatifs aux droits de l</w:t>
      </w:r>
      <w:r w:rsidR="00961388">
        <w:rPr>
          <w:lang w:val="fr-CH"/>
        </w:rPr>
        <w:t>’</w:t>
      </w:r>
      <w:r w:rsidRPr="00961388">
        <w:rPr>
          <w:lang w:val="fr-CH"/>
        </w:rPr>
        <w:t xml:space="preserve">homme ratifiés par la Tunisie. </w:t>
      </w:r>
    </w:p>
    <w:p w:rsidR="00570B62" w:rsidRPr="00961388" w:rsidRDefault="00570B62" w:rsidP="00593CC2">
      <w:pPr>
        <w:pStyle w:val="SingleTxtG"/>
        <w:rPr>
          <w:lang w:val="fr-CH"/>
        </w:rPr>
      </w:pPr>
      <w:r w:rsidRPr="00961388">
        <w:rPr>
          <w:lang w:val="fr-CH"/>
        </w:rPr>
        <w:t>3.</w:t>
      </w:r>
      <w:r w:rsidRPr="00961388">
        <w:rPr>
          <w:lang w:val="fr-CH"/>
        </w:rPr>
        <w:tab/>
        <w:t>La deuxième étape de cette démarche a consisté à demander aux différents acteurs de présenter des rapports englobant leurs activités mais aussi des propositions et recommandations en matière de promotion des droits de la femme en application de la Convention sur l</w:t>
      </w:r>
      <w:r w:rsidR="00961388">
        <w:rPr>
          <w:lang w:val="fr-CH"/>
        </w:rPr>
        <w:t>’</w:t>
      </w:r>
      <w:r w:rsidRPr="00961388">
        <w:rPr>
          <w:lang w:val="fr-CH"/>
        </w:rPr>
        <w:t>élimination de toutes les formes de discrimination à l</w:t>
      </w:r>
      <w:r w:rsidR="00961388">
        <w:rPr>
          <w:lang w:val="fr-CH"/>
        </w:rPr>
        <w:t>’</w:t>
      </w:r>
      <w:r w:rsidRPr="00961388">
        <w:rPr>
          <w:lang w:val="fr-CH"/>
        </w:rPr>
        <w:t>égard des femmes</w:t>
      </w:r>
      <w:r w:rsidR="00593CC2">
        <w:rPr>
          <w:rStyle w:val="FootnoteReference"/>
          <w:lang w:val="fr-CH"/>
        </w:rPr>
        <w:footnoteReference w:id="5"/>
      </w:r>
      <w:r w:rsidRPr="00961388">
        <w:rPr>
          <w:lang w:val="fr-CH"/>
        </w:rPr>
        <w:t xml:space="preserve">. Ces propositions, qui ont été accueillies avec grand intérêt, ont reçu une attention particulière et sont reflétées dans le rapport. </w:t>
      </w:r>
    </w:p>
    <w:p w:rsidR="00570B62" w:rsidRPr="00961388" w:rsidRDefault="00570B62" w:rsidP="00593CC2">
      <w:pPr>
        <w:pStyle w:val="SingleTxtG"/>
        <w:rPr>
          <w:lang w:val="fr-CH"/>
        </w:rPr>
      </w:pPr>
      <w:r w:rsidRPr="00961388">
        <w:rPr>
          <w:lang w:val="fr-CH"/>
        </w:rPr>
        <w:t>4.</w:t>
      </w:r>
      <w:r w:rsidRPr="00961388">
        <w:rPr>
          <w:lang w:val="fr-CH"/>
        </w:rPr>
        <w:tab/>
        <w:t>La dernière étape a consisté à faire connaître et partager les résultats de cet exercice avec toutes les parties, notamment avec celles qui n</w:t>
      </w:r>
      <w:r w:rsidR="00961388">
        <w:rPr>
          <w:lang w:val="fr-CH"/>
        </w:rPr>
        <w:t>’</w:t>
      </w:r>
      <w:r w:rsidRPr="00961388">
        <w:rPr>
          <w:lang w:val="fr-CH"/>
        </w:rPr>
        <w:t>ont pas été en mesure de participer à la discussion de ce rapport devant le dit Comité et ce, afin de les sensibiliser aux exigences de la prochaine étape ainsi qu</w:t>
      </w:r>
      <w:r w:rsidR="00961388">
        <w:rPr>
          <w:lang w:val="fr-CH"/>
        </w:rPr>
        <w:t>’</w:t>
      </w:r>
      <w:r w:rsidRPr="00961388">
        <w:rPr>
          <w:lang w:val="fr-CH"/>
        </w:rPr>
        <w:t>à la nécessité d</w:t>
      </w:r>
      <w:r w:rsidR="00961388">
        <w:rPr>
          <w:lang w:val="fr-CH"/>
        </w:rPr>
        <w:t>’</w:t>
      </w:r>
      <w:r w:rsidRPr="00961388">
        <w:rPr>
          <w:lang w:val="fr-CH"/>
        </w:rPr>
        <w:t>aller de l</w:t>
      </w:r>
      <w:r w:rsidR="00961388">
        <w:rPr>
          <w:lang w:val="fr-CH"/>
        </w:rPr>
        <w:t>’</w:t>
      </w:r>
      <w:r w:rsidRPr="00961388">
        <w:rPr>
          <w:lang w:val="fr-CH"/>
        </w:rPr>
        <w:t>avant afin de consolider les acquis.</w:t>
      </w:r>
    </w:p>
    <w:p w:rsidR="00961388" w:rsidRDefault="00570B62" w:rsidP="00593CC2">
      <w:pPr>
        <w:pStyle w:val="SingleTxtG"/>
        <w:rPr>
          <w:lang w:val="fr-CH"/>
        </w:rPr>
      </w:pPr>
      <w:r w:rsidRPr="00961388">
        <w:rPr>
          <w:lang w:val="fr-CH"/>
        </w:rPr>
        <w:t>5.</w:t>
      </w:r>
      <w:r w:rsidRPr="00961388">
        <w:rPr>
          <w:lang w:val="fr-CH"/>
        </w:rPr>
        <w:tab/>
        <w:t>À cet égard, il convient de souligner que c</w:t>
      </w:r>
      <w:r w:rsidR="00961388">
        <w:rPr>
          <w:lang w:val="fr-CH"/>
        </w:rPr>
        <w:t>’</w:t>
      </w:r>
      <w:r w:rsidRPr="00961388">
        <w:rPr>
          <w:lang w:val="fr-CH"/>
        </w:rPr>
        <w:t>est le Ministère des affaires de la femme, de la famille, de l</w:t>
      </w:r>
      <w:r w:rsidR="00961388">
        <w:rPr>
          <w:lang w:val="fr-CH"/>
        </w:rPr>
        <w:t>’</w:t>
      </w:r>
      <w:r w:rsidRPr="00961388">
        <w:rPr>
          <w:lang w:val="fr-CH"/>
        </w:rPr>
        <w:t>enfance et des personne âgées (MAFFEPA) qui a assuré la coordination entre toutes les parties concernées. Le rapport a été également présenté au Comité supérieur des droits de l</w:t>
      </w:r>
      <w:r w:rsidR="00961388">
        <w:rPr>
          <w:lang w:val="fr-CH"/>
        </w:rPr>
        <w:t>’</w:t>
      </w:r>
      <w:r w:rsidRPr="00961388">
        <w:rPr>
          <w:lang w:val="fr-CH"/>
        </w:rPr>
        <w:t>homme et des libertés fondamentales ainsi qu</w:t>
      </w:r>
      <w:r w:rsidR="00961388">
        <w:rPr>
          <w:lang w:val="fr-CH"/>
        </w:rPr>
        <w:t>’</w:t>
      </w:r>
      <w:r w:rsidRPr="00961388">
        <w:rPr>
          <w:lang w:val="fr-CH"/>
        </w:rPr>
        <w:t>aux services du Coordinateur général des droits de l</w:t>
      </w:r>
      <w:r w:rsidR="00961388">
        <w:rPr>
          <w:lang w:val="fr-CH"/>
        </w:rPr>
        <w:t>’</w:t>
      </w:r>
      <w:r w:rsidRPr="00961388">
        <w:rPr>
          <w:lang w:val="fr-CH"/>
        </w:rPr>
        <w:t>homme auprès du Ministère de la justice et des droits de l</w:t>
      </w:r>
      <w:r w:rsidR="00961388">
        <w:rPr>
          <w:lang w:val="fr-CH"/>
        </w:rPr>
        <w:t>’</w:t>
      </w:r>
      <w:r w:rsidRPr="00961388">
        <w:rPr>
          <w:lang w:val="fr-CH"/>
        </w:rPr>
        <w:t>homme, qui s</w:t>
      </w:r>
      <w:r w:rsidR="00961388">
        <w:rPr>
          <w:lang w:val="fr-CH"/>
        </w:rPr>
        <w:t>’</w:t>
      </w:r>
      <w:r w:rsidRPr="00961388">
        <w:rPr>
          <w:lang w:val="fr-CH"/>
        </w:rPr>
        <w:t xml:space="preserve">est chargé de le finaliser. </w:t>
      </w:r>
    </w:p>
    <w:p w:rsidR="00593CC2" w:rsidRDefault="00593CC2" w:rsidP="00593CC2">
      <w:pPr>
        <w:pStyle w:val="H23G"/>
        <w:rPr>
          <w:lang w:val="fr-CH"/>
        </w:rPr>
      </w:pPr>
      <w:r>
        <w:rPr>
          <w:lang w:val="fr-CH"/>
        </w:rPr>
        <w:tab/>
      </w:r>
      <w:r>
        <w:rPr>
          <w:lang w:val="fr-CH"/>
        </w:rPr>
        <w:tab/>
      </w:r>
      <w:r w:rsidR="00570B62" w:rsidRPr="00961388">
        <w:rPr>
          <w:lang w:val="fr-CH"/>
        </w:rPr>
        <w:t xml:space="preserve">Réponse au paragraphe 2 </w:t>
      </w:r>
      <w:r w:rsidR="00667AB8">
        <w:rPr>
          <w:lang w:val="fr-CH"/>
        </w:rPr>
        <w:t>de la liste de points à traiter</w:t>
      </w:r>
    </w:p>
    <w:p w:rsidR="00570B62" w:rsidRPr="00593CC2" w:rsidRDefault="00593CC2" w:rsidP="00593CC2">
      <w:pPr>
        <w:pStyle w:val="SingleTxtG"/>
        <w:rPr>
          <w:b/>
          <w:bCs/>
          <w:rtl/>
          <w:lang w:val="fr-CH"/>
        </w:rPr>
      </w:pPr>
      <w:r w:rsidRPr="00593CC2">
        <w:rPr>
          <w:bCs/>
          <w:lang w:val="fr-CH"/>
        </w:rPr>
        <w:t>6.</w:t>
      </w:r>
      <w:r>
        <w:rPr>
          <w:b/>
          <w:bCs/>
          <w:lang w:val="fr-CH"/>
        </w:rPr>
        <w:tab/>
      </w:r>
      <w:r w:rsidR="00570B62" w:rsidRPr="00961388">
        <w:rPr>
          <w:lang w:val="fr-CH"/>
        </w:rPr>
        <w:t>La Tunisie a adhéré aux objectifs et principes des Nations Unies énoncés dans les instruments internationaux qui dénoncent la discrimination fondée sur la race, la couleur, le sexe, l</w:t>
      </w:r>
      <w:r w:rsidR="00961388">
        <w:rPr>
          <w:lang w:val="fr-CH"/>
        </w:rPr>
        <w:t>’</w:t>
      </w:r>
      <w:r w:rsidR="00570B62" w:rsidRPr="00961388">
        <w:rPr>
          <w:lang w:val="fr-CH"/>
        </w:rPr>
        <w:t>ascendance ou l</w:t>
      </w:r>
      <w:r w:rsidR="00961388">
        <w:rPr>
          <w:lang w:val="fr-CH"/>
        </w:rPr>
        <w:t>’</w:t>
      </w:r>
      <w:r w:rsidR="00570B62" w:rsidRPr="00961388">
        <w:rPr>
          <w:lang w:val="fr-CH"/>
        </w:rPr>
        <w:t>origine nationale ou ethnique, tels que la Convention internationale sur l</w:t>
      </w:r>
      <w:r w:rsidR="00961388">
        <w:rPr>
          <w:lang w:val="fr-CH"/>
        </w:rPr>
        <w:t>’</w:t>
      </w:r>
      <w:r w:rsidR="00570B62" w:rsidRPr="00961388">
        <w:rPr>
          <w:lang w:val="fr-CH"/>
        </w:rPr>
        <w:t>élimination de toutes les formes de discrimination raciale, la Convention sur l</w:t>
      </w:r>
      <w:r w:rsidR="00961388">
        <w:rPr>
          <w:lang w:val="fr-CH"/>
        </w:rPr>
        <w:t>’</w:t>
      </w:r>
      <w:r w:rsidR="00570B62" w:rsidRPr="00961388">
        <w:rPr>
          <w:lang w:val="fr-CH"/>
        </w:rPr>
        <w:t>élimination de toutes les formes de discrimination à l</w:t>
      </w:r>
      <w:r w:rsidR="00961388">
        <w:rPr>
          <w:lang w:val="fr-CH"/>
        </w:rPr>
        <w:t>’</w:t>
      </w:r>
      <w:r w:rsidR="00570B62" w:rsidRPr="00961388">
        <w:rPr>
          <w:lang w:val="fr-CH"/>
        </w:rPr>
        <w:t xml:space="preserve">égard des femmes et son Protocole facultatif. </w:t>
      </w:r>
    </w:p>
    <w:p w:rsidR="00570B62" w:rsidRPr="00961388" w:rsidRDefault="00570B62" w:rsidP="00593CC2">
      <w:pPr>
        <w:pStyle w:val="SingleTxtG"/>
        <w:rPr>
          <w:lang w:val="fr-CH"/>
        </w:rPr>
      </w:pPr>
      <w:r w:rsidRPr="00961388">
        <w:rPr>
          <w:lang w:val="fr-CH"/>
        </w:rPr>
        <w:t>7.</w:t>
      </w:r>
      <w:r w:rsidRPr="00961388">
        <w:rPr>
          <w:lang w:val="fr-CH"/>
        </w:rPr>
        <w:tab/>
        <w:t>Concernant la question de la population africaine subsaharienne et amazighe ainsi que les femmes issues des minorités ethniques ou d</w:t>
      </w:r>
      <w:r w:rsidR="00961388">
        <w:rPr>
          <w:lang w:val="fr-CH"/>
        </w:rPr>
        <w:t>’</w:t>
      </w:r>
      <w:r w:rsidRPr="00961388">
        <w:rPr>
          <w:lang w:val="fr-CH"/>
        </w:rPr>
        <w:t>autres minorités, il est important d</w:t>
      </w:r>
      <w:r w:rsidR="00961388">
        <w:rPr>
          <w:lang w:val="fr-CH"/>
        </w:rPr>
        <w:t>’</w:t>
      </w:r>
      <w:r w:rsidRPr="00961388">
        <w:rPr>
          <w:lang w:val="fr-CH"/>
        </w:rPr>
        <w:t>apporter les précisions figurant ci-après.</w:t>
      </w:r>
    </w:p>
    <w:p w:rsidR="00570B62" w:rsidRPr="00961388" w:rsidRDefault="00570B62" w:rsidP="00593CC2">
      <w:pPr>
        <w:pStyle w:val="SingleTxtG"/>
        <w:rPr>
          <w:lang w:val="fr-CH"/>
        </w:rPr>
      </w:pPr>
      <w:r w:rsidRPr="00961388">
        <w:rPr>
          <w:lang w:val="fr-CH"/>
        </w:rPr>
        <w:t>8.</w:t>
      </w:r>
      <w:r w:rsidRPr="00961388">
        <w:rPr>
          <w:lang w:val="fr-CH"/>
        </w:rPr>
        <w:tab/>
        <w:t>Bien que l</w:t>
      </w:r>
      <w:r w:rsidR="00961388">
        <w:rPr>
          <w:lang w:val="fr-CH"/>
        </w:rPr>
        <w:t>’</w:t>
      </w:r>
      <w:r w:rsidRPr="00961388">
        <w:rPr>
          <w:lang w:val="fr-CH"/>
        </w:rPr>
        <w:t>origine ethnique de la Tunisie soit berbère, néanmoins la population tunisienne a intégré des éléments venus de l</w:t>
      </w:r>
      <w:r w:rsidR="00961388">
        <w:rPr>
          <w:lang w:val="fr-CH"/>
        </w:rPr>
        <w:t>’</w:t>
      </w:r>
      <w:r w:rsidRPr="00961388">
        <w:rPr>
          <w:lang w:val="fr-CH"/>
        </w:rPr>
        <w:t>extérieur du fait du brassage des civilisations qu</w:t>
      </w:r>
      <w:r w:rsidR="00961388">
        <w:rPr>
          <w:lang w:val="fr-CH"/>
        </w:rPr>
        <w:t>’</w:t>
      </w:r>
      <w:r w:rsidRPr="00961388">
        <w:rPr>
          <w:lang w:val="fr-CH"/>
        </w:rPr>
        <w:t>a connu la Tunisie tout au long de l</w:t>
      </w:r>
      <w:r w:rsidR="00961388">
        <w:rPr>
          <w:lang w:val="fr-CH"/>
        </w:rPr>
        <w:t>’</w:t>
      </w:r>
      <w:r w:rsidRPr="00961388">
        <w:rPr>
          <w:lang w:val="fr-CH"/>
        </w:rPr>
        <w:t>histoire. Cependant, la Tunisie ne connaît pas de phénomène de minorité ethnique. D</w:t>
      </w:r>
      <w:r w:rsidR="00961388">
        <w:rPr>
          <w:lang w:val="fr-CH"/>
        </w:rPr>
        <w:t>’</w:t>
      </w:r>
      <w:r w:rsidRPr="00961388">
        <w:rPr>
          <w:lang w:val="fr-CH"/>
        </w:rPr>
        <w:t>ailleurs, aucune revendication interne ne s</w:t>
      </w:r>
      <w:r w:rsidR="00961388">
        <w:rPr>
          <w:lang w:val="fr-CH"/>
        </w:rPr>
        <w:t>’</w:t>
      </w:r>
      <w:r w:rsidRPr="00961388">
        <w:rPr>
          <w:lang w:val="fr-CH"/>
        </w:rPr>
        <w:t xml:space="preserve">est jamais manifestée à ce sujet. </w:t>
      </w:r>
    </w:p>
    <w:p w:rsidR="00570B62" w:rsidRPr="00961388" w:rsidRDefault="00570B62" w:rsidP="00593CC2">
      <w:pPr>
        <w:pStyle w:val="SingleTxtG"/>
        <w:rPr>
          <w:lang w:val="fr-CH"/>
        </w:rPr>
      </w:pPr>
      <w:r w:rsidRPr="00961388">
        <w:rPr>
          <w:lang w:val="fr-CH"/>
        </w:rPr>
        <w:t>9.</w:t>
      </w:r>
      <w:r w:rsidRPr="00961388">
        <w:rPr>
          <w:lang w:val="fr-CH"/>
        </w:rPr>
        <w:tab/>
      </w:r>
      <w:r w:rsidR="00961388">
        <w:rPr>
          <w:lang w:val="fr-CH"/>
        </w:rPr>
        <w:t>À</w:t>
      </w:r>
      <w:r w:rsidRPr="00961388">
        <w:rPr>
          <w:lang w:val="fr-CH"/>
        </w:rPr>
        <w:t xml:space="preserve"> ce propos, et tout en confirmant son engagement à protéger les minorités partout dans le monde conformément au droit international, la Tunisie souhaiterait attirer l</w:t>
      </w:r>
      <w:r w:rsidR="00961388">
        <w:rPr>
          <w:lang w:val="fr-CH"/>
        </w:rPr>
        <w:t>’</w:t>
      </w:r>
      <w:r w:rsidRPr="00961388">
        <w:rPr>
          <w:lang w:val="fr-CH"/>
        </w:rPr>
        <w:t>attention sur la nécessité de tenir compte des réalités existantes et non supposées.</w:t>
      </w:r>
    </w:p>
    <w:p w:rsidR="00593CC2" w:rsidRDefault="00570B62" w:rsidP="00593CC2">
      <w:pPr>
        <w:pStyle w:val="SingleTxtG"/>
        <w:rPr>
          <w:lang w:val="fr-CH"/>
        </w:rPr>
      </w:pPr>
      <w:r w:rsidRPr="00961388">
        <w:rPr>
          <w:lang w:val="fr-CH"/>
        </w:rPr>
        <w:t>10.</w:t>
      </w:r>
      <w:r w:rsidRPr="00961388">
        <w:rPr>
          <w:lang w:val="fr-CH"/>
        </w:rPr>
        <w:tab/>
        <w:t>En effet, l</w:t>
      </w:r>
      <w:r w:rsidR="00961388">
        <w:rPr>
          <w:lang w:val="fr-CH"/>
        </w:rPr>
        <w:t>’</w:t>
      </w:r>
      <w:r w:rsidRPr="00961388">
        <w:rPr>
          <w:lang w:val="fr-CH"/>
        </w:rPr>
        <w:t>identité tunisienne doit être appréciée à l</w:t>
      </w:r>
      <w:r w:rsidR="00961388">
        <w:rPr>
          <w:lang w:val="fr-CH"/>
        </w:rPr>
        <w:t>’</w:t>
      </w:r>
      <w:r w:rsidRPr="00961388">
        <w:rPr>
          <w:lang w:val="fr-CH"/>
        </w:rPr>
        <w:t>aune de la géographie et de l</w:t>
      </w:r>
      <w:r w:rsidR="00961388">
        <w:rPr>
          <w:lang w:val="fr-CH"/>
        </w:rPr>
        <w:t>’</w:t>
      </w:r>
      <w:r w:rsidRPr="00961388">
        <w:rPr>
          <w:lang w:val="fr-CH"/>
        </w:rPr>
        <w:t>histoire. Géographiquement, la Tunisie relève du continent africain. C</w:t>
      </w:r>
      <w:r w:rsidR="00961388">
        <w:rPr>
          <w:lang w:val="fr-CH"/>
        </w:rPr>
        <w:t>’</w:t>
      </w:r>
      <w:r w:rsidRPr="00961388">
        <w:rPr>
          <w:lang w:val="fr-CH"/>
        </w:rPr>
        <w:t>est d</w:t>
      </w:r>
      <w:r w:rsidR="00961388">
        <w:rPr>
          <w:lang w:val="fr-CH"/>
        </w:rPr>
        <w:t>’</w:t>
      </w:r>
      <w:r w:rsidRPr="00961388">
        <w:rPr>
          <w:lang w:val="fr-CH"/>
        </w:rPr>
        <w:t>autant vrai que le toponyme Afrique se rattache à l</w:t>
      </w:r>
      <w:r w:rsidR="00961388">
        <w:rPr>
          <w:lang w:val="fr-CH"/>
        </w:rPr>
        <w:t>’</w:t>
      </w:r>
      <w:r w:rsidRPr="00961388">
        <w:rPr>
          <w:lang w:val="fr-CH"/>
        </w:rPr>
        <w:t>Africa ou Ifriqiya, qui désigne, à l</w:t>
      </w:r>
      <w:r w:rsidR="00961388">
        <w:rPr>
          <w:lang w:val="fr-CH"/>
        </w:rPr>
        <w:t>’</w:t>
      </w:r>
      <w:r w:rsidRPr="00961388">
        <w:rPr>
          <w:lang w:val="fr-CH"/>
        </w:rPr>
        <w:t>origine, un territoire situé dans les environs de Carthage. En rattachant la Tunisie à l</w:t>
      </w:r>
      <w:r w:rsidR="00961388">
        <w:rPr>
          <w:lang w:val="fr-CH"/>
        </w:rPr>
        <w:t>’</w:t>
      </w:r>
      <w:r w:rsidRPr="00961388">
        <w:rPr>
          <w:lang w:val="fr-CH"/>
        </w:rPr>
        <w:t>Afrique, ce lien revêt une dimension ethnoculturelle. Cette réalité se confond aujourd</w:t>
      </w:r>
      <w:r w:rsidR="00961388">
        <w:rPr>
          <w:lang w:val="fr-CH"/>
        </w:rPr>
        <w:t>’</w:t>
      </w:r>
      <w:r w:rsidRPr="00961388">
        <w:rPr>
          <w:lang w:val="fr-CH"/>
        </w:rPr>
        <w:t>hui parfaitement à l</w:t>
      </w:r>
      <w:r w:rsidR="00961388">
        <w:rPr>
          <w:lang w:val="fr-CH"/>
        </w:rPr>
        <w:t>’</w:t>
      </w:r>
      <w:r w:rsidRPr="00961388">
        <w:rPr>
          <w:lang w:val="fr-CH"/>
        </w:rPr>
        <w:t>arabité qui caractérise l</w:t>
      </w:r>
      <w:r w:rsidR="00961388">
        <w:rPr>
          <w:lang w:val="fr-CH"/>
        </w:rPr>
        <w:t>’</w:t>
      </w:r>
      <w:r w:rsidRPr="00961388">
        <w:rPr>
          <w:lang w:val="fr-CH"/>
        </w:rPr>
        <w:t>identité officielle de la Tunisie. En effet, l</w:t>
      </w:r>
      <w:r w:rsidR="00961388">
        <w:rPr>
          <w:lang w:val="fr-CH"/>
        </w:rPr>
        <w:t>’</w:t>
      </w:r>
      <w:r w:rsidRPr="00961388">
        <w:rPr>
          <w:lang w:val="fr-CH"/>
        </w:rPr>
        <w:t>arabité proprement dite a toujours été inclusive, notamment en Tunisie. Elle reconnaît les prédécesseurs et les successeurs d</w:t>
      </w:r>
      <w:r w:rsidR="00961388">
        <w:rPr>
          <w:lang w:val="fr-CH"/>
        </w:rPr>
        <w:t>’</w:t>
      </w:r>
      <w:r w:rsidRPr="00961388">
        <w:rPr>
          <w:lang w:val="fr-CH"/>
        </w:rPr>
        <w:t>une terre largement ouverte sur la Méditerranée, espace d</w:t>
      </w:r>
      <w:r w:rsidR="00961388">
        <w:rPr>
          <w:lang w:val="fr-CH"/>
        </w:rPr>
        <w:t>’</w:t>
      </w:r>
      <w:r w:rsidRPr="00961388">
        <w:rPr>
          <w:lang w:val="fr-CH"/>
        </w:rPr>
        <w:t>osmose par excellence. Ce sont là deux réalités qui n</w:t>
      </w:r>
      <w:r w:rsidR="00961388">
        <w:rPr>
          <w:lang w:val="fr-CH"/>
        </w:rPr>
        <w:t>’</w:t>
      </w:r>
      <w:r w:rsidRPr="00961388">
        <w:rPr>
          <w:lang w:val="fr-CH"/>
        </w:rPr>
        <w:t>excluent nullement le patrimoine antérieur à l</w:t>
      </w:r>
      <w:r w:rsidR="00961388">
        <w:rPr>
          <w:lang w:val="fr-CH"/>
        </w:rPr>
        <w:t>’</w:t>
      </w:r>
      <w:r w:rsidRPr="00961388">
        <w:rPr>
          <w:lang w:val="fr-CH"/>
        </w:rPr>
        <w:t>arabité</w:t>
      </w:r>
      <w:r w:rsidR="00667AB8">
        <w:rPr>
          <w:lang w:val="fr-CH"/>
        </w:rPr>
        <w:t xml:space="preserve"> </w:t>
      </w:r>
      <w:r w:rsidRPr="00961388">
        <w:rPr>
          <w:lang w:val="fr-CH"/>
        </w:rPr>
        <w:t>et à l</w:t>
      </w:r>
      <w:r w:rsidR="00961388">
        <w:rPr>
          <w:lang w:val="fr-CH"/>
        </w:rPr>
        <w:t>’</w:t>
      </w:r>
      <w:r w:rsidRPr="00961388">
        <w:rPr>
          <w:lang w:val="fr-CH"/>
        </w:rPr>
        <w:t>Islam. Le passé est dans le présent et il sera dans le futur. L</w:t>
      </w:r>
      <w:r w:rsidR="00961388">
        <w:rPr>
          <w:lang w:val="fr-CH"/>
        </w:rPr>
        <w:t>’</w:t>
      </w:r>
      <w:r w:rsidRPr="00961388">
        <w:rPr>
          <w:lang w:val="fr-CH"/>
        </w:rPr>
        <w:t>identité arabo-islamique, en tant que telle, intègre donc le passé libyco-berbère mais aussi punique et romain sans la moindre attitude réductrice, pas plus à l</w:t>
      </w:r>
      <w:r w:rsidR="00961388">
        <w:rPr>
          <w:lang w:val="fr-CH"/>
        </w:rPr>
        <w:t>’</w:t>
      </w:r>
      <w:r w:rsidRPr="00961388">
        <w:rPr>
          <w:lang w:val="fr-CH"/>
        </w:rPr>
        <w:t>égard des religions que des origines ethniques qui déterminent l</w:t>
      </w:r>
      <w:r w:rsidR="00961388">
        <w:rPr>
          <w:lang w:val="fr-CH"/>
        </w:rPr>
        <w:t>’</w:t>
      </w:r>
      <w:r w:rsidRPr="00961388">
        <w:rPr>
          <w:lang w:val="fr-CH"/>
        </w:rPr>
        <w:t>identité des Tunisiens sans aucune exclusion. Elle reste constamment ouverte pour s</w:t>
      </w:r>
      <w:r w:rsidR="00961388">
        <w:rPr>
          <w:lang w:val="fr-CH"/>
        </w:rPr>
        <w:t>’</w:t>
      </w:r>
      <w:r w:rsidRPr="00961388">
        <w:rPr>
          <w:lang w:val="fr-CH"/>
        </w:rPr>
        <w:t>enrichir.</w:t>
      </w:r>
    </w:p>
    <w:p w:rsidR="00570B62" w:rsidRPr="00961388" w:rsidRDefault="00593CC2" w:rsidP="00593CC2">
      <w:pPr>
        <w:pStyle w:val="SingleTxtG"/>
        <w:rPr>
          <w:rtl/>
          <w:lang w:val="fr-CH"/>
        </w:rPr>
      </w:pPr>
      <w:r>
        <w:rPr>
          <w:lang w:val="fr-CH"/>
        </w:rPr>
        <w:t>11.</w:t>
      </w:r>
      <w:r w:rsidR="00570B62" w:rsidRPr="00961388">
        <w:rPr>
          <w:rtl/>
          <w:lang w:val="fr-CH"/>
        </w:rPr>
        <w:tab/>
      </w:r>
      <w:r w:rsidR="00570B62" w:rsidRPr="00961388">
        <w:rPr>
          <w:lang w:val="fr-CH"/>
        </w:rPr>
        <w:t>En Tunisie, tout au long de l</w:t>
      </w:r>
      <w:r w:rsidR="00961388">
        <w:rPr>
          <w:lang w:val="fr-CH"/>
        </w:rPr>
        <w:t>’</w:t>
      </w:r>
      <w:r w:rsidR="00570B62" w:rsidRPr="00961388">
        <w:rPr>
          <w:lang w:val="fr-CH"/>
        </w:rPr>
        <w:t>histoire, les populations partagent une culture, c</w:t>
      </w:r>
      <w:r w:rsidR="00961388">
        <w:rPr>
          <w:lang w:val="fr-CH"/>
        </w:rPr>
        <w:t>’</w:t>
      </w:r>
      <w:r w:rsidR="00570B62" w:rsidRPr="00961388">
        <w:rPr>
          <w:lang w:val="fr-CH"/>
        </w:rPr>
        <w:t>est-à-dire des parlers semblables mais non identiques</w:t>
      </w:r>
      <w:r w:rsidR="00961388">
        <w:rPr>
          <w:lang w:val="fr-CH"/>
        </w:rPr>
        <w:t>:</w:t>
      </w:r>
      <w:r w:rsidR="00570B62" w:rsidRPr="00961388">
        <w:rPr>
          <w:lang w:val="fr-CH"/>
        </w:rPr>
        <w:t xml:space="preserve"> ce sont des structures linguistiques qui relèvent d</w:t>
      </w:r>
      <w:r w:rsidR="00961388">
        <w:rPr>
          <w:lang w:val="fr-CH"/>
        </w:rPr>
        <w:t>’</w:t>
      </w:r>
      <w:r w:rsidR="00570B62" w:rsidRPr="00961388">
        <w:rPr>
          <w:lang w:val="fr-CH"/>
        </w:rPr>
        <w:t>un fonds commun. Ces tribus, aux ethnonymes multiples, se perçoivent comme des branches plus ou moins importantes d</w:t>
      </w:r>
      <w:r w:rsidR="00961388">
        <w:rPr>
          <w:lang w:val="fr-CH"/>
        </w:rPr>
        <w:t>’</w:t>
      </w:r>
      <w:r w:rsidR="00570B62" w:rsidRPr="00961388">
        <w:rPr>
          <w:lang w:val="fr-CH"/>
        </w:rPr>
        <w:t>un même arbre solidement enraciné dans le sol. Leurs réalités ethniques et culturelles n</w:t>
      </w:r>
      <w:r w:rsidR="00961388">
        <w:rPr>
          <w:lang w:val="fr-CH"/>
        </w:rPr>
        <w:t>’</w:t>
      </w:r>
      <w:r w:rsidR="00570B62" w:rsidRPr="00961388">
        <w:rPr>
          <w:lang w:val="fr-CH"/>
        </w:rPr>
        <w:t>ont pas échappé aux alluvions de l</w:t>
      </w:r>
      <w:r w:rsidR="00961388">
        <w:rPr>
          <w:lang w:val="fr-CH"/>
        </w:rPr>
        <w:t>’</w:t>
      </w:r>
      <w:r w:rsidR="00570B62" w:rsidRPr="00961388">
        <w:rPr>
          <w:lang w:val="fr-CH"/>
        </w:rPr>
        <w:t>histoire et à ses vicissitudes. La grande majorité des populations furent, tour à tour, punicisées, romanisées, et arabisées sans disparaître. Des îlots purent cependant échapper à ces phénomènes d</w:t>
      </w:r>
      <w:r w:rsidR="00961388">
        <w:rPr>
          <w:lang w:val="fr-CH"/>
        </w:rPr>
        <w:t>’</w:t>
      </w:r>
      <w:r w:rsidR="00570B62" w:rsidRPr="00961388">
        <w:rPr>
          <w:lang w:val="fr-CH"/>
        </w:rPr>
        <w:t>acculturation. Il s</w:t>
      </w:r>
      <w:r w:rsidR="00961388">
        <w:rPr>
          <w:lang w:val="fr-CH"/>
        </w:rPr>
        <w:t>’</w:t>
      </w:r>
      <w:r w:rsidR="00570B62" w:rsidRPr="00961388">
        <w:rPr>
          <w:lang w:val="fr-CH"/>
        </w:rPr>
        <w:t>agit en l</w:t>
      </w:r>
      <w:r w:rsidR="00961388">
        <w:rPr>
          <w:lang w:val="fr-CH"/>
        </w:rPr>
        <w:t>’</w:t>
      </w:r>
      <w:r w:rsidR="00570B62" w:rsidRPr="00961388">
        <w:rPr>
          <w:lang w:val="fr-CH"/>
        </w:rPr>
        <w:t>occurrence de ceux qui, tout en étant solidement attachés à l</w:t>
      </w:r>
      <w:r w:rsidR="00961388">
        <w:rPr>
          <w:lang w:val="fr-CH"/>
        </w:rPr>
        <w:t>’</w:t>
      </w:r>
      <w:r w:rsidR="00570B62" w:rsidRPr="00961388">
        <w:rPr>
          <w:lang w:val="fr-CH"/>
        </w:rPr>
        <w:t>Islam, utilisent des parlers dits berbères ou amazighs, dont le vocabulaire est d</w:t>
      </w:r>
      <w:r w:rsidR="00961388">
        <w:rPr>
          <w:lang w:val="fr-CH"/>
        </w:rPr>
        <w:t>’</w:t>
      </w:r>
      <w:r w:rsidR="00570B62" w:rsidRPr="00961388">
        <w:rPr>
          <w:lang w:val="fr-CH"/>
        </w:rPr>
        <w:t>ailleurs riche en mots et expressions d</w:t>
      </w:r>
      <w:r w:rsidR="00961388">
        <w:rPr>
          <w:lang w:val="fr-CH"/>
        </w:rPr>
        <w:t>’</w:t>
      </w:r>
      <w:r w:rsidR="00570B62" w:rsidRPr="00961388">
        <w:rPr>
          <w:lang w:val="fr-CH"/>
        </w:rPr>
        <w:t xml:space="preserve">origine arabe, voire coranique. </w:t>
      </w:r>
    </w:p>
    <w:p w:rsidR="00570B62" w:rsidRPr="00961388" w:rsidRDefault="00570B62" w:rsidP="00593CC2">
      <w:pPr>
        <w:pStyle w:val="SingleTxtG"/>
        <w:rPr>
          <w:lang w:val="fr-CH"/>
        </w:rPr>
      </w:pPr>
      <w:r w:rsidRPr="00961388">
        <w:rPr>
          <w:lang w:val="fr-CH"/>
        </w:rPr>
        <w:t>12.</w:t>
      </w:r>
      <w:r w:rsidRPr="00961388">
        <w:rPr>
          <w:lang w:val="fr-CH"/>
        </w:rPr>
        <w:tab/>
        <w:t>D</w:t>
      </w:r>
      <w:r w:rsidR="00961388">
        <w:rPr>
          <w:lang w:val="fr-CH"/>
        </w:rPr>
        <w:t>’</w:t>
      </w:r>
      <w:r w:rsidRPr="00961388">
        <w:rPr>
          <w:lang w:val="fr-CH"/>
        </w:rPr>
        <w:t>ailleurs selon une étude souvent citée par le Congrès Mondial Amazigh (Ahmed Boukous</w:t>
      </w:r>
      <w:r w:rsidR="00961388">
        <w:rPr>
          <w:lang w:val="fr-CH"/>
        </w:rPr>
        <w:t>:</w:t>
      </w:r>
      <w:r w:rsidRPr="00961388">
        <w:rPr>
          <w:lang w:val="fr-CH"/>
        </w:rPr>
        <w:t xml:space="preserve"> Le Berbère en Tunisie, revue Études et documents b</w:t>
      </w:r>
      <w:r w:rsidR="00593CC2">
        <w:rPr>
          <w:lang w:val="fr-CH"/>
        </w:rPr>
        <w:t xml:space="preserve">erbères, </w:t>
      </w:r>
      <w:r w:rsidR="00593CC2" w:rsidRPr="00593CC2">
        <w:rPr>
          <w:rFonts w:eastAsia="MS Mincho"/>
          <w:lang w:val="fr-CH"/>
        </w:rPr>
        <w:t>n</w:t>
      </w:r>
      <w:r w:rsidR="00593CC2" w:rsidRPr="00593CC2">
        <w:rPr>
          <w:rFonts w:eastAsia="MS Mincho"/>
          <w:vertAlign w:val="superscript"/>
          <w:lang w:val="fr-CH"/>
        </w:rPr>
        <w:t>o</w:t>
      </w:r>
      <w:r w:rsidR="00593CC2">
        <w:rPr>
          <w:lang w:val="fr-CH"/>
        </w:rPr>
        <w:t xml:space="preserve"> </w:t>
      </w:r>
      <w:r w:rsidRPr="00961388">
        <w:rPr>
          <w:lang w:val="fr-CH"/>
        </w:rPr>
        <w:t>4, 1988), les berbérisants témoignent un intérêt limité à l</w:t>
      </w:r>
      <w:r w:rsidR="00961388">
        <w:rPr>
          <w:lang w:val="fr-CH"/>
        </w:rPr>
        <w:t>’</w:t>
      </w:r>
      <w:r w:rsidRPr="00961388">
        <w:rPr>
          <w:lang w:val="fr-CH"/>
        </w:rPr>
        <w:t>étude du berbère en Tunisie</w:t>
      </w:r>
      <w:r w:rsidR="00961388">
        <w:rPr>
          <w:lang w:val="fr-CH"/>
        </w:rPr>
        <w:t>;</w:t>
      </w:r>
      <w:r w:rsidRPr="00961388">
        <w:rPr>
          <w:lang w:val="fr-CH"/>
        </w:rPr>
        <w:t xml:space="preserve"> la raison principale semble en être le statut marginal de cette langue dont le nombre de locuteurs ne dépasse pas 1</w:t>
      </w:r>
      <w:r w:rsidR="001973D8">
        <w:rPr>
          <w:lang w:val="fr-CH"/>
        </w:rPr>
        <w:t xml:space="preserve"> %</w:t>
      </w:r>
      <w:r w:rsidRPr="00961388">
        <w:rPr>
          <w:lang w:val="fr-CH"/>
        </w:rPr>
        <w:t xml:space="preserve"> de la population tunisienne. L</w:t>
      </w:r>
      <w:r w:rsidR="00961388">
        <w:rPr>
          <w:lang w:val="fr-CH"/>
        </w:rPr>
        <w:t>’</w:t>
      </w:r>
      <w:r w:rsidRPr="00961388">
        <w:rPr>
          <w:lang w:val="fr-CH"/>
        </w:rPr>
        <w:t>auteur d</w:t>
      </w:r>
      <w:r w:rsidR="00961388">
        <w:rPr>
          <w:lang w:val="fr-CH"/>
        </w:rPr>
        <w:t>’</w:t>
      </w:r>
      <w:r w:rsidRPr="00961388">
        <w:rPr>
          <w:lang w:val="fr-CH"/>
        </w:rPr>
        <w:t>une autre étude sur «La question amazighe en Tunisie</w:t>
      </w:r>
      <w:r w:rsidR="00961388">
        <w:rPr>
          <w:lang w:val="fr-CH"/>
        </w:rPr>
        <w:t>»</w:t>
      </w:r>
      <w:r w:rsidR="00EB4DD0">
        <w:rPr>
          <w:lang w:val="fr-CH"/>
        </w:rPr>
        <w:t xml:space="preserve"> </w:t>
      </w:r>
      <w:r w:rsidR="00961388">
        <w:rPr>
          <w:lang w:val="fr-CH"/>
        </w:rPr>
        <w:t xml:space="preserve">(revue Awal, </w:t>
      </w:r>
      <w:r w:rsidR="00961388" w:rsidRPr="00961388">
        <w:rPr>
          <w:rFonts w:eastAsia="MS Mincho"/>
          <w:lang w:val="fr-CH"/>
        </w:rPr>
        <w:t>n</w:t>
      </w:r>
      <w:r w:rsidR="00961388" w:rsidRPr="00961388">
        <w:rPr>
          <w:rFonts w:eastAsia="MS Mincho"/>
          <w:vertAlign w:val="superscript"/>
          <w:lang w:val="fr-CH"/>
        </w:rPr>
        <w:t>o</w:t>
      </w:r>
      <w:r w:rsidR="00961388">
        <w:rPr>
          <w:lang w:val="fr-CH"/>
        </w:rPr>
        <w:t xml:space="preserve"> </w:t>
      </w:r>
      <w:r w:rsidRPr="00961388">
        <w:rPr>
          <w:lang w:val="fr-CH"/>
        </w:rPr>
        <w:t>19) aboutit à la conclusion suivante</w:t>
      </w:r>
      <w:r w:rsidR="00961388">
        <w:rPr>
          <w:lang w:val="fr-CH"/>
        </w:rPr>
        <w:t>:</w:t>
      </w:r>
      <w:r w:rsidRPr="00961388">
        <w:rPr>
          <w:lang w:val="fr-CH"/>
        </w:rPr>
        <w:t xml:space="preserve"> «Quant au couple Arabes/Berbères, je pense qu</w:t>
      </w:r>
      <w:r w:rsidR="00961388">
        <w:rPr>
          <w:lang w:val="fr-CH"/>
        </w:rPr>
        <w:t>’</w:t>
      </w:r>
      <w:r w:rsidRPr="00961388">
        <w:rPr>
          <w:lang w:val="fr-CH"/>
        </w:rPr>
        <w:t>il est préférable de parler plutôt d</w:t>
      </w:r>
      <w:r w:rsidR="00961388">
        <w:rPr>
          <w:lang w:val="fr-CH"/>
        </w:rPr>
        <w:t>’</w:t>
      </w:r>
      <w:r w:rsidRPr="00961388">
        <w:rPr>
          <w:lang w:val="fr-CH"/>
        </w:rPr>
        <w:t>arabophones et de berbérophones. Car nous sommes à la fois des berbères arabisés et des arabes berbérisés. Il y a eu tant de mélanges qu</w:t>
      </w:r>
      <w:r w:rsidR="00961388">
        <w:rPr>
          <w:lang w:val="fr-CH"/>
        </w:rPr>
        <w:t>’</w:t>
      </w:r>
      <w:r w:rsidRPr="00961388">
        <w:rPr>
          <w:lang w:val="fr-CH"/>
        </w:rPr>
        <w:t>il est impossible de parler d</w:t>
      </w:r>
      <w:r w:rsidR="00961388">
        <w:rPr>
          <w:lang w:val="fr-CH"/>
        </w:rPr>
        <w:t>’</w:t>
      </w:r>
      <w:r w:rsidRPr="00961388">
        <w:rPr>
          <w:lang w:val="fr-CH"/>
        </w:rPr>
        <w:t xml:space="preserve">ethnies spécifiquement arabes ou berbères». </w:t>
      </w:r>
    </w:p>
    <w:p w:rsidR="00570B62" w:rsidRPr="00961388" w:rsidRDefault="00570B62" w:rsidP="00593CC2">
      <w:pPr>
        <w:pStyle w:val="SingleTxtG"/>
        <w:rPr>
          <w:lang w:val="fr-CH"/>
        </w:rPr>
      </w:pPr>
      <w:r w:rsidRPr="00961388">
        <w:rPr>
          <w:lang w:val="fr-CH"/>
        </w:rPr>
        <w:t>13.</w:t>
      </w:r>
      <w:r w:rsidRPr="00961388">
        <w:rPr>
          <w:lang w:val="fr-CH"/>
        </w:rPr>
        <w:tab/>
        <w:t>Il n</w:t>
      </w:r>
      <w:r w:rsidR="00961388">
        <w:rPr>
          <w:lang w:val="fr-CH"/>
        </w:rPr>
        <w:t>’</w:t>
      </w:r>
      <w:r w:rsidRPr="00961388">
        <w:rPr>
          <w:lang w:val="fr-CH"/>
        </w:rPr>
        <w:t>existe pas de données ou de statistiques sur les populations africaines subsahariennes et amazighes et sur les femmes issues des minorités ethniques ou d</w:t>
      </w:r>
      <w:r w:rsidR="00961388">
        <w:rPr>
          <w:lang w:val="fr-CH"/>
        </w:rPr>
        <w:t>’</w:t>
      </w:r>
      <w:r w:rsidRPr="00961388">
        <w:rPr>
          <w:lang w:val="fr-CH"/>
        </w:rPr>
        <w:t>autres minorités. D</w:t>
      </w:r>
      <w:r w:rsidR="00961388">
        <w:rPr>
          <w:lang w:val="fr-CH"/>
        </w:rPr>
        <w:t>’</w:t>
      </w:r>
      <w:r w:rsidRPr="00961388">
        <w:rPr>
          <w:lang w:val="fr-CH"/>
        </w:rPr>
        <w:t>ailleurs, la collecte de données relatives aux origines raciales est interdite en Tunisie puisque pouvant être exploitée pour alimenter l</w:t>
      </w:r>
      <w:r w:rsidR="00961388">
        <w:rPr>
          <w:lang w:val="fr-CH"/>
        </w:rPr>
        <w:t>’</w:t>
      </w:r>
      <w:r w:rsidRPr="00961388">
        <w:rPr>
          <w:lang w:val="fr-CH"/>
        </w:rPr>
        <w:t>idée de l</w:t>
      </w:r>
      <w:r w:rsidR="00961388">
        <w:rPr>
          <w:lang w:val="fr-CH"/>
        </w:rPr>
        <w:t>’</w:t>
      </w:r>
      <w:r w:rsidRPr="00961388">
        <w:rPr>
          <w:lang w:val="fr-CH"/>
        </w:rPr>
        <w:t>existence de races humaines distinctes ou pour véhiculer des sentiments erronés de supériorité d</w:t>
      </w:r>
      <w:r w:rsidR="00961388">
        <w:rPr>
          <w:lang w:val="fr-CH"/>
        </w:rPr>
        <w:t>’</w:t>
      </w:r>
      <w:r w:rsidRPr="00961388">
        <w:rPr>
          <w:lang w:val="fr-CH"/>
        </w:rPr>
        <w:t xml:space="preserve">un groupe racial. </w:t>
      </w:r>
    </w:p>
    <w:p w:rsidR="00570B62" w:rsidRPr="00961388" w:rsidRDefault="00570B62" w:rsidP="00667AB8">
      <w:pPr>
        <w:pStyle w:val="SingleTxtG"/>
        <w:keepNext/>
        <w:keepLines/>
        <w:rPr>
          <w:lang w:val="fr-CH"/>
        </w:rPr>
      </w:pPr>
      <w:r w:rsidRPr="00961388">
        <w:rPr>
          <w:lang w:val="fr-CH"/>
        </w:rPr>
        <w:t>14.</w:t>
      </w:r>
      <w:r w:rsidRPr="00961388">
        <w:rPr>
          <w:lang w:val="fr-CH"/>
        </w:rPr>
        <w:tab/>
        <w:t>En effet, c</w:t>
      </w:r>
      <w:r w:rsidR="00961388">
        <w:rPr>
          <w:lang w:val="fr-CH"/>
        </w:rPr>
        <w:t>’</w:t>
      </w:r>
      <w:r w:rsidRPr="00961388">
        <w:rPr>
          <w:lang w:val="fr-CH"/>
        </w:rPr>
        <w:t>est dans le but de parer à de tels dangers que la loi organique du 27 juillet 2004 portant sur la protection des données à caractère personnel pose dans son article 14 le principe d</w:t>
      </w:r>
      <w:r w:rsidR="00961388">
        <w:rPr>
          <w:lang w:val="fr-CH"/>
        </w:rPr>
        <w:t>’</w:t>
      </w:r>
      <w:r w:rsidRPr="00961388">
        <w:rPr>
          <w:lang w:val="fr-CH"/>
        </w:rPr>
        <w:t>interdiction de traitement des données concernant «l</w:t>
      </w:r>
      <w:r w:rsidR="00961388">
        <w:rPr>
          <w:lang w:val="fr-CH"/>
        </w:rPr>
        <w:t>’</w:t>
      </w:r>
      <w:r w:rsidRPr="00961388">
        <w:rPr>
          <w:lang w:val="fr-CH"/>
        </w:rPr>
        <w:t>origine raciale ou génétique» des individus. La violation de cette interdiction est punie, conformément à l</w:t>
      </w:r>
      <w:r w:rsidR="00961388">
        <w:rPr>
          <w:lang w:val="fr-CH"/>
        </w:rPr>
        <w:t>’</w:t>
      </w:r>
      <w:r w:rsidRPr="00961388">
        <w:rPr>
          <w:lang w:val="fr-CH"/>
        </w:rPr>
        <w:t>article 87 de la même loi, d</w:t>
      </w:r>
      <w:r w:rsidR="00961388">
        <w:rPr>
          <w:lang w:val="fr-CH"/>
        </w:rPr>
        <w:t>’</w:t>
      </w:r>
      <w:r w:rsidRPr="00961388">
        <w:rPr>
          <w:lang w:val="fr-CH"/>
        </w:rPr>
        <w:t>une peine d</w:t>
      </w:r>
      <w:r w:rsidR="00961388">
        <w:rPr>
          <w:lang w:val="fr-CH"/>
        </w:rPr>
        <w:t>’</w:t>
      </w:r>
      <w:r w:rsidRPr="00961388">
        <w:rPr>
          <w:lang w:val="fr-CH"/>
        </w:rPr>
        <w:t>emprisonnement de deux ans et d</w:t>
      </w:r>
      <w:r w:rsidR="00961388">
        <w:rPr>
          <w:lang w:val="fr-CH"/>
        </w:rPr>
        <w:t>’</w:t>
      </w:r>
      <w:r w:rsidRPr="00961388">
        <w:rPr>
          <w:lang w:val="fr-CH"/>
        </w:rPr>
        <w:t>une amende de 10 mille dinars tunisien (l</w:t>
      </w:r>
      <w:r w:rsidR="00961388">
        <w:rPr>
          <w:lang w:val="fr-CH"/>
        </w:rPr>
        <w:t>’</w:t>
      </w:r>
      <w:r w:rsidRPr="00961388">
        <w:rPr>
          <w:lang w:val="fr-CH"/>
        </w:rPr>
        <w:t>équivalent d</w:t>
      </w:r>
      <w:r w:rsidR="00961388">
        <w:rPr>
          <w:lang w:val="fr-CH"/>
        </w:rPr>
        <w:t>’</w:t>
      </w:r>
      <w:r w:rsidRPr="00961388">
        <w:rPr>
          <w:lang w:val="fr-CH"/>
        </w:rPr>
        <w:t>environ 7500 dollars des États-Unis).</w:t>
      </w:r>
    </w:p>
    <w:p w:rsidR="00570B62" w:rsidRPr="00961388" w:rsidRDefault="00570B62" w:rsidP="00667AB8">
      <w:pPr>
        <w:pStyle w:val="H1G"/>
        <w:rPr>
          <w:lang w:val="fr-CH"/>
        </w:rPr>
      </w:pPr>
      <w:r w:rsidRPr="00961388">
        <w:rPr>
          <w:lang w:val="fr-CH"/>
        </w:rPr>
        <w:tab/>
      </w:r>
      <w:r w:rsidRPr="00961388">
        <w:rPr>
          <w:lang w:val="fr-CH"/>
        </w:rPr>
        <w:tab/>
        <w:t>Réserves et lois discriminatoires</w:t>
      </w:r>
    </w:p>
    <w:p w:rsidR="00570B62" w:rsidRPr="00961388" w:rsidRDefault="00667AB8" w:rsidP="00667AB8">
      <w:pPr>
        <w:pStyle w:val="H23G"/>
        <w:rPr>
          <w:lang w:val="fr-CH"/>
        </w:rPr>
      </w:pPr>
      <w:r>
        <w:rPr>
          <w:lang w:val="fr-CH"/>
        </w:rPr>
        <w:tab/>
      </w:r>
      <w:r>
        <w:rPr>
          <w:lang w:val="fr-CH"/>
        </w:rPr>
        <w:tab/>
      </w:r>
      <w:r w:rsidR="00570B62" w:rsidRPr="00961388">
        <w:rPr>
          <w:lang w:val="fr-CH"/>
        </w:rPr>
        <w:t xml:space="preserve">Réponse au paragraphe 3 </w:t>
      </w:r>
      <w:r>
        <w:rPr>
          <w:lang w:val="fr-CH"/>
        </w:rPr>
        <w:t>de la liste de points à traiter</w:t>
      </w:r>
    </w:p>
    <w:p w:rsidR="00570B62" w:rsidRPr="00961388" w:rsidRDefault="00570B62" w:rsidP="00593CC2">
      <w:pPr>
        <w:pStyle w:val="SingleTxtG"/>
        <w:rPr>
          <w:lang w:val="fr-CH"/>
        </w:rPr>
      </w:pPr>
      <w:r w:rsidRPr="00961388">
        <w:rPr>
          <w:lang w:val="fr-CH"/>
        </w:rPr>
        <w:t>15.</w:t>
      </w:r>
      <w:r w:rsidRPr="00961388">
        <w:rPr>
          <w:lang w:val="fr-CH"/>
        </w:rPr>
        <w:tab/>
        <w:t>En ce qui concerne la philosophie même de l</w:t>
      </w:r>
      <w:r w:rsidR="00961388">
        <w:rPr>
          <w:lang w:val="fr-CH"/>
        </w:rPr>
        <w:t>’</w:t>
      </w:r>
      <w:r w:rsidRPr="00961388">
        <w:rPr>
          <w:lang w:val="fr-CH"/>
        </w:rPr>
        <w:t>institution du mécanisme de réserves lors des ratifications des conventions internationales et des autres instrument, et des adhésions aux unes et aux autres, il apparaît que la finalité des réserves est, entre autres, d</w:t>
      </w:r>
      <w:r w:rsidR="00961388">
        <w:rPr>
          <w:lang w:val="fr-CH"/>
        </w:rPr>
        <w:t>’</w:t>
      </w:r>
      <w:r w:rsidRPr="00961388">
        <w:rPr>
          <w:lang w:val="fr-CH"/>
        </w:rPr>
        <w:t>encourager les États à adhérer aux conventions internationales en leur permettant de dépasser les obstacles internes pouvant bloquer le processus d</w:t>
      </w:r>
      <w:r w:rsidR="00961388">
        <w:rPr>
          <w:lang w:val="fr-CH"/>
        </w:rPr>
        <w:t>’</w:t>
      </w:r>
      <w:r w:rsidRPr="00961388">
        <w:rPr>
          <w:lang w:val="fr-CH"/>
        </w:rPr>
        <w:t>adhésion. Cette technique permet en effet la ratification et l</w:t>
      </w:r>
      <w:r w:rsidR="00961388">
        <w:rPr>
          <w:lang w:val="fr-CH"/>
        </w:rPr>
        <w:t>’</w:t>
      </w:r>
      <w:r w:rsidRPr="00961388">
        <w:rPr>
          <w:lang w:val="fr-CH"/>
        </w:rPr>
        <w:t>adhésion des pays concernés tout en tenant compte des spécificités internes et en évitant d</w:t>
      </w:r>
      <w:r w:rsidR="00961388">
        <w:rPr>
          <w:lang w:val="fr-CH"/>
        </w:rPr>
        <w:t>’</w:t>
      </w:r>
      <w:r w:rsidRPr="00961388">
        <w:rPr>
          <w:lang w:val="fr-CH"/>
        </w:rPr>
        <w:t xml:space="preserve">offusquer une société dont les valeurs et les convictions semblent se trouver encore heurtées par le contenu de certains articles de la Convention. </w:t>
      </w:r>
    </w:p>
    <w:p w:rsidR="00570B62" w:rsidRPr="00961388" w:rsidRDefault="00570B62" w:rsidP="00593CC2">
      <w:pPr>
        <w:pStyle w:val="SingleTxtG"/>
        <w:rPr>
          <w:lang w:val="fr-CH"/>
        </w:rPr>
      </w:pPr>
      <w:r w:rsidRPr="00961388">
        <w:rPr>
          <w:lang w:val="fr-CH"/>
        </w:rPr>
        <w:t>16.</w:t>
      </w:r>
      <w:r w:rsidRPr="00961388">
        <w:rPr>
          <w:lang w:val="fr-CH"/>
        </w:rPr>
        <w:tab/>
        <w:t>Dès lors, les États membres s</w:t>
      </w:r>
      <w:r w:rsidR="00961388">
        <w:rPr>
          <w:lang w:val="fr-CH"/>
        </w:rPr>
        <w:t>’</w:t>
      </w:r>
      <w:r w:rsidRPr="00961388">
        <w:rPr>
          <w:lang w:val="fr-CH"/>
        </w:rPr>
        <w:t xml:space="preserve">engagent en contrepartie à préparer le terrain au niveau interne pour une meilleure acceptation et adhésion à tous les principes véhiculés par cet instrument. </w:t>
      </w:r>
    </w:p>
    <w:p w:rsidR="00667AB8" w:rsidRDefault="00570B62" w:rsidP="00593CC2">
      <w:pPr>
        <w:pStyle w:val="SingleTxtG"/>
        <w:rPr>
          <w:lang w:val="fr-CH"/>
        </w:rPr>
      </w:pPr>
      <w:r w:rsidRPr="00961388">
        <w:rPr>
          <w:lang w:val="fr-CH"/>
        </w:rPr>
        <w:t>17.</w:t>
      </w:r>
      <w:r w:rsidRPr="00961388">
        <w:rPr>
          <w:lang w:val="fr-CH"/>
        </w:rPr>
        <w:tab/>
        <w:t>C</w:t>
      </w:r>
      <w:r w:rsidR="00961388">
        <w:rPr>
          <w:lang w:val="fr-CH"/>
        </w:rPr>
        <w:t>’</w:t>
      </w:r>
      <w:r w:rsidRPr="00961388">
        <w:rPr>
          <w:lang w:val="fr-CH"/>
        </w:rPr>
        <w:t>est précisément dans cette finalité que la Tunisie a déjà entrepris des démarches en vue de revoir sa position par rapport à ses réserves concernant la Convention sur l</w:t>
      </w:r>
      <w:r w:rsidR="00961388">
        <w:rPr>
          <w:lang w:val="fr-CH"/>
        </w:rPr>
        <w:t>’</w:t>
      </w:r>
      <w:r w:rsidRPr="00961388">
        <w:rPr>
          <w:lang w:val="fr-CH"/>
        </w:rPr>
        <w:t>élimination de toutes les formes de discrimination à l</w:t>
      </w:r>
      <w:r w:rsidR="00961388">
        <w:rPr>
          <w:lang w:val="fr-CH"/>
        </w:rPr>
        <w:t>’</w:t>
      </w:r>
      <w:r w:rsidRPr="00961388">
        <w:rPr>
          <w:lang w:val="fr-CH"/>
        </w:rPr>
        <w:t xml:space="preserve">égard des femmes. </w:t>
      </w:r>
    </w:p>
    <w:p w:rsidR="00570B62" w:rsidRPr="00961388" w:rsidRDefault="00667AB8" w:rsidP="00593CC2">
      <w:pPr>
        <w:pStyle w:val="SingleTxtG"/>
        <w:rPr>
          <w:rtl/>
          <w:lang w:val="fr-CH"/>
        </w:rPr>
      </w:pPr>
      <w:r>
        <w:rPr>
          <w:lang w:val="fr-CH"/>
        </w:rPr>
        <w:t>18.</w:t>
      </w:r>
      <w:r w:rsidR="00570B62" w:rsidRPr="00961388">
        <w:rPr>
          <w:rtl/>
          <w:lang w:val="fr-CH"/>
        </w:rPr>
        <w:tab/>
      </w:r>
      <w:r w:rsidR="00570B62" w:rsidRPr="00961388">
        <w:rPr>
          <w:lang w:val="fr-CH"/>
        </w:rPr>
        <w:t>En effet, la Tunisie n</w:t>
      </w:r>
      <w:r w:rsidR="00961388">
        <w:rPr>
          <w:lang w:val="fr-CH"/>
        </w:rPr>
        <w:t>’</w:t>
      </w:r>
      <w:r w:rsidR="00570B62" w:rsidRPr="00961388">
        <w:rPr>
          <w:lang w:val="fr-CH"/>
        </w:rPr>
        <w:t>a cessé depuis son adhésion à la Convention sur l</w:t>
      </w:r>
      <w:r w:rsidR="00961388">
        <w:rPr>
          <w:lang w:val="fr-CH"/>
        </w:rPr>
        <w:t>’</w:t>
      </w:r>
      <w:r w:rsidR="00570B62" w:rsidRPr="00961388">
        <w:rPr>
          <w:lang w:val="fr-CH"/>
        </w:rPr>
        <w:t>élimination de toutes les formes de discrimination à l</w:t>
      </w:r>
      <w:r w:rsidR="00961388">
        <w:rPr>
          <w:lang w:val="fr-CH"/>
        </w:rPr>
        <w:t>’</w:t>
      </w:r>
      <w:r w:rsidR="00570B62" w:rsidRPr="00961388">
        <w:rPr>
          <w:lang w:val="fr-CH"/>
        </w:rPr>
        <w:t>égard des femmes d</w:t>
      </w:r>
      <w:r w:rsidR="00961388">
        <w:rPr>
          <w:lang w:val="fr-CH"/>
        </w:rPr>
        <w:t>’</w:t>
      </w:r>
      <w:r w:rsidR="00570B62" w:rsidRPr="00961388">
        <w:rPr>
          <w:lang w:val="fr-CH"/>
        </w:rPr>
        <w:t>adapter progressivement sa législation aux principes et normes contenus dans cette Convention. Chaque année, de nouvelles dispositions sont adoptées afin de rapprocher la législation interne des normes et dispositions de la Convention sur l</w:t>
      </w:r>
      <w:r w:rsidR="00961388">
        <w:rPr>
          <w:lang w:val="fr-CH"/>
        </w:rPr>
        <w:t>’</w:t>
      </w:r>
      <w:r w:rsidR="00570B62" w:rsidRPr="00961388">
        <w:rPr>
          <w:lang w:val="fr-CH"/>
        </w:rPr>
        <w:t>élimination de toutes les formes de discrimination à l</w:t>
      </w:r>
      <w:r w:rsidR="00961388">
        <w:rPr>
          <w:lang w:val="fr-CH"/>
        </w:rPr>
        <w:t>’</w:t>
      </w:r>
      <w:r w:rsidR="00570B62" w:rsidRPr="00961388">
        <w:rPr>
          <w:lang w:val="fr-CH"/>
        </w:rPr>
        <w:t>égard des femmes.</w:t>
      </w:r>
    </w:p>
    <w:p w:rsidR="00570B62" w:rsidRPr="00961388" w:rsidRDefault="00570B62" w:rsidP="00593CC2">
      <w:pPr>
        <w:pStyle w:val="SingleTxtG"/>
        <w:rPr>
          <w:lang w:val="fr-CH"/>
        </w:rPr>
      </w:pPr>
      <w:r w:rsidRPr="00961388">
        <w:rPr>
          <w:lang w:val="fr-CH"/>
        </w:rPr>
        <w:t>19.</w:t>
      </w:r>
      <w:r w:rsidRPr="00961388">
        <w:rPr>
          <w:lang w:val="fr-CH"/>
        </w:rPr>
        <w:tab/>
        <w:t>Outre l</w:t>
      </w:r>
      <w:r w:rsidR="00961388">
        <w:rPr>
          <w:lang w:val="fr-CH"/>
        </w:rPr>
        <w:t>’</w:t>
      </w:r>
      <w:r w:rsidRPr="00961388">
        <w:rPr>
          <w:lang w:val="fr-CH"/>
        </w:rPr>
        <w:t>effort entrepris tant au niveau législatif qu</w:t>
      </w:r>
      <w:r w:rsidR="00961388">
        <w:rPr>
          <w:lang w:val="fr-CH"/>
        </w:rPr>
        <w:t>’</w:t>
      </w:r>
      <w:r w:rsidRPr="00961388">
        <w:rPr>
          <w:lang w:val="fr-CH"/>
        </w:rPr>
        <w:t>institutionnel et confié aux différents départements chargés de la question, notamment à la structure créée au niveau des services du Coordinateur général des droits de l</w:t>
      </w:r>
      <w:r w:rsidR="00961388">
        <w:rPr>
          <w:lang w:val="fr-CH"/>
        </w:rPr>
        <w:t>’</w:t>
      </w:r>
      <w:r w:rsidRPr="00961388">
        <w:rPr>
          <w:lang w:val="fr-CH"/>
        </w:rPr>
        <w:t>homme auprès du Ministère de la justice et des droits de l</w:t>
      </w:r>
      <w:r w:rsidR="00961388">
        <w:rPr>
          <w:lang w:val="fr-CH"/>
        </w:rPr>
        <w:t>’</w:t>
      </w:r>
      <w:r w:rsidRPr="00961388">
        <w:rPr>
          <w:lang w:val="fr-CH"/>
        </w:rPr>
        <w:t>homme qui est chargée du suivi des recommandations des organes de traités, la Tunisie accorde une grande importance à l</w:t>
      </w:r>
      <w:r w:rsidR="00961388">
        <w:rPr>
          <w:lang w:val="fr-CH"/>
        </w:rPr>
        <w:t>’</w:t>
      </w:r>
      <w:r w:rsidRPr="00961388">
        <w:rPr>
          <w:lang w:val="fr-CH"/>
        </w:rPr>
        <w:t>émancipation</w:t>
      </w:r>
      <w:r w:rsidRPr="00961388">
        <w:rPr>
          <w:rtl/>
          <w:lang w:val="fr-CH"/>
        </w:rPr>
        <w:t xml:space="preserve"> </w:t>
      </w:r>
      <w:r w:rsidRPr="00961388">
        <w:rPr>
          <w:lang w:val="fr-CH"/>
        </w:rPr>
        <w:t xml:space="preserve">des mentalités et à la préparation de la société à ces changements. </w:t>
      </w:r>
    </w:p>
    <w:p w:rsidR="00570B62" w:rsidRPr="00961388" w:rsidRDefault="00570B62" w:rsidP="00593CC2">
      <w:pPr>
        <w:pStyle w:val="SingleTxtG"/>
        <w:rPr>
          <w:lang w:val="fr-CH"/>
        </w:rPr>
      </w:pPr>
      <w:r w:rsidRPr="00961388">
        <w:rPr>
          <w:lang w:val="fr-CH"/>
        </w:rPr>
        <w:t>20.</w:t>
      </w:r>
      <w:r w:rsidRPr="00961388">
        <w:rPr>
          <w:lang w:val="fr-CH"/>
        </w:rPr>
        <w:tab/>
      </w:r>
      <w:r w:rsidR="00593CC2">
        <w:rPr>
          <w:lang w:val="fr-CH"/>
        </w:rPr>
        <w:t>À</w:t>
      </w:r>
      <w:r w:rsidRPr="00961388">
        <w:rPr>
          <w:lang w:val="fr-CH"/>
        </w:rPr>
        <w:t xml:space="preserve"> ce niveau, l</w:t>
      </w:r>
      <w:r w:rsidR="00961388">
        <w:rPr>
          <w:lang w:val="fr-CH"/>
        </w:rPr>
        <w:t>’</w:t>
      </w:r>
      <w:r w:rsidRPr="00961388">
        <w:rPr>
          <w:lang w:val="fr-CH"/>
        </w:rPr>
        <w:t>œuvre n</w:t>
      </w:r>
      <w:r w:rsidR="00961388">
        <w:rPr>
          <w:lang w:val="fr-CH"/>
        </w:rPr>
        <w:t>’</w:t>
      </w:r>
      <w:r w:rsidRPr="00961388">
        <w:rPr>
          <w:lang w:val="fr-CH"/>
        </w:rPr>
        <w:t>est nullement aisée</w:t>
      </w:r>
      <w:r w:rsidR="00961388">
        <w:rPr>
          <w:lang w:val="fr-CH"/>
        </w:rPr>
        <w:t>;</w:t>
      </w:r>
      <w:r w:rsidRPr="00961388">
        <w:rPr>
          <w:lang w:val="fr-CH"/>
        </w:rPr>
        <w:t xml:space="preserve"> elle se heurte à de réels obstacles tenant au fait que certains principes contenus dans la Convention sur l</w:t>
      </w:r>
      <w:r w:rsidR="00961388">
        <w:rPr>
          <w:lang w:val="fr-CH"/>
        </w:rPr>
        <w:t>’</w:t>
      </w:r>
      <w:r w:rsidRPr="00961388">
        <w:rPr>
          <w:lang w:val="fr-CH"/>
        </w:rPr>
        <w:t>élimination de toutes les formes de discrimination à l</w:t>
      </w:r>
      <w:r w:rsidR="00961388">
        <w:rPr>
          <w:lang w:val="fr-CH"/>
        </w:rPr>
        <w:t>’</w:t>
      </w:r>
      <w:r w:rsidRPr="00961388">
        <w:rPr>
          <w:lang w:val="fr-CH"/>
        </w:rPr>
        <w:t>égard des femmes paraissent contredire les préceptes de la religion musulmane, voire même le texte coranique. C</w:t>
      </w:r>
      <w:r w:rsidR="00961388">
        <w:rPr>
          <w:lang w:val="fr-CH"/>
        </w:rPr>
        <w:t>’</w:t>
      </w:r>
      <w:r w:rsidRPr="00961388">
        <w:rPr>
          <w:lang w:val="fr-CH"/>
        </w:rPr>
        <w:t>est là un réel blocage idéologique que la population et la société civile, toutes composantes confondues, essaient d</w:t>
      </w:r>
      <w:r w:rsidR="00961388">
        <w:rPr>
          <w:lang w:val="fr-CH"/>
        </w:rPr>
        <w:t>’</w:t>
      </w:r>
      <w:r w:rsidRPr="00961388">
        <w:rPr>
          <w:lang w:val="fr-CH"/>
        </w:rPr>
        <w:t>atténuer en adoptant une interprétation plus rationnelle et nuancée des textes coraniques.</w:t>
      </w:r>
    </w:p>
    <w:p w:rsidR="00570B62" w:rsidRPr="00961388" w:rsidRDefault="00570B62" w:rsidP="00667AB8">
      <w:pPr>
        <w:pStyle w:val="H1G"/>
        <w:rPr>
          <w:lang w:val="fr-CH"/>
        </w:rPr>
      </w:pPr>
      <w:r w:rsidRPr="00961388">
        <w:rPr>
          <w:lang w:val="fr-CH"/>
        </w:rPr>
        <w:tab/>
      </w:r>
      <w:r w:rsidRPr="00961388">
        <w:rPr>
          <w:lang w:val="fr-CH"/>
        </w:rPr>
        <w:tab/>
        <w:t>Statut juridique de la Convention, définition de la discrimination</w:t>
      </w:r>
    </w:p>
    <w:p w:rsidR="00570B62" w:rsidRPr="00961388" w:rsidRDefault="00667AB8" w:rsidP="00667AB8">
      <w:pPr>
        <w:pStyle w:val="H23G"/>
        <w:rPr>
          <w:lang w:val="fr-CH"/>
        </w:rPr>
      </w:pPr>
      <w:r>
        <w:rPr>
          <w:lang w:val="fr-CH"/>
        </w:rPr>
        <w:tab/>
      </w:r>
      <w:r>
        <w:rPr>
          <w:lang w:val="fr-CH"/>
        </w:rPr>
        <w:tab/>
      </w:r>
      <w:r w:rsidR="00570B62" w:rsidRPr="00961388">
        <w:rPr>
          <w:lang w:val="fr-CH"/>
        </w:rPr>
        <w:t xml:space="preserve">Réponse au paragraphe 4 </w:t>
      </w:r>
      <w:r w:rsidR="00910D7D">
        <w:rPr>
          <w:lang w:val="fr-CH"/>
        </w:rPr>
        <w:t>de la liste de points à traiter</w:t>
      </w:r>
    </w:p>
    <w:p w:rsidR="00570B62" w:rsidRPr="00961388" w:rsidRDefault="00667AB8" w:rsidP="00667AB8">
      <w:pPr>
        <w:pStyle w:val="H4G"/>
        <w:rPr>
          <w:lang w:val="fr-CH"/>
        </w:rPr>
      </w:pPr>
      <w:r>
        <w:rPr>
          <w:lang w:val="fr-CH"/>
        </w:rPr>
        <w:tab/>
        <w:t>1.</w:t>
      </w:r>
      <w:r>
        <w:rPr>
          <w:lang w:val="fr-CH"/>
        </w:rPr>
        <w:tab/>
      </w:r>
      <w:r w:rsidR="00570B62" w:rsidRPr="00961388">
        <w:rPr>
          <w:lang w:val="fr-CH"/>
        </w:rPr>
        <w:t xml:space="preserve">Suprématie des traités internationaux sur les lois </w:t>
      </w:r>
    </w:p>
    <w:p w:rsidR="00570B62" w:rsidRPr="00961388" w:rsidRDefault="00570B62" w:rsidP="002A3A5A">
      <w:pPr>
        <w:pStyle w:val="SingleTxtG"/>
        <w:rPr>
          <w:lang w:val="fr-CH"/>
        </w:rPr>
      </w:pPr>
      <w:r w:rsidRPr="00961388">
        <w:rPr>
          <w:lang w:val="fr-CH"/>
        </w:rPr>
        <w:t>21.</w:t>
      </w:r>
      <w:r w:rsidRPr="00961388">
        <w:rPr>
          <w:lang w:val="fr-CH"/>
        </w:rPr>
        <w:tab/>
        <w:t>Le régime juridique qui s</w:t>
      </w:r>
      <w:r w:rsidR="00961388">
        <w:rPr>
          <w:lang w:val="fr-CH"/>
        </w:rPr>
        <w:t>’</w:t>
      </w:r>
      <w:r w:rsidRPr="00961388">
        <w:rPr>
          <w:lang w:val="fr-CH"/>
        </w:rPr>
        <w:t>applique à tous les traités en Tunisie, toutes catégories confondues, est prévu par l</w:t>
      </w:r>
      <w:r w:rsidR="00961388">
        <w:rPr>
          <w:lang w:val="fr-CH"/>
        </w:rPr>
        <w:t>’</w:t>
      </w:r>
      <w:r w:rsidRPr="00961388">
        <w:rPr>
          <w:lang w:val="fr-CH"/>
        </w:rPr>
        <w:t>article 32 de la Constitution. En effet, cette disposition constitutionnelle prévoit, entre autres, que</w:t>
      </w:r>
      <w:r w:rsidR="00961388">
        <w:rPr>
          <w:lang w:val="fr-CH"/>
        </w:rPr>
        <w:t>:</w:t>
      </w:r>
      <w:r w:rsidRPr="00961388">
        <w:rPr>
          <w:lang w:val="fr-CH"/>
        </w:rPr>
        <w:t> </w:t>
      </w:r>
      <w:r w:rsidR="00961388">
        <w:rPr>
          <w:lang w:val="fr-CH"/>
        </w:rPr>
        <w:t>«</w:t>
      </w:r>
      <w:r w:rsidRPr="00961388">
        <w:rPr>
          <w:lang w:val="fr-CH"/>
        </w:rPr>
        <w:t>Les traités ratifiés par le Président de la République et approuvés par la Chambre des députés ont une autorité supérieure à celle des lois</w:t>
      </w:r>
      <w:r w:rsidR="00961388">
        <w:rPr>
          <w:lang w:val="fr-CH"/>
        </w:rPr>
        <w:t>»</w:t>
      </w:r>
      <w:r w:rsidRPr="00961388">
        <w:rPr>
          <w:lang w:val="fr-CH"/>
        </w:rPr>
        <w:t>. La Constitution fixe ainsi la place des traités dans la hiérarchie des normes juridiques.</w:t>
      </w:r>
    </w:p>
    <w:p w:rsidR="00570B62" w:rsidRPr="00961388" w:rsidRDefault="00570B62" w:rsidP="002A3A5A">
      <w:pPr>
        <w:pStyle w:val="SingleTxtG"/>
        <w:rPr>
          <w:lang w:val="fr-CH"/>
        </w:rPr>
      </w:pPr>
      <w:r w:rsidRPr="00961388">
        <w:rPr>
          <w:lang w:val="fr-CH"/>
        </w:rPr>
        <w:t>22.</w:t>
      </w:r>
      <w:r w:rsidRPr="00961388">
        <w:rPr>
          <w:lang w:val="fr-CH"/>
        </w:rPr>
        <w:tab/>
      </w:r>
      <w:r w:rsidR="002A3A5A">
        <w:rPr>
          <w:lang w:val="fr-CH"/>
        </w:rPr>
        <w:t>À</w:t>
      </w:r>
      <w:r w:rsidRPr="00961388">
        <w:rPr>
          <w:lang w:val="fr-CH"/>
        </w:rPr>
        <w:t xml:space="preserve"> partir du moment où il est entré en vigueur, moyennant une loi d</w:t>
      </w:r>
      <w:r w:rsidR="00961388">
        <w:rPr>
          <w:lang w:val="fr-CH"/>
        </w:rPr>
        <w:t>’</w:t>
      </w:r>
      <w:r w:rsidRPr="00961388">
        <w:rPr>
          <w:lang w:val="fr-CH"/>
        </w:rPr>
        <w:t>approbation et un décret de ratification, le traité international prend place dans l</w:t>
      </w:r>
      <w:r w:rsidR="00961388">
        <w:rPr>
          <w:lang w:val="fr-CH"/>
        </w:rPr>
        <w:t>’</w:t>
      </w:r>
      <w:r w:rsidRPr="00961388">
        <w:rPr>
          <w:lang w:val="fr-CH"/>
        </w:rPr>
        <w:t>ordre juridique national et devient une source de droit obligatoire et supérieure.</w:t>
      </w:r>
    </w:p>
    <w:p w:rsidR="00570B62" w:rsidRPr="00961388" w:rsidRDefault="00570B62" w:rsidP="002A3A5A">
      <w:pPr>
        <w:pStyle w:val="SingleTxtG"/>
        <w:rPr>
          <w:lang w:val="fr-CH"/>
        </w:rPr>
      </w:pPr>
      <w:r w:rsidRPr="00961388">
        <w:rPr>
          <w:lang w:val="fr-CH"/>
        </w:rPr>
        <w:t>23.</w:t>
      </w:r>
      <w:r w:rsidRPr="00961388">
        <w:rPr>
          <w:lang w:val="fr-CH"/>
        </w:rPr>
        <w:tab/>
        <w:t>Le respect de la règle posée par l</w:t>
      </w:r>
      <w:r w:rsidR="00961388">
        <w:rPr>
          <w:lang w:val="fr-CH"/>
        </w:rPr>
        <w:t>’</w:t>
      </w:r>
      <w:r w:rsidRPr="00961388">
        <w:rPr>
          <w:lang w:val="fr-CH"/>
        </w:rPr>
        <w:t>article 32 de la Constitution s</w:t>
      </w:r>
      <w:r w:rsidR="00961388">
        <w:rPr>
          <w:lang w:val="fr-CH"/>
        </w:rPr>
        <w:t>’</w:t>
      </w:r>
      <w:r w:rsidRPr="00961388">
        <w:rPr>
          <w:lang w:val="fr-CH"/>
        </w:rPr>
        <w:t>impose à tous, y compris aux juges et aux autres pouvoirs constitutionnels de l</w:t>
      </w:r>
      <w:r w:rsidR="00961388">
        <w:rPr>
          <w:lang w:val="fr-CH"/>
        </w:rPr>
        <w:t>’</w:t>
      </w:r>
      <w:r w:rsidRPr="00961388">
        <w:rPr>
          <w:lang w:val="fr-CH"/>
        </w:rPr>
        <w:t>État.</w:t>
      </w:r>
    </w:p>
    <w:p w:rsidR="00570B62" w:rsidRPr="00961388" w:rsidRDefault="00570B62" w:rsidP="002A3A5A">
      <w:pPr>
        <w:pStyle w:val="SingleTxtG"/>
        <w:rPr>
          <w:lang w:val="fr-CH"/>
        </w:rPr>
      </w:pPr>
      <w:r w:rsidRPr="00961388">
        <w:rPr>
          <w:lang w:val="fr-CH"/>
        </w:rPr>
        <w:t>24.</w:t>
      </w:r>
      <w:r w:rsidRPr="00961388">
        <w:rPr>
          <w:lang w:val="fr-CH"/>
        </w:rPr>
        <w:tab/>
        <w:t>Pour garantir cette suprématie, la Tunisie a en effet, ces dernières années, développé des mécanismes permettant de donner effet à la primauté sur les lois internes des instruments internationaux ratifiés, notamment la saisine obligatoire du Conseil constitutionnel pour avis conforme et l</w:t>
      </w:r>
      <w:r w:rsidR="00961388">
        <w:rPr>
          <w:lang w:val="fr-CH"/>
        </w:rPr>
        <w:t>’</w:t>
      </w:r>
      <w:r w:rsidRPr="00961388">
        <w:rPr>
          <w:lang w:val="fr-CH"/>
        </w:rPr>
        <w:t>applicabilité prononcée directement par les juges des instruments internationaux relatifs aux droits de l</w:t>
      </w:r>
      <w:r w:rsidR="00961388">
        <w:rPr>
          <w:lang w:val="fr-CH"/>
        </w:rPr>
        <w:t>’</w:t>
      </w:r>
      <w:r w:rsidRPr="00961388">
        <w:rPr>
          <w:lang w:val="fr-CH"/>
        </w:rPr>
        <w:t>homme.</w:t>
      </w:r>
    </w:p>
    <w:p w:rsidR="00570B62" w:rsidRPr="00961388" w:rsidRDefault="002A3A5A" w:rsidP="002A3A5A">
      <w:pPr>
        <w:pStyle w:val="H4G"/>
        <w:rPr>
          <w:lang w:val="fr-CH"/>
        </w:rPr>
      </w:pPr>
      <w:r>
        <w:rPr>
          <w:lang w:val="fr-CH"/>
        </w:rPr>
        <w:tab/>
        <w:t>2.</w:t>
      </w:r>
      <w:r>
        <w:rPr>
          <w:lang w:val="fr-CH"/>
        </w:rPr>
        <w:tab/>
      </w:r>
      <w:r w:rsidR="00570B62" w:rsidRPr="00961388">
        <w:rPr>
          <w:lang w:val="fr-CH"/>
        </w:rPr>
        <w:t>Rôle du Conseil constitutionnel (saisine obligatoire)</w:t>
      </w:r>
    </w:p>
    <w:p w:rsidR="00570B62" w:rsidRPr="00961388" w:rsidRDefault="00570B62" w:rsidP="002A3A5A">
      <w:pPr>
        <w:pStyle w:val="SingleTxtG"/>
        <w:rPr>
          <w:lang w:val="fr-CH"/>
        </w:rPr>
      </w:pPr>
      <w:r w:rsidRPr="00961388">
        <w:rPr>
          <w:lang w:val="fr-CH"/>
        </w:rPr>
        <w:t>25.</w:t>
      </w:r>
      <w:r w:rsidRPr="00961388">
        <w:rPr>
          <w:lang w:val="fr-CH"/>
        </w:rPr>
        <w:tab/>
        <w:t>Le Conseil constitutionnel est expressément chargé, notamment depuis les lois constitutionnelles du 27 octobre 1997 et du 1er juin 2002, de contrôler la conformité et la compatibilité de tous les projets de loi à la Constitution et, plus spécialement à ses dispositions relatives aux droits fondamentaux. Le contrôle exercé est un contrôle préventif qui vise à s</w:t>
      </w:r>
      <w:r w:rsidR="00961388">
        <w:rPr>
          <w:lang w:val="fr-CH"/>
        </w:rPr>
        <w:t>’</w:t>
      </w:r>
      <w:r w:rsidRPr="00961388">
        <w:rPr>
          <w:lang w:val="fr-CH"/>
        </w:rPr>
        <w:t>assurer de la conformité du texte examiné avec les prescriptions de la Constitution, ainsi qu</w:t>
      </w:r>
      <w:r w:rsidR="00961388">
        <w:rPr>
          <w:lang w:val="fr-CH"/>
        </w:rPr>
        <w:t>’</w:t>
      </w:r>
      <w:r w:rsidRPr="00961388">
        <w:rPr>
          <w:lang w:val="fr-CH"/>
        </w:rPr>
        <w:t>à veiller, entre autres, à la conformité de l</w:t>
      </w:r>
      <w:r w:rsidR="00961388">
        <w:rPr>
          <w:lang w:val="fr-CH"/>
        </w:rPr>
        <w:t>’</w:t>
      </w:r>
      <w:r w:rsidRPr="00961388">
        <w:rPr>
          <w:lang w:val="fr-CH"/>
        </w:rPr>
        <w:t>ordonnancement juridique interne avec les traités internationaux ratifiés. Le Conseil émet alors un avis motivé et obligatoire, qui est publié au Journal officiel de la République tunisienne (JORT).</w:t>
      </w:r>
    </w:p>
    <w:p w:rsidR="00570B62" w:rsidRPr="00961388" w:rsidRDefault="00961388" w:rsidP="002A3A5A">
      <w:pPr>
        <w:pStyle w:val="SingleTxtG"/>
        <w:rPr>
          <w:lang w:val="fr-CH"/>
        </w:rPr>
      </w:pPr>
      <w:r>
        <w:rPr>
          <w:lang w:val="fr-CH"/>
        </w:rPr>
        <w:t>26.</w:t>
      </w:r>
      <w:r>
        <w:rPr>
          <w:lang w:val="fr-CH"/>
        </w:rPr>
        <w:tab/>
        <w:t xml:space="preserve">Dans son Avis </w:t>
      </w:r>
      <w:r w:rsidRPr="00961388">
        <w:rPr>
          <w:rFonts w:eastAsia="MS Mincho"/>
          <w:lang w:val="fr-CH"/>
        </w:rPr>
        <w:t>n</w:t>
      </w:r>
      <w:r w:rsidRPr="00961388">
        <w:rPr>
          <w:rFonts w:eastAsia="MS Mincho"/>
          <w:vertAlign w:val="superscript"/>
          <w:lang w:val="fr-CH"/>
        </w:rPr>
        <w:t>o</w:t>
      </w:r>
      <w:r>
        <w:rPr>
          <w:lang w:val="fr-CH"/>
        </w:rPr>
        <w:t xml:space="preserve"> </w:t>
      </w:r>
      <w:r w:rsidR="00570B62" w:rsidRPr="00961388">
        <w:rPr>
          <w:lang w:val="fr-CH"/>
        </w:rPr>
        <w:t>02-2006 concernant un projet de loi complétant les dispositions du Code du statut personnel et ajoutant l</w:t>
      </w:r>
      <w:r>
        <w:rPr>
          <w:lang w:val="fr-CH"/>
        </w:rPr>
        <w:t>’</w:t>
      </w:r>
      <w:r w:rsidR="00570B62" w:rsidRPr="00961388">
        <w:rPr>
          <w:lang w:val="fr-CH"/>
        </w:rPr>
        <w:t xml:space="preserve">article 66 bis qui établit le droit des grands-parents à la visite de leurs petits-enfants, le Conseil constitutionnel a rappelé dans ses considérants, entre autres, que </w:t>
      </w:r>
      <w:r>
        <w:rPr>
          <w:lang w:val="fr-CH"/>
        </w:rPr>
        <w:t>«</w:t>
      </w:r>
      <w:r w:rsidR="00570B62" w:rsidRPr="00961388">
        <w:rPr>
          <w:lang w:val="fr-CH"/>
        </w:rPr>
        <w:t>la Convention des Nations Unies sur les droits de l</w:t>
      </w:r>
      <w:r>
        <w:rPr>
          <w:lang w:val="fr-CH"/>
        </w:rPr>
        <w:t>’</w:t>
      </w:r>
      <w:r w:rsidR="00570B62" w:rsidRPr="00961388">
        <w:rPr>
          <w:lang w:val="fr-CH"/>
        </w:rPr>
        <w:t>enfant du 20 novembre 1989 ratifiée par la République tunisienne retient, en premier lieu, l</w:t>
      </w:r>
      <w:r>
        <w:rPr>
          <w:lang w:val="fr-CH"/>
        </w:rPr>
        <w:t>’</w:t>
      </w:r>
      <w:r w:rsidR="00570B62" w:rsidRPr="00961388">
        <w:rPr>
          <w:lang w:val="fr-CH"/>
        </w:rPr>
        <w:t>intérêt supérieur de l</w:t>
      </w:r>
      <w:r>
        <w:rPr>
          <w:lang w:val="fr-CH"/>
        </w:rPr>
        <w:t>’</w:t>
      </w:r>
      <w:r w:rsidR="00570B62" w:rsidRPr="00961388">
        <w:rPr>
          <w:lang w:val="fr-CH"/>
        </w:rPr>
        <w:t>enfant et son droit de sauvegarder ses liens familiaux et prévoit, en plus des parents, et le cas échéant, des droits et des obligations pour les membres de la famille largement entendue</w:t>
      </w:r>
      <w:r>
        <w:rPr>
          <w:lang w:val="fr-CH"/>
        </w:rPr>
        <w:t>»</w:t>
      </w:r>
      <w:r w:rsidR="00570B62" w:rsidRPr="00961388">
        <w:rPr>
          <w:lang w:val="fr-CH"/>
        </w:rPr>
        <w:t xml:space="preserve"> et que </w:t>
      </w:r>
      <w:r>
        <w:rPr>
          <w:lang w:val="fr-CH"/>
        </w:rPr>
        <w:t>«</w:t>
      </w:r>
      <w:r w:rsidR="00570B62" w:rsidRPr="00961388">
        <w:rPr>
          <w:lang w:val="fr-CH"/>
        </w:rPr>
        <w:t>le fait de conférer</w:t>
      </w:r>
      <w:r w:rsidR="00F86FF8">
        <w:rPr>
          <w:lang w:val="fr-CH"/>
        </w:rPr>
        <w:t xml:space="preserve"> le droit de visite aux grands-</w:t>
      </w:r>
      <w:r w:rsidR="00570B62" w:rsidRPr="00961388">
        <w:rPr>
          <w:lang w:val="fr-CH"/>
        </w:rPr>
        <w:t>parents après le décès de l</w:t>
      </w:r>
      <w:r>
        <w:rPr>
          <w:lang w:val="fr-CH"/>
        </w:rPr>
        <w:t>’</w:t>
      </w:r>
      <w:r w:rsidR="00570B62" w:rsidRPr="00961388">
        <w:rPr>
          <w:lang w:val="fr-CH"/>
        </w:rPr>
        <w:t>un des deux parents, tout en tenant compte de l</w:t>
      </w:r>
      <w:r>
        <w:rPr>
          <w:lang w:val="fr-CH"/>
        </w:rPr>
        <w:t>’</w:t>
      </w:r>
      <w:r w:rsidR="00570B62" w:rsidRPr="00961388">
        <w:rPr>
          <w:lang w:val="fr-CH"/>
        </w:rPr>
        <w:t>intérêt supérieur de l</w:t>
      </w:r>
      <w:r>
        <w:rPr>
          <w:lang w:val="fr-CH"/>
        </w:rPr>
        <w:t>’</w:t>
      </w:r>
      <w:r w:rsidR="00570B62" w:rsidRPr="00961388">
        <w:rPr>
          <w:lang w:val="fr-CH"/>
        </w:rPr>
        <w:t>enfant est à même de consolider les liens entre les membres de la famille et représente, ainsi, un des aspects de la protection de la famille dans le cadre de ce que prévoit la Constitution et des principes acceptés par la République Tunisienne et consacrés, notamment, par la Convention des Nations unies sur les droits de l</w:t>
      </w:r>
      <w:r>
        <w:rPr>
          <w:lang w:val="fr-CH"/>
        </w:rPr>
        <w:t>’</w:t>
      </w:r>
      <w:r w:rsidR="00570B62" w:rsidRPr="00961388">
        <w:rPr>
          <w:lang w:val="fr-CH"/>
        </w:rPr>
        <w:t>enfant</w:t>
      </w:r>
      <w:r>
        <w:rPr>
          <w:lang w:val="fr-CH"/>
        </w:rPr>
        <w:t>»</w:t>
      </w:r>
      <w:r w:rsidR="00570B62" w:rsidRPr="00961388">
        <w:rPr>
          <w:lang w:val="fr-CH"/>
        </w:rPr>
        <w:t>. Le Conseil constitutionnel conclut en émettant l</w:t>
      </w:r>
      <w:r>
        <w:rPr>
          <w:lang w:val="fr-CH"/>
        </w:rPr>
        <w:t>’</w:t>
      </w:r>
      <w:r w:rsidR="00570B62" w:rsidRPr="00961388">
        <w:rPr>
          <w:lang w:val="fr-CH"/>
        </w:rPr>
        <w:t>avis que ledit projet de loi est conforme à la Constitution.</w:t>
      </w:r>
    </w:p>
    <w:p w:rsidR="00570B62" w:rsidRPr="00961388" w:rsidRDefault="002A3A5A" w:rsidP="002A3A5A">
      <w:pPr>
        <w:pStyle w:val="H4G"/>
        <w:rPr>
          <w:lang w:val="fr-CH"/>
        </w:rPr>
      </w:pPr>
      <w:r>
        <w:rPr>
          <w:lang w:val="fr-CH"/>
        </w:rPr>
        <w:tab/>
        <w:t>3.</w:t>
      </w:r>
      <w:r>
        <w:rPr>
          <w:lang w:val="fr-CH"/>
        </w:rPr>
        <w:tab/>
      </w:r>
      <w:r w:rsidR="00570B62" w:rsidRPr="00961388">
        <w:rPr>
          <w:lang w:val="fr-CH"/>
        </w:rPr>
        <w:t>Rôle des tribunaux de droit commun (applicabilité directe)</w:t>
      </w:r>
    </w:p>
    <w:p w:rsidR="00570B62" w:rsidRPr="00961388" w:rsidRDefault="00570B62" w:rsidP="002A3A5A">
      <w:pPr>
        <w:pStyle w:val="SingleTxtG"/>
        <w:rPr>
          <w:lang w:val="fr-CH"/>
        </w:rPr>
      </w:pPr>
      <w:r w:rsidRPr="00961388">
        <w:rPr>
          <w:lang w:val="fr-CH"/>
        </w:rPr>
        <w:t>27.</w:t>
      </w:r>
      <w:r w:rsidRPr="00961388">
        <w:rPr>
          <w:lang w:val="fr-CH"/>
        </w:rPr>
        <w:tab/>
        <w:t>L</w:t>
      </w:r>
      <w:r w:rsidR="00961388">
        <w:rPr>
          <w:lang w:val="fr-CH"/>
        </w:rPr>
        <w:t>’</w:t>
      </w:r>
      <w:r w:rsidRPr="00961388">
        <w:rPr>
          <w:lang w:val="fr-CH"/>
        </w:rPr>
        <w:t>introduction des instruments internationaux dans l</w:t>
      </w:r>
      <w:r w:rsidR="00961388">
        <w:rPr>
          <w:lang w:val="fr-CH"/>
        </w:rPr>
        <w:t>’</w:t>
      </w:r>
      <w:r w:rsidRPr="00961388">
        <w:rPr>
          <w:lang w:val="fr-CH"/>
        </w:rPr>
        <w:t>ordonnancement juridique interne a suscité de nombreuses discussions devant les tribunaux</w:t>
      </w:r>
      <w:r w:rsidR="00F86FF8">
        <w:rPr>
          <w:lang w:val="fr-CH"/>
        </w:rPr>
        <w:t xml:space="preserve"> </w:t>
      </w:r>
      <w:r w:rsidRPr="00961388">
        <w:rPr>
          <w:lang w:val="fr-CH"/>
        </w:rPr>
        <w:t>tunisiens. Contrairement à une position classique considérant que les dispositions des conventions internationales ratifiées et approuvées ne créent d</w:t>
      </w:r>
      <w:r w:rsidR="00961388">
        <w:rPr>
          <w:lang w:val="fr-CH"/>
        </w:rPr>
        <w:t>’</w:t>
      </w:r>
      <w:r w:rsidRPr="00961388">
        <w:rPr>
          <w:lang w:val="fr-CH"/>
        </w:rPr>
        <w:t>obligations qu</w:t>
      </w:r>
      <w:r w:rsidR="00961388">
        <w:rPr>
          <w:lang w:val="fr-CH"/>
        </w:rPr>
        <w:t>’</w:t>
      </w:r>
      <w:r w:rsidRPr="00961388">
        <w:rPr>
          <w:lang w:val="fr-CH"/>
        </w:rPr>
        <w:t>à la charge des États parties, les juges ont décidé dans diverses affaires que les instruments internationaux, y compris ceux relatifs aux droits de l</w:t>
      </w:r>
      <w:r w:rsidR="00961388">
        <w:rPr>
          <w:lang w:val="fr-CH"/>
        </w:rPr>
        <w:t>’</w:t>
      </w:r>
      <w:r w:rsidRPr="00961388">
        <w:rPr>
          <w:lang w:val="fr-CH"/>
        </w:rPr>
        <w:t>homme, pouvaient être directement invoqués devant les juridictions nationales.</w:t>
      </w:r>
    </w:p>
    <w:p w:rsidR="00570B62" w:rsidRPr="00961388" w:rsidRDefault="00570B62" w:rsidP="002A3A5A">
      <w:pPr>
        <w:pStyle w:val="SingleTxtG"/>
        <w:rPr>
          <w:lang w:val="fr-CH"/>
        </w:rPr>
      </w:pPr>
      <w:r w:rsidRPr="00961388">
        <w:rPr>
          <w:lang w:val="fr-CH"/>
        </w:rPr>
        <w:t>28.</w:t>
      </w:r>
      <w:r w:rsidRPr="00961388">
        <w:rPr>
          <w:lang w:val="fr-CH"/>
        </w:rPr>
        <w:tab/>
      </w:r>
      <w:r w:rsidRPr="00961388">
        <w:rPr>
          <w:b/>
          <w:bCs/>
          <w:lang w:val="fr-CH"/>
        </w:rPr>
        <w:t>Dans le jugement rendu dans l</w:t>
      </w:r>
      <w:r w:rsidR="00961388">
        <w:rPr>
          <w:b/>
          <w:bCs/>
          <w:lang w:val="fr-CH"/>
        </w:rPr>
        <w:t xml:space="preserve">’affaire </w:t>
      </w:r>
      <w:r w:rsidR="00961388" w:rsidRPr="00961388">
        <w:rPr>
          <w:rFonts w:eastAsia="MS Mincho"/>
          <w:b/>
          <w:bCs/>
          <w:lang w:val="fr-CH"/>
        </w:rPr>
        <w:t>n</w:t>
      </w:r>
      <w:r w:rsidR="00961388" w:rsidRPr="00961388">
        <w:rPr>
          <w:rFonts w:eastAsia="MS Mincho"/>
          <w:b/>
          <w:bCs/>
          <w:vertAlign w:val="superscript"/>
          <w:lang w:val="fr-CH"/>
        </w:rPr>
        <w:t>o</w:t>
      </w:r>
      <w:r w:rsidR="00961388">
        <w:rPr>
          <w:b/>
          <w:bCs/>
          <w:lang w:val="fr-CH"/>
        </w:rPr>
        <w:t xml:space="preserve"> </w:t>
      </w:r>
      <w:r w:rsidRPr="00961388">
        <w:rPr>
          <w:b/>
          <w:bCs/>
          <w:lang w:val="fr-CH"/>
        </w:rPr>
        <w:t>34179 en date du 27 juin 2000</w:t>
      </w:r>
      <w:r w:rsidRPr="00961388">
        <w:rPr>
          <w:lang w:val="fr-CH"/>
        </w:rPr>
        <w:t>, le tribunal de première instance de Tunis, statuant sur l</w:t>
      </w:r>
      <w:r w:rsidR="00961388">
        <w:rPr>
          <w:lang w:val="fr-CH"/>
        </w:rPr>
        <w:t>’</w:t>
      </w:r>
      <w:r w:rsidRPr="00961388">
        <w:rPr>
          <w:lang w:val="fr-CH"/>
        </w:rPr>
        <w:t>action intentée en vue de l</w:t>
      </w:r>
      <w:r w:rsidR="00961388">
        <w:rPr>
          <w:lang w:val="fr-CH"/>
        </w:rPr>
        <w:t>’</w:t>
      </w:r>
      <w:r w:rsidRPr="00961388">
        <w:rPr>
          <w:lang w:val="fr-CH"/>
        </w:rPr>
        <w:t>exequatur d</w:t>
      </w:r>
      <w:r w:rsidR="00961388">
        <w:rPr>
          <w:lang w:val="fr-CH"/>
        </w:rPr>
        <w:t>’</w:t>
      </w:r>
      <w:r w:rsidRPr="00961388">
        <w:rPr>
          <w:lang w:val="fr-CH"/>
        </w:rPr>
        <w:t xml:space="preserve">un acte de «répudiation» égyptien, a rejeté ladite demande au motif que </w:t>
      </w:r>
      <w:r w:rsidR="00961388">
        <w:rPr>
          <w:lang w:val="fr-CH"/>
        </w:rPr>
        <w:t>«</w:t>
      </w:r>
      <w:r w:rsidRPr="00961388">
        <w:rPr>
          <w:lang w:val="fr-CH"/>
        </w:rPr>
        <w:t>la répudiation constitue une forme traditionnelle et religieuse de dissolution du mariage fondée sur la volonté unilatérale du mari sans considération aucune de l</w:t>
      </w:r>
      <w:r w:rsidR="00961388">
        <w:rPr>
          <w:lang w:val="fr-CH"/>
        </w:rPr>
        <w:t>’</w:t>
      </w:r>
      <w:r w:rsidRPr="00961388">
        <w:rPr>
          <w:lang w:val="fr-CH"/>
        </w:rPr>
        <w:t>intérêt de la famille, d</w:t>
      </w:r>
      <w:r w:rsidR="00961388">
        <w:rPr>
          <w:lang w:val="fr-CH"/>
        </w:rPr>
        <w:t>’</w:t>
      </w:r>
      <w:r w:rsidRPr="00961388">
        <w:rPr>
          <w:lang w:val="fr-CH"/>
        </w:rPr>
        <w:t>où il résulte qu</w:t>
      </w:r>
      <w:r w:rsidR="00961388">
        <w:rPr>
          <w:lang w:val="fr-CH"/>
        </w:rPr>
        <w:t>’</w:t>
      </w:r>
      <w:r w:rsidRPr="00961388">
        <w:rPr>
          <w:lang w:val="fr-CH"/>
        </w:rPr>
        <w:t>elle contredit l</w:t>
      </w:r>
      <w:r w:rsidR="00961388">
        <w:rPr>
          <w:lang w:val="fr-CH"/>
        </w:rPr>
        <w:t>’</w:t>
      </w:r>
      <w:r w:rsidRPr="00961388">
        <w:rPr>
          <w:lang w:val="fr-CH"/>
        </w:rPr>
        <w:t>ordre public tunisien comme il appert de l</w:t>
      </w:r>
      <w:r w:rsidR="00961388">
        <w:rPr>
          <w:lang w:val="fr-CH"/>
        </w:rPr>
        <w:t>’</w:t>
      </w:r>
      <w:r w:rsidRPr="00961388">
        <w:rPr>
          <w:lang w:val="fr-CH"/>
        </w:rPr>
        <w:t>article 6 de la Constitution et des articles 1, 2, 7 et 16, paragraphes 1 et 2 de la Déclaration universelle des droits de l</w:t>
      </w:r>
      <w:r w:rsidR="00961388">
        <w:rPr>
          <w:lang w:val="fr-CH"/>
        </w:rPr>
        <w:t>’</w:t>
      </w:r>
      <w:r w:rsidRPr="00961388">
        <w:rPr>
          <w:lang w:val="fr-CH"/>
        </w:rPr>
        <w:t>homme de 1948, ainsi que des articles 1, 2 et 16 c de la Convention pour l</w:t>
      </w:r>
      <w:r w:rsidR="00961388">
        <w:rPr>
          <w:lang w:val="fr-CH"/>
        </w:rPr>
        <w:t>’</w:t>
      </w:r>
      <w:r w:rsidRPr="00961388">
        <w:rPr>
          <w:lang w:val="fr-CH"/>
        </w:rPr>
        <w:t>élimination de toutes les formes de discrimination à l</w:t>
      </w:r>
      <w:r w:rsidR="00961388">
        <w:rPr>
          <w:lang w:val="fr-CH"/>
        </w:rPr>
        <w:t>’</w:t>
      </w:r>
      <w:r w:rsidRPr="00961388">
        <w:rPr>
          <w:lang w:val="fr-CH"/>
        </w:rPr>
        <w:t>égard des femmes de 1979</w:t>
      </w:r>
      <w:r w:rsidR="00961388">
        <w:rPr>
          <w:lang w:val="fr-CH"/>
        </w:rPr>
        <w:t>»</w:t>
      </w:r>
      <w:r w:rsidRPr="00961388">
        <w:rPr>
          <w:lang w:val="fr-CH"/>
        </w:rPr>
        <w:t>.</w:t>
      </w:r>
    </w:p>
    <w:p w:rsidR="00570B62" w:rsidRPr="00961388" w:rsidRDefault="00570B62" w:rsidP="002A3A5A">
      <w:pPr>
        <w:pStyle w:val="SingleTxtG"/>
        <w:rPr>
          <w:lang w:val="fr-CH"/>
        </w:rPr>
      </w:pPr>
      <w:r w:rsidRPr="00961388">
        <w:rPr>
          <w:lang w:val="fr-CH"/>
        </w:rPr>
        <w:t>29.</w:t>
      </w:r>
      <w:r w:rsidRPr="00961388">
        <w:rPr>
          <w:lang w:val="fr-CH"/>
        </w:rPr>
        <w:tab/>
      </w:r>
      <w:r w:rsidRPr="00961388">
        <w:rPr>
          <w:b/>
          <w:bCs/>
          <w:lang w:val="fr-CH"/>
        </w:rPr>
        <w:t>Dans le jugement rendu dans l</w:t>
      </w:r>
      <w:r w:rsidR="00961388">
        <w:rPr>
          <w:b/>
          <w:bCs/>
          <w:lang w:val="fr-CH"/>
        </w:rPr>
        <w:t xml:space="preserve">’affaire </w:t>
      </w:r>
      <w:r w:rsidR="00961388" w:rsidRPr="00961388">
        <w:rPr>
          <w:rFonts w:eastAsia="MS Mincho"/>
          <w:b/>
          <w:bCs/>
          <w:lang w:val="fr-CH"/>
        </w:rPr>
        <w:t>n</w:t>
      </w:r>
      <w:r w:rsidR="00961388" w:rsidRPr="00961388">
        <w:rPr>
          <w:rFonts w:eastAsia="MS Mincho"/>
          <w:b/>
          <w:bCs/>
          <w:vertAlign w:val="superscript"/>
          <w:lang w:val="fr-CH"/>
        </w:rPr>
        <w:t>o</w:t>
      </w:r>
      <w:r w:rsidR="00961388">
        <w:rPr>
          <w:b/>
          <w:bCs/>
          <w:lang w:val="fr-CH"/>
        </w:rPr>
        <w:t xml:space="preserve"> </w:t>
      </w:r>
      <w:r w:rsidRPr="00961388">
        <w:rPr>
          <w:b/>
          <w:bCs/>
          <w:lang w:val="fr-CH"/>
        </w:rPr>
        <w:t>7602 en date du 18 mai 2000</w:t>
      </w:r>
      <w:r w:rsidRPr="00961388">
        <w:rPr>
          <w:lang w:val="fr-CH"/>
        </w:rPr>
        <w:t>, le tribunal de première instance de Tunis, statuant sur l</w:t>
      </w:r>
      <w:r w:rsidR="00961388">
        <w:rPr>
          <w:lang w:val="fr-CH"/>
        </w:rPr>
        <w:t>’</w:t>
      </w:r>
      <w:r w:rsidRPr="00961388">
        <w:rPr>
          <w:lang w:val="fr-CH"/>
        </w:rPr>
        <w:t>action intentée en vue de l</w:t>
      </w:r>
      <w:r w:rsidR="00961388">
        <w:rPr>
          <w:lang w:val="fr-CH"/>
        </w:rPr>
        <w:t>’</w:t>
      </w:r>
      <w:r w:rsidRPr="00961388">
        <w:rPr>
          <w:lang w:val="fr-CH"/>
        </w:rPr>
        <w:t>annulation de l</w:t>
      </w:r>
      <w:r w:rsidR="00961388">
        <w:rPr>
          <w:lang w:val="fr-CH"/>
        </w:rPr>
        <w:t>’</w:t>
      </w:r>
      <w:r w:rsidRPr="00961388">
        <w:rPr>
          <w:lang w:val="fr-CH"/>
        </w:rPr>
        <w:t>acte de vente consentie par une veuve non musulmane ayant pour objet ses parts sur des biens immobiliers qui lui avaient été transmises par voie d</w:t>
      </w:r>
      <w:r w:rsidR="00961388">
        <w:rPr>
          <w:lang w:val="fr-CH"/>
        </w:rPr>
        <w:t>’</w:t>
      </w:r>
      <w:r w:rsidRPr="00961388">
        <w:rPr>
          <w:lang w:val="fr-CH"/>
        </w:rPr>
        <w:t>héritage au décès de son mari tunisien musulman, a débouté les demandeurs de leur action en réfutant les arguments selon lesquels l</w:t>
      </w:r>
      <w:r w:rsidR="00961388">
        <w:rPr>
          <w:lang w:val="fr-CH"/>
        </w:rPr>
        <w:t>’</w:t>
      </w:r>
      <w:r w:rsidRPr="00961388">
        <w:rPr>
          <w:lang w:val="fr-CH"/>
        </w:rPr>
        <w:t>héritière non musulmane au jour de l</w:t>
      </w:r>
      <w:r w:rsidR="00961388">
        <w:rPr>
          <w:lang w:val="fr-CH"/>
        </w:rPr>
        <w:t>’</w:t>
      </w:r>
      <w:r w:rsidRPr="00961388">
        <w:rPr>
          <w:lang w:val="fr-CH"/>
        </w:rPr>
        <w:t>ouverture de la succession n</w:t>
      </w:r>
      <w:r w:rsidR="00961388">
        <w:rPr>
          <w:lang w:val="fr-CH"/>
        </w:rPr>
        <w:t>’</w:t>
      </w:r>
      <w:r w:rsidRPr="00961388">
        <w:rPr>
          <w:lang w:val="fr-CH"/>
        </w:rPr>
        <w:t>aurait pas vocation à figurer dans la liste des héritiers ayant droit à la succession du défunt.</w:t>
      </w:r>
    </w:p>
    <w:p w:rsidR="00570B62" w:rsidRPr="00961388" w:rsidRDefault="00570B62" w:rsidP="002A3A5A">
      <w:pPr>
        <w:pStyle w:val="SingleTxtG"/>
        <w:rPr>
          <w:lang w:val="fr-CH"/>
        </w:rPr>
      </w:pPr>
      <w:r w:rsidRPr="00961388">
        <w:rPr>
          <w:lang w:val="fr-CH"/>
        </w:rPr>
        <w:t>30.</w:t>
      </w:r>
      <w:r w:rsidRPr="00961388">
        <w:rPr>
          <w:lang w:val="fr-CH"/>
        </w:rPr>
        <w:tab/>
        <w:t xml:space="preserve">Dans les motifs du jugement, le Tribunal a fait valoir, en substance, que </w:t>
      </w:r>
      <w:r w:rsidR="00961388">
        <w:rPr>
          <w:lang w:val="fr-CH"/>
        </w:rPr>
        <w:t>«</w:t>
      </w:r>
      <w:r w:rsidRPr="00961388">
        <w:rPr>
          <w:lang w:val="fr-CH"/>
        </w:rPr>
        <w:t>l</w:t>
      </w:r>
      <w:r w:rsidR="00961388">
        <w:rPr>
          <w:lang w:val="fr-CH"/>
        </w:rPr>
        <w:t>’</w:t>
      </w:r>
      <w:r w:rsidRPr="00961388">
        <w:rPr>
          <w:lang w:val="fr-CH"/>
        </w:rPr>
        <w:t>exclusion de la veuve de la liste des héritiers sur la base de sa conviction religieuse contredit les dispositions de l</w:t>
      </w:r>
      <w:r w:rsidR="00961388">
        <w:rPr>
          <w:lang w:val="fr-CH"/>
        </w:rPr>
        <w:t>’</w:t>
      </w:r>
      <w:r w:rsidRPr="00961388">
        <w:rPr>
          <w:lang w:val="fr-CH"/>
        </w:rPr>
        <w:t>article 88 du Code du statut personnel qui a limitativement défini l</w:t>
      </w:r>
      <w:r w:rsidR="00961388">
        <w:rPr>
          <w:lang w:val="fr-CH"/>
        </w:rPr>
        <w:t>’</w:t>
      </w:r>
      <w:r w:rsidRPr="00961388">
        <w:rPr>
          <w:lang w:val="fr-CH"/>
        </w:rPr>
        <w:t>homicide volontaire comme cas d</w:t>
      </w:r>
      <w:r w:rsidR="00961388">
        <w:rPr>
          <w:lang w:val="fr-CH"/>
        </w:rPr>
        <w:t>’</w:t>
      </w:r>
      <w:r w:rsidRPr="00961388">
        <w:rPr>
          <w:lang w:val="fr-CH"/>
        </w:rPr>
        <w:t>empêchement à la successibilité…</w:t>
      </w:r>
      <w:r w:rsidR="00961388">
        <w:rPr>
          <w:lang w:val="fr-CH"/>
        </w:rPr>
        <w:t>»</w:t>
      </w:r>
      <w:r w:rsidRPr="00961388">
        <w:rPr>
          <w:lang w:val="fr-CH"/>
        </w:rPr>
        <w:t xml:space="preserve"> et que </w:t>
      </w:r>
      <w:r w:rsidR="00961388">
        <w:rPr>
          <w:lang w:val="fr-CH"/>
        </w:rPr>
        <w:t>«</w:t>
      </w:r>
      <w:r w:rsidR="00F86FF8">
        <w:rPr>
          <w:lang w:val="fr-CH"/>
        </w:rPr>
        <w:t>la non-</w:t>
      </w:r>
      <w:r w:rsidRPr="00961388">
        <w:rPr>
          <w:lang w:val="fr-CH"/>
        </w:rPr>
        <w:t>discrimination fondée sur la religion fait partie des principes qui fondent l</w:t>
      </w:r>
      <w:r w:rsidR="00961388">
        <w:rPr>
          <w:lang w:val="fr-CH"/>
        </w:rPr>
        <w:t>’</w:t>
      </w:r>
      <w:r w:rsidRPr="00961388">
        <w:rPr>
          <w:lang w:val="fr-CH"/>
        </w:rPr>
        <w:t>ordre juridique tunisien et constitue un attribut de la liberté religieuse telle que garantie par l</w:t>
      </w:r>
      <w:r w:rsidR="00961388">
        <w:rPr>
          <w:lang w:val="fr-CH"/>
        </w:rPr>
        <w:t>’</w:t>
      </w:r>
      <w:r w:rsidRPr="00961388">
        <w:rPr>
          <w:lang w:val="fr-CH"/>
        </w:rPr>
        <w:t>article 5 de la Constitution et proclamée par les articles 2, 16 et 18 de la Déclaration universelle des droits de l</w:t>
      </w:r>
      <w:r w:rsidR="00961388">
        <w:rPr>
          <w:lang w:val="fr-CH"/>
        </w:rPr>
        <w:t>’</w:t>
      </w:r>
      <w:r w:rsidRPr="00961388">
        <w:rPr>
          <w:lang w:val="fr-CH"/>
        </w:rPr>
        <w:t>homme de 1948, le paragraphe 2 de l</w:t>
      </w:r>
      <w:r w:rsidR="00961388">
        <w:rPr>
          <w:lang w:val="fr-CH"/>
        </w:rPr>
        <w:t>’</w:t>
      </w:r>
      <w:r w:rsidRPr="00961388">
        <w:rPr>
          <w:lang w:val="fr-CH"/>
        </w:rPr>
        <w:t>article 2 du Pacte international relatif aux droits économiques, sociaux et culturels et le paragraphe 1 de l</w:t>
      </w:r>
      <w:r w:rsidR="00961388">
        <w:rPr>
          <w:lang w:val="fr-CH"/>
        </w:rPr>
        <w:t>’</w:t>
      </w:r>
      <w:r w:rsidRPr="00961388">
        <w:rPr>
          <w:lang w:val="fr-CH"/>
        </w:rPr>
        <w:t>article 2 du Pacte international relatif aux droits civils et politique, ratifiés par la Tunisie…</w:t>
      </w:r>
      <w:r w:rsidR="00961388">
        <w:rPr>
          <w:lang w:val="fr-CH"/>
        </w:rPr>
        <w:t>»</w:t>
      </w:r>
      <w:r w:rsidRPr="00961388">
        <w:rPr>
          <w:lang w:val="fr-CH"/>
        </w:rPr>
        <w:t>.</w:t>
      </w:r>
    </w:p>
    <w:p w:rsidR="00570B62" w:rsidRPr="00961388" w:rsidRDefault="00570B62" w:rsidP="002A3A5A">
      <w:pPr>
        <w:pStyle w:val="SingleTxtG"/>
        <w:rPr>
          <w:lang w:val="fr-CH"/>
        </w:rPr>
      </w:pPr>
      <w:r w:rsidRPr="00961388">
        <w:rPr>
          <w:lang w:val="fr-CH"/>
        </w:rPr>
        <w:t>31.</w:t>
      </w:r>
      <w:r w:rsidRPr="00961388">
        <w:rPr>
          <w:lang w:val="fr-CH"/>
        </w:rPr>
        <w:tab/>
      </w:r>
      <w:r w:rsidRPr="00961388">
        <w:rPr>
          <w:b/>
          <w:bCs/>
          <w:lang w:val="fr-CH"/>
        </w:rPr>
        <w:t>Dans le jugement rendu dans l</w:t>
      </w:r>
      <w:r w:rsidR="00961388">
        <w:rPr>
          <w:b/>
          <w:bCs/>
          <w:lang w:val="fr-CH"/>
        </w:rPr>
        <w:t xml:space="preserve">’affaire </w:t>
      </w:r>
      <w:r w:rsidR="00961388" w:rsidRPr="00961388">
        <w:rPr>
          <w:rFonts w:eastAsia="MS Mincho"/>
          <w:b/>
          <w:bCs/>
          <w:lang w:val="fr-CH"/>
        </w:rPr>
        <w:t>n</w:t>
      </w:r>
      <w:r w:rsidR="00961388" w:rsidRPr="00961388">
        <w:rPr>
          <w:rFonts w:eastAsia="MS Mincho"/>
          <w:b/>
          <w:bCs/>
          <w:vertAlign w:val="superscript"/>
          <w:lang w:val="fr-CH"/>
        </w:rPr>
        <w:t>o</w:t>
      </w:r>
      <w:r w:rsidR="00961388">
        <w:rPr>
          <w:b/>
          <w:bCs/>
          <w:lang w:val="fr-CH"/>
        </w:rPr>
        <w:t xml:space="preserve"> </w:t>
      </w:r>
      <w:r w:rsidRPr="00961388">
        <w:rPr>
          <w:b/>
          <w:bCs/>
          <w:lang w:val="fr-CH"/>
        </w:rPr>
        <w:t>53/16189 en date du 2 décembre 2003</w:t>
      </w:r>
      <w:r w:rsidRPr="00961388">
        <w:rPr>
          <w:lang w:val="fr-CH"/>
        </w:rPr>
        <w:t>, le tribunal de première instance de La Manouba a expressément motivé son jugement établissant la filiation par recours au test d</w:t>
      </w:r>
      <w:r w:rsidR="00961388">
        <w:rPr>
          <w:lang w:val="fr-CH"/>
        </w:rPr>
        <w:t>’</w:t>
      </w:r>
      <w:r w:rsidRPr="00961388">
        <w:rPr>
          <w:lang w:val="fr-CH"/>
        </w:rPr>
        <w:t xml:space="preserve">empreintes génétiques (ADN) en considérant que </w:t>
      </w:r>
      <w:r w:rsidR="00961388">
        <w:rPr>
          <w:lang w:val="fr-CH"/>
        </w:rPr>
        <w:t>«</w:t>
      </w:r>
      <w:r w:rsidRPr="00961388">
        <w:rPr>
          <w:lang w:val="fr-CH"/>
        </w:rPr>
        <w:t>la filiation est un droit de l</w:t>
      </w:r>
      <w:r w:rsidR="00961388">
        <w:rPr>
          <w:lang w:val="fr-CH"/>
        </w:rPr>
        <w:t>’</w:t>
      </w:r>
      <w:r w:rsidRPr="00961388">
        <w:rPr>
          <w:lang w:val="fr-CH"/>
        </w:rPr>
        <w:t>enfant qui ne saurait être limité par la forme de relations choisies par ses parents, d</w:t>
      </w:r>
      <w:r w:rsidR="00961388">
        <w:rPr>
          <w:lang w:val="fr-CH"/>
        </w:rPr>
        <w:t>’</w:t>
      </w:r>
      <w:r w:rsidRPr="00961388">
        <w:rPr>
          <w:lang w:val="fr-CH"/>
        </w:rPr>
        <w:t>où il résulte que la filiation telle que définie à l</w:t>
      </w:r>
      <w:r w:rsidR="00961388">
        <w:rPr>
          <w:lang w:val="fr-CH"/>
        </w:rPr>
        <w:t>’</w:t>
      </w:r>
      <w:r w:rsidRPr="00961388">
        <w:rPr>
          <w:lang w:val="fr-CH"/>
        </w:rPr>
        <w:t>article 68 du Code du statut personnel doit être entendue de façon large conformément à l</w:t>
      </w:r>
      <w:r w:rsidR="00961388">
        <w:rPr>
          <w:lang w:val="fr-CH"/>
        </w:rPr>
        <w:t>’</w:t>
      </w:r>
      <w:r w:rsidRPr="00961388">
        <w:rPr>
          <w:lang w:val="fr-CH"/>
        </w:rPr>
        <w:t>article 2, paragraphe 2, de la Convention des droits de l</w:t>
      </w:r>
      <w:r w:rsidR="00961388">
        <w:rPr>
          <w:lang w:val="fr-CH"/>
        </w:rPr>
        <w:t>’</w:t>
      </w:r>
      <w:r w:rsidRPr="00961388">
        <w:rPr>
          <w:lang w:val="fr-CH"/>
        </w:rPr>
        <w:t>enfant ratifiée par la loi du 29 novembre 1991 et qui protège l</w:t>
      </w:r>
      <w:r w:rsidR="00961388">
        <w:rPr>
          <w:lang w:val="fr-CH"/>
        </w:rPr>
        <w:t>’</w:t>
      </w:r>
      <w:r w:rsidRPr="00961388">
        <w:rPr>
          <w:lang w:val="fr-CH"/>
        </w:rPr>
        <w:t>enfant contre toutes formes de discrimination ou de sanction motivées par la situation juridique de ses parents, et que la privation de l</w:t>
      </w:r>
      <w:r w:rsidR="00961388">
        <w:rPr>
          <w:lang w:val="fr-CH"/>
        </w:rPr>
        <w:t>’</w:t>
      </w:r>
      <w:r w:rsidRPr="00961388">
        <w:rPr>
          <w:lang w:val="fr-CH"/>
        </w:rPr>
        <w:t>enfant de son droit à la filiation sous prétexte que ses parents ne sont pas liés par le mariage constitue une sanction infligée à cet enfant et une atteinte à l</w:t>
      </w:r>
      <w:r w:rsidR="00961388">
        <w:rPr>
          <w:lang w:val="fr-CH"/>
        </w:rPr>
        <w:t>’</w:t>
      </w:r>
      <w:r w:rsidRPr="00961388">
        <w:rPr>
          <w:lang w:val="fr-CH"/>
        </w:rPr>
        <w:t>un de ses droits fondamentaux, sans égard à la discrimination qui en résulterait entre les enfants par l</w:t>
      </w:r>
      <w:r w:rsidR="00961388">
        <w:rPr>
          <w:lang w:val="fr-CH"/>
        </w:rPr>
        <w:t>’</w:t>
      </w:r>
      <w:r w:rsidRPr="00961388">
        <w:rPr>
          <w:lang w:val="fr-CH"/>
        </w:rPr>
        <w:t>introduction artificielle d</w:t>
      </w:r>
      <w:r w:rsidR="00961388">
        <w:rPr>
          <w:lang w:val="fr-CH"/>
        </w:rPr>
        <w:t>’</w:t>
      </w:r>
      <w:r w:rsidRPr="00961388">
        <w:rPr>
          <w:lang w:val="fr-CH"/>
        </w:rPr>
        <w:t>une différence entre la filiation légitime et la filiation naturelle</w:t>
      </w:r>
      <w:r w:rsidR="00961388">
        <w:rPr>
          <w:lang w:val="fr-CH"/>
        </w:rPr>
        <w:t>»</w:t>
      </w:r>
      <w:r w:rsidRPr="00961388">
        <w:rPr>
          <w:lang w:val="fr-CH"/>
        </w:rPr>
        <w:t xml:space="preserve">. </w:t>
      </w:r>
    </w:p>
    <w:p w:rsidR="00570B62" w:rsidRPr="00961388" w:rsidRDefault="002A3A5A" w:rsidP="002A3A5A">
      <w:pPr>
        <w:pStyle w:val="H4G"/>
        <w:rPr>
          <w:lang w:val="fr-CH"/>
        </w:rPr>
      </w:pPr>
      <w:r>
        <w:rPr>
          <w:lang w:val="fr-CH"/>
        </w:rPr>
        <w:tab/>
        <w:t>4.</w:t>
      </w:r>
      <w:r>
        <w:rPr>
          <w:lang w:val="fr-CH"/>
        </w:rPr>
        <w:tab/>
      </w:r>
      <w:r w:rsidR="00570B62" w:rsidRPr="00961388">
        <w:rPr>
          <w:lang w:val="fr-CH"/>
        </w:rPr>
        <w:t>Rôle du Tribunal administratif (applicabilité directe)</w:t>
      </w:r>
    </w:p>
    <w:p w:rsidR="00570B62" w:rsidRPr="00961388" w:rsidRDefault="00570B62" w:rsidP="002A3A5A">
      <w:pPr>
        <w:pStyle w:val="SingleTxtG"/>
        <w:rPr>
          <w:lang w:val="fr-CH"/>
        </w:rPr>
      </w:pPr>
      <w:r w:rsidRPr="00961388">
        <w:rPr>
          <w:lang w:val="fr-CH"/>
        </w:rPr>
        <w:t>32.</w:t>
      </w:r>
      <w:r w:rsidRPr="00961388">
        <w:rPr>
          <w:lang w:val="fr-CH"/>
        </w:rPr>
        <w:tab/>
        <w:t>Le Tribunal administratif joue, de son côté, un rôle crucial, notamment depuis l</w:t>
      </w:r>
      <w:r w:rsidR="00961388">
        <w:rPr>
          <w:lang w:val="fr-CH"/>
        </w:rPr>
        <w:t xml:space="preserve">’adoption des lois organiques </w:t>
      </w:r>
      <w:r w:rsidR="00961388" w:rsidRPr="00961388">
        <w:rPr>
          <w:rFonts w:eastAsia="MS Mincho"/>
          <w:lang w:val="fr-CH"/>
        </w:rPr>
        <w:t>n</w:t>
      </w:r>
      <w:r w:rsidR="00961388" w:rsidRPr="00961388">
        <w:rPr>
          <w:rFonts w:eastAsia="MS Mincho"/>
          <w:vertAlign w:val="superscript"/>
          <w:lang w:val="fr-CH"/>
        </w:rPr>
        <w:t>o</w:t>
      </w:r>
      <w:r w:rsidR="00961388">
        <w:rPr>
          <w:lang w:val="fr-CH"/>
        </w:rPr>
        <w:t xml:space="preserve"> </w:t>
      </w:r>
      <w:r w:rsidRPr="00961388">
        <w:rPr>
          <w:lang w:val="fr-CH"/>
        </w:rPr>
        <w:t>39 du 3 juin 1996 instituant le double degré de juridiction dans les affaires relatives au re</w:t>
      </w:r>
      <w:r w:rsidR="00961388">
        <w:rPr>
          <w:lang w:val="fr-CH"/>
        </w:rPr>
        <w:t xml:space="preserve">cours pour excès de pouvoir, </w:t>
      </w:r>
      <w:r w:rsidR="00961388" w:rsidRPr="00961388">
        <w:rPr>
          <w:rFonts w:eastAsia="MS Mincho"/>
          <w:lang w:val="fr-CH"/>
        </w:rPr>
        <w:t>n</w:t>
      </w:r>
      <w:r w:rsidR="00961388" w:rsidRPr="00961388">
        <w:rPr>
          <w:rFonts w:eastAsia="MS Mincho"/>
          <w:vertAlign w:val="superscript"/>
          <w:lang w:val="fr-CH"/>
        </w:rPr>
        <w:t>o</w:t>
      </w:r>
      <w:r w:rsidR="00961388">
        <w:rPr>
          <w:lang w:val="fr-CH"/>
        </w:rPr>
        <w:t xml:space="preserve"> </w:t>
      </w:r>
      <w:r w:rsidRPr="00961388">
        <w:rPr>
          <w:lang w:val="fr-CH"/>
        </w:rPr>
        <w:t xml:space="preserve">79 du 24 juillet 2001 instituant une chambre de cassation au sein </w:t>
      </w:r>
      <w:r w:rsidR="00961388">
        <w:rPr>
          <w:lang w:val="fr-CH"/>
        </w:rPr>
        <w:t xml:space="preserve">du Tribunal administratif et </w:t>
      </w:r>
      <w:r w:rsidR="00961388" w:rsidRPr="00961388">
        <w:rPr>
          <w:rFonts w:eastAsia="MS Mincho"/>
          <w:lang w:val="fr-CH"/>
        </w:rPr>
        <w:t>n</w:t>
      </w:r>
      <w:r w:rsidR="00961388" w:rsidRPr="00961388">
        <w:rPr>
          <w:rFonts w:eastAsia="MS Mincho"/>
          <w:vertAlign w:val="superscript"/>
          <w:lang w:val="fr-CH"/>
        </w:rPr>
        <w:t>o</w:t>
      </w:r>
      <w:r w:rsidR="00961388">
        <w:rPr>
          <w:lang w:val="fr-CH"/>
        </w:rPr>
        <w:t xml:space="preserve"> </w:t>
      </w:r>
      <w:r w:rsidRPr="00961388">
        <w:rPr>
          <w:lang w:val="fr-CH"/>
        </w:rPr>
        <w:t>11 du 24 février 2002 instituant le recours pour excès de pouvoir à l</w:t>
      </w:r>
      <w:r w:rsidR="00961388">
        <w:rPr>
          <w:lang w:val="fr-CH"/>
        </w:rPr>
        <w:t>’</w:t>
      </w:r>
      <w:r w:rsidRPr="00961388">
        <w:rPr>
          <w:lang w:val="fr-CH"/>
        </w:rPr>
        <w:t>encontre des décrets à caractère réglementaire en levant ainsi l</w:t>
      </w:r>
      <w:r w:rsidR="00961388">
        <w:rPr>
          <w:lang w:val="fr-CH"/>
        </w:rPr>
        <w:t>’</w:t>
      </w:r>
      <w:r w:rsidRPr="00961388">
        <w:rPr>
          <w:lang w:val="fr-CH"/>
        </w:rPr>
        <w:t>immunité dont lesdits décrets bénéficiaient dans le système antérieur.</w:t>
      </w:r>
    </w:p>
    <w:p w:rsidR="00570B62" w:rsidRPr="00961388" w:rsidRDefault="00570B62" w:rsidP="002A3A5A">
      <w:pPr>
        <w:pStyle w:val="SingleTxtG"/>
        <w:rPr>
          <w:lang w:val="fr-CH"/>
        </w:rPr>
      </w:pPr>
      <w:r w:rsidRPr="00961388">
        <w:rPr>
          <w:lang w:val="fr-CH"/>
        </w:rPr>
        <w:t>33.</w:t>
      </w:r>
      <w:r w:rsidRPr="00961388">
        <w:rPr>
          <w:lang w:val="fr-CH"/>
        </w:rPr>
        <w:tab/>
        <w:t>Toutes ces réformes ont permis au Tribunal administratif de veiller efficacement au respect des droits des justiciables et au renforcement des principes fondamentaux relatifs aux droits de l</w:t>
      </w:r>
      <w:r w:rsidR="00961388">
        <w:rPr>
          <w:lang w:val="fr-CH"/>
        </w:rPr>
        <w:t>’</w:t>
      </w:r>
      <w:r w:rsidRPr="00961388">
        <w:rPr>
          <w:lang w:val="fr-CH"/>
        </w:rPr>
        <w:t>homme notamment, y compris en se référant expressément aux principes proclamés par les instruments internationaux y relatifs. Les décisions ci-après sont mentionnées à titre indicatif.</w:t>
      </w:r>
    </w:p>
    <w:p w:rsidR="00570B62" w:rsidRPr="00961388" w:rsidRDefault="00570B62" w:rsidP="002A3A5A">
      <w:pPr>
        <w:pStyle w:val="SingleTxtG"/>
        <w:rPr>
          <w:lang w:val="fr-CH"/>
        </w:rPr>
      </w:pPr>
      <w:r w:rsidRPr="00961388">
        <w:rPr>
          <w:lang w:val="fr-CH"/>
        </w:rPr>
        <w:t>34.</w:t>
      </w:r>
      <w:r w:rsidRPr="00961388">
        <w:rPr>
          <w:lang w:val="fr-CH"/>
        </w:rPr>
        <w:tab/>
      </w:r>
      <w:r w:rsidRPr="00961388">
        <w:rPr>
          <w:b/>
          <w:bCs/>
          <w:lang w:val="fr-CH"/>
        </w:rPr>
        <w:t>Dans le jugement rendu dans l</w:t>
      </w:r>
      <w:r w:rsidR="00961388">
        <w:rPr>
          <w:b/>
          <w:bCs/>
          <w:lang w:val="fr-CH"/>
        </w:rPr>
        <w:t xml:space="preserve">’affaire </w:t>
      </w:r>
      <w:r w:rsidR="00961388" w:rsidRPr="00961388">
        <w:rPr>
          <w:rFonts w:eastAsia="MS Mincho"/>
          <w:b/>
          <w:bCs/>
          <w:lang w:val="fr-CH"/>
        </w:rPr>
        <w:t>n</w:t>
      </w:r>
      <w:r w:rsidR="00961388" w:rsidRPr="00961388">
        <w:rPr>
          <w:rFonts w:eastAsia="MS Mincho"/>
          <w:b/>
          <w:bCs/>
          <w:vertAlign w:val="superscript"/>
          <w:lang w:val="fr-CH"/>
        </w:rPr>
        <w:t>o</w:t>
      </w:r>
      <w:r w:rsidR="00961388">
        <w:rPr>
          <w:b/>
          <w:bCs/>
          <w:lang w:val="fr-CH"/>
        </w:rPr>
        <w:t xml:space="preserve"> </w:t>
      </w:r>
      <w:r w:rsidRPr="00961388">
        <w:rPr>
          <w:b/>
          <w:bCs/>
          <w:lang w:val="fr-CH"/>
        </w:rPr>
        <w:t>2193 en date du 1er juin 1994</w:t>
      </w:r>
      <w:r w:rsidRPr="00961388">
        <w:rPr>
          <w:lang w:val="fr-CH"/>
        </w:rPr>
        <w:t>, le Tribunal administratif, se fondant sur l</w:t>
      </w:r>
      <w:r w:rsidR="00961388">
        <w:rPr>
          <w:lang w:val="fr-CH"/>
        </w:rPr>
        <w:t>’</w:t>
      </w:r>
      <w:r w:rsidRPr="00961388">
        <w:rPr>
          <w:lang w:val="fr-CH"/>
        </w:rPr>
        <w:t>article 19 de la Déclaration universelle des droits de l</w:t>
      </w:r>
      <w:r w:rsidR="00961388">
        <w:rPr>
          <w:lang w:val="fr-CH"/>
        </w:rPr>
        <w:t>’</w:t>
      </w:r>
      <w:r w:rsidRPr="00961388">
        <w:rPr>
          <w:lang w:val="fr-CH"/>
        </w:rPr>
        <w:t>homme et sur l</w:t>
      </w:r>
      <w:r w:rsidR="00961388">
        <w:rPr>
          <w:lang w:val="fr-CH"/>
        </w:rPr>
        <w:t>’</w:t>
      </w:r>
      <w:r w:rsidRPr="00961388">
        <w:rPr>
          <w:lang w:val="fr-CH"/>
        </w:rPr>
        <w:t>article 8 de la Constitution tunisienne, a décidé que l</w:t>
      </w:r>
      <w:r w:rsidR="00961388">
        <w:rPr>
          <w:lang w:val="fr-CH"/>
        </w:rPr>
        <w:t>’</w:t>
      </w:r>
      <w:r w:rsidRPr="00961388">
        <w:rPr>
          <w:lang w:val="fr-CH"/>
        </w:rPr>
        <w:t>Administration ne pouvait en bon droit faire figurer dans le dossier de son fonctionnaire une mention indiquant ses idées politiques, philosophiques ou religieuses, ni juger ce dernier pour ses idées tant qu</w:t>
      </w:r>
      <w:r w:rsidR="00961388">
        <w:rPr>
          <w:lang w:val="fr-CH"/>
        </w:rPr>
        <w:t>’</w:t>
      </w:r>
      <w:r w:rsidRPr="00961388">
        <w:rPr>
          <w:lang w:val="fr-CH"/>
        </w:rPr>
        <w:t>il ne se comportait pas dans l</w:t>
      </w:r>
      <w:r w:rsidR="00961388">
        <w:rPr>
          <w:lang w:val="fr-CH"/>
        </w:rPr>
        <w:t>’</w:t>
      </w:r>
      <w:r w:rsidRPr="00961388">
        <w:rPr>
          <w:lang w:val="fr-CH"/>
        </w:rPr>
        <w:t>exercice de ses fonctions de façon contraire au bon déroulement des tâches qui lui incombaient.</w:t>
      </w:r>
    </w:p>
    <w:p w:rsidR="00570B62" w:rsidRPr="00961388" w:rsidRDefault="00570B62" w:rsidP="002A3A5A">
      <w:pPr>
        <w:pStyle w:val="SingleTxtG"/>
        <w:rPr>
          <w:lang w:val="fr-CH"/>
        </w:rPr>
      </w:pPr>
      <w:r w:rsidRPr="00961388">
        <w:rPr>
          <w:lang w:val="fr-CH"/>
        </w:rPr>
        <w:t>35.</w:t>
      </w:r>
      <w:r w:rsidRPr="00961388">
        <w:rPr>
          <w:lang w:val="fr-CH"/>
        </w:rPr>
        <w:tab/>
      </w:r>
      <w:r w:rsidRPr="00961388">
        <w:rPr>
          <w:b/>
          <w:bCs/>
          <w:lang w:val="fr-CH"/>
        </w:rPr>
        <w:t>Dans sa décision rendue le 21 mai 1996 dans l</w:t>
      </w:r>
      <w:r w:rsidR="00961388">
        <w:rPr>
          <w:b/>
          <w:bCs/>
          <w:lang w:val="fr-CH"/>
        </w:rPr>
        <w:t>’</w:t>
      </w:r>
      <w:r w:rsidR="001973D8">
        <w:rPr>
          <w:b/>
          <w:bCs/>
          <w:lang w:val="fr-CH"/>
        </w:rPr>
        <w:t xml:space="preserve">affaire </w:t>
      </w:r>
      <w:r w:rsidR="001973D8" w:rsidRPr="001973D8">
        <w:rPr>
          <w:rFonts w:eastAsia="MS Mincho"/>
          <w:b/>
          <w:bCs/>
          <w:lang w:val="fr-CH"/>
        </w:rPr>
        <w:t>n</w:t>
      </w:r>
      <w:r w:rsidR="001973D8" w:rsidRPr="001973D8">
        <w:rPr>
          <w:rFonts w:eastAsia="MS Mincho"/>
          <w:b/>
          <w:bCs/>
          <w:vertAlign w:val="superscript"/>
          <w:lang w:val="fr-CH"/>
        </w:rPr>
        <w:t>o</w:t>
      </w:r>
      <w:r w:rsidR="001973D8">
        <w:rPr>
          <w:b/>
          <w:bCs/>
          <w:lang w:val="fr-CH"/>
        </w:rPr>
        <w:t xml:space="preserve"> </w:t>
      </w:r>
      <w:r w:rsidRPr="00961388">
        <w:rPr>
          <w:b/>
          <w:bCs/>
          <w:lang w:val="fr-CH"/>
        </w:rPr>
        <w:t>3643</w:t>
      </w:r>
      <w:r w:rsidRPr="00961388">
        <w:rPr>
          <w:lang w:val="fr-CH"/>
        </w:rPr>
        <w:t>, le Tribunal administratif a eu l</w:t>
      </w:r>
      <w:r w:rsidR="00961388">
        <w:rPr>
          <w:lang w:val="fr-CH"/>
        </w:rPr>
        <w:t>’</w:t>
      </w:r>
      <w:r w:rsidRPr="00961388">
        <w:rPr>
          <w:lang w:val="fr-CH"/>
        </w:rPr>
        <w:t>occasion de mettre en relief la prévalence du Pacte international relatif aux droits civils et pol</w:t>
      </w:r>
      <w:r w:rsidR="00961388">
        <w:rPr>
          <w:lang w:val="fr-CH"/>
        </w:rPr>
        <w:t xml:space="preserve">itiques sur la loi organique </w:t>
      </w:r>
      <w:r w:rsidR="00961388" w:rsidRPr="00961388">
        <w:rPr>
          <w:rFonts w:eastAsia="MS Mincho"/>
          <w:lang w:val="fr-CH"/>
        </w:rPr>
        <w:t>n</w:t>
      </w:r>
      <w:r w:rsidR="00961388" w:rsidRPr="00961388">
        <w:rPr>
          <w:rFonts w:eastAsia="MS Mincho"/>
          <w:vertAlign w:val="superscript"/>
          <w:lang w:val="fr-CH"/>
        </w:rPr>
        <w:t>o</w:t>
      </w:r>
      <w:r w:rsidR="00961388">
        <w:rPr>
          <w:lang w:val="fr-CH"/>
        </w:rPr>
        <w:t xml:space="preserve"> </w:t>
      </w:r>
      <w:r w:rsidRPr="00961388">
        <w:rPr>
          <w:lang w:val="fr-CH"/>
        </w:rPr>
        <w:t>92-25 du 2 avril 1992 po</w:t>
      </w:r>
      <w:r w:rsidR="00961388">
        <w:rPr>
          <w:lang w:val="fr-CH"/>
        </w:rPr>
        <w:t xml:space="preserve">rtant modification de la loi </w:t>
      </w:r>
      <w:r w:rsidR="00961388" w:rsidRPr="00961388">
        <w:rPr>
          <w:rFonts w:eastAsia="MS Mincho"/>
          <w:lang w:val="fr-CH"/>
        </w:rPr>
        <w:t>n</w:t>
      </w:r>
      <w:r w:rsidR="00961388" w:rsidRPr="00961388">
        <w:rPr>
          <w:rFonts w:eastAsia="MS Mincho"/>
          <w:vertAlign w:val="superscript"/>
          <w:lang w:val="fr-CH"/>
        </w:rPr>
        <w:t>o</w:t>
      </w:r>
      <w:r w:rsidR="00961388">
        <w:rPr>
          <w:lang w:val="fr-CH"/>
        </w:rPr>
        <w:t xml:space="preserve"> </w:t>
      </w:r>
      <w:r w:rsidRPr="00961388">
        <w:rPr>
          <w:lang w:val="fr-CH"/>
        </w:rPr>
        <w:t>59-154 du 7 novembre 1959 relative aux associations. En effet, le Tribunal a opéré un contrôle de conventionalité qui lui a permis de constater que les limites instituées par le législateur à la constitution des associations étaient compatibles avec l</w:t>
      </w:r>
      <w:r w:rsidR="00961388">
        <w:rPr>
          <w:lang w:val="fr-CH"/>
        </w:rPr>
        <w:t>’</w:t>
      </w:r>
      <w:r w:rsidRPr="00961388">
        <w:rPr>
          <w:lang w:val="fr-CH"/>
        </w:rPr>
        <w:t>article 22 du Pacte.</w:t>
      </w:r>
    </w:p>
    <w:p w:rsidR="00570B62" w:rsidRPr="00961388" w:rsidRDefault="00570B62" w:rsidP="002A3A5A">
      <w:pPr>
        <w:pStyle w:val="SingleTxtG"/>
        <w:rPr>
          <w:lang w:val="fr-CH"/>
        </w:rPr>
      </w:pPr>
      <w:r w:rsidRPr="00961388">
        <w:rPr>
          <w:lang w:val="fr-CH"/>
        </w:rPr>
        <w:t>36.</w:t>
      </w:r>
      <w:r w:rsidRPr="00961388">
        <w:rPr>
          <w:lang w:val="fr-CH"/>
        </w:rPr>
        <w:tab/>
      </w:r>
      <w:r w:rsidRPr="00961388">
        <w:rPr>
          <w:b/>
          <w:bCs/>
          <w:lang w:val="fr-CH"/>
        </w:rPr>
        <w:t>Dans le jugement rendu dans l</w:t>
      </w:r>
      <w:r w:rsidR="00961388">
        <w:rPr>
          <w:b/>
          <w:bCs/>
          <w:lang w:val="fr-CH"/>
        </w:rPr>
        <w:t xml:space="preserve">’affaire </w:t>
      </w:r>
      <w:r w:rsidR="00961388" w:rsidRPr="00961388">
        <w:rPr>
          <w:rFonts w:eastAsia="MS Mincho"/>
          <w:b/>
          <w:bCs/>
          <w:lang w:val="fr-CH"/>
        </w:rPr>
        <w:t>n</w:t>
      </w:r>
      <w:r w:rsidR="00961388" w:rsidRPr="00961388">
        <w:rPr>
          <w:rFonts w:eastAsia="MS Mincho"/>
          <w:b/>
          <w:bCs/>
          <w:vertAlign w:val="superscript"/>
          <w:lang w:val="fr-CH"/>
        </w:rPr>
        <w:t>o</w:t>
      </w:r>
      <w:r w:rsidR="00961388">
        <w:rPr>
          <w:b/>
          <w:bCs/>
          <w:lang w:val="fr-CH"/>
        </w:rPr>
        <w:t xml:space="preserve"> </w:t>
      </w:r>
      <w:r w:rsidRPr="00961388">
        <w:rPr>
          <w:b/>
          <w:bCs/>
          <w:lang w:val="fr-CH"/>
        </w:rPr>
        <w:t>16919 en date du 18 décembre 1999</w:t>
      </w:r>
      <w:r w:rsidRPr="00961388">
        <w:rPr>
          <w:lang w:val="fr-CH"/>
        </w:rPr>
        <w:t>, le Tribunal administratif, se fondant sur l</w:t>
      </w:r>
      <w:r w:rsidR="00961388">
        <w:rPr>
          <w:lang w:val="fr-CH"/>
        </w:rPr>
        <w:t>’</w:t>
      </w:r>
      <w:r w:rsidRPr="00961388">
        <w:rPr>
          <w:lang w:val="fr-CH"/>
        </w:rPr>
        <w:t>article 23 du Pacte international relatif aux droits civils et politiques reconnaissant sans restriction à l</w:t>
      </w:r>
      <w:r w:rsidR="00961388">
        <w:rPr>
          <w:lang w:val="fr-CH"/>
        </w:rPr>
        <w:t>’</w:t>
      </w:r>
      <w:r w:rsidRPr="00961388">
        <w:rPr>
          <w:lang w:val="fr-CH"/>
        </w:rPr>
        <w:t>homme et à la femme le droit de se marier et de fonder une famille à partir de l</w:t>
      </w:r>
      <w:r w:rsidR="00961388">
        <w:rPr>
          <w:lang w:val="fr-CH"/>
        </w:rPr>
        <w:t>’</w:t>
      </w:r>
      <w:r w:rsidRPr="00961388">
        <w:rPr>
          <w:lang w:val="fr-CH"/>
        </w:rPr>
        <w:t>âge nubile, a décidé l</w:t>
      </w:r>
      <w:r w:rsidR="00961388">
        <w:rPr>
          <w:lang w:val="fr-CH"/>
        </w:rPr>
        <w:t>’</w:t>
      </w:r>
      <w:r w:rsidRPr="00961388">
        <w:rPr>
          <w:lang w:val="fr-CH"/>
        </w:rPr>
        <w:t>annulation pour excès de pouvoir de la décision de révocation de l</w:t>
      </w:r>
      <w:r w:rsidR="00961388">
        <w:rPr>
          <w:lang w:val="fr-CH"/>
        </w:rPr>
        <w:t>’</w:t>
      </w:r>
      <w:r w:rsidRPr="00961388">
        <w:rPr>
          <w:lang w:val="fr-CH"/>
        </w:rPr>
        <w:t>agent des forces de sûreté intérieure qui avait été prise par l</w:t>
      </w:r>
      <w:r w:rsidR="00961388">
        <w:rPr>
          <w:lang w:val="fr-CH"/>
        </w:rPr>
        <w:t>’</w:t>
      </w:r>
      <w:r w:rsidRPr="00961388">
        <w:rPr>
          <w:lang w:val="fr-CH"/>
        </w:rPr>
        <w:t>Administration au motif que ledit agent n</w:t>
      </w:r>
      <w:r w:rsidR="00961388">
        <w:rPr>
          <w:lang w:val="fr-CH"/>
        </w:rPr>
        <w:t>’</w:t>
      </w:r>
      <w:r w:rsidRPr="00961388">
        <w:rPr>
          <w:lang w:val="fr-CH"/>
        </w:rPr>
        <w:t>avait pas obtenu l</w:t>
      </w:r>
      <w:r w:rsidR="00961388">
        <w:rPr>
          <w:lang w:val="fr-CH"/>
        </w:rPr>
        <w:t>’</w:t>
      </w:r>
      <w:r w:rsidRPr="00961388">
        <w:rPr>
          <w:lang w:val="fr-CH"/>
        </w:rPr>
        <w:t>autorisation de mariage exigée par l</w:t>
      </w:r>
      <w:r w:rsidR="00961388">
        <w:rPr>
          <w:lang w:val="fr-CH"/>
        </w:rPr>
        <w:t>’</w:t>
      </w:r>
      <w:r w:rsidRPr="00961388">
        <w:rPr>
          <w:lang w:val="fr-CH"/>
        </w:rPr>
        <w:t>article 8 du Statut général des agents des forces de sûreté intérieure préalablement à son mariage avec une femme étrangère.</w:t>
      </w:r>
    </w:p>
    <w:p w:rsidR="00570B62" w:rsidRPr="00961388" w:rsidRDefault="00570B62" w:rsidP="002A3A5A">
      <w:pPr>
        <w:pStyle w:val="SingleTxtG"/>
        <w:rPr>
          <w:lang w:val="fr-CH"/>
        </w:rPr>
      </w:pPr>
      <w:r w:rsidRPr="00961388">
        <w:rPr>
          <w:lang w:val="fr-CH"/>
        </w:rPr>
        <w:t>37.</w:t>
      </w:r>
      <w:r w:rsidRPr="00961388">
        <w:rPr>
          <w:lang w:val="fr-CH"/>
        </w:rPr>
        <w:tab/>
      </w:r>
      <w:r w:rsidRPr="00961388">
        <w:rPr>
          <w:b/>
          <w:bCs/>
          <w:lang w:val="fr-CH"/>
        </w:rPr>
        <w:t>Dans l</w:t>
      </w:r>
      <w:r w:rsidR="00961388">
        <w:rPr>
          <w:b/>
          <w:bCs/>
          <w:lang w:val="fr-CH"/>
        </w:rPr>
        <w:t>’</w:t>
      </w:r>
      <w:r w:rsidR="001973D8">
        <w:rPr>
          <w:b/>
          <w:bCs/>
          <w:lang w:val="fr-CH"/>
        </w:rPr>
        <w:t xml:space="preserve">affaire </w:t>
      </w:r>
      <w:r w:rsidR="001973D8" w:rsidRPr="001973D8">
        <w:rPr>
          <w:rFonts w:eastAsia="MS Mincho"/>
          <w:b/>
          <w:bCs/>
          <w:lang w:val="fr-CH"/>
        </w:rPr>
        <w:t>n</w:t>
      </w:r>
      <w:r w:rsidR="001973D8" w:rsidRPr="001973D8">
        <w:rPr>
          <w:rFonts w:eastAsia="MS Mincho"/>
          <w:b/>
          <w:bCs/>
          <w:vertAlign w:val="superscript"/>
          <w:lang w:val="fr-CH"/>
        </w:rPr>
        <w:t>o</w:t>
      </w:r>
      <w:r w:rsidR="001973D8">
        <w:rPr>
          <w:b/>
          <w:bCs/>
          <w:lang w:val="fr-CH"/>
        </w:rPr>
        <w:t xml:space="preserve"> </w:t>
      </w:r>
      <w:r w:rsidRPr="00961388">
        <w:rPr>
          <w:b/>
          <w:bCs/>
          <w:lang w:val="fr-CH"/>
        </w:rPr>
        <w:t>15327 rendue le 24 juin 2005</w:t>
      </w:r>
      <w:r w:rsidRPr="00961388">
        <w:rPr>
          <w:lang w:val="fr-CH"/>
        </w:rPr>
        <w:t>, le tribunal a réitéré la même position en affirmant que les traités dûment ratifiés par le Président de la République et approuvés par la Chambre des députés, conformément aux dispositions de l</w:t>
      </w:r>
      <w:r w:rsidR="00961388">
        <w:rPr>
          <w:lang w:val="fr-CH"/>
        </w:rPr>
        <w:t>’</w:t>
      </w:r>
      <w:r w:rsidRPr="00961388">
        <w:rPr>
          <w:lang w:val="fr-CH"/>
        </w:rPr>
        <w:t>article 32 de la Constitution tunisienne, ont autorité supérieure à celle des lois, qu</w:t>
      </w:r>
      <w:r w:rsidR="00961388">
        <w:rPr>
          <w:lang w:val="fr-CH"/>
        </w:rPr>
        <w:t>’</w:t>
      </w:r>
      <w:r w:rsidRPr="00961388">
        <w:rPr>
          <w:lang w:val="fr-CH"/>
        </w:rPr>
        <w:t>elles soient antérieures ou postérieures à leur entrée en vigueur. Dès lors, à l</w:t>
      </w:r>
      <w:r w:rsidR="00961388">
        <w:rPr>
          <w:lang w:val="fr-CH"/>
        </w:rPr>
        <w:t>’</w:t>
      </w:r>
      <w:r w:rsidRPr="00961388">
        <w:rPr>
          <w:lang w:val="fr-CH"/>
        </w:rPr>
        <w:t>occasion de l</w:t>
      </w:r>
      <w:r w:rsidR="00961388">
        <w:rPr>
          <w:lang w:val="fr-CH"/>
        </w:rPr>
        <w:t>’</w:t>
      </w:r>
      <w:r w:rsidRPr="00961388">
        <w:rPr>
          <w:lang w:val="fr-CH"/>
        </w:rPr>
        <w:t>appréciation de la légalité des décisions administratives ayant trait au champ d</w:t>
      </w:r>
      <w:r w:rsidR="00961388">
        <w:rPr>
          <w:lang w:val="fr-CH"/>
        </w:rPr>
        <w:t>’</w:t>
      </w:r>
      <w:r w:rsidRPr="00961388">
        <w:rPr>
          <w:lang w:val="fr-CH"/>
        </w:rPr>
        <w:t>application desdits traités, le juge administratif est tenu, le cas échéant, de les faire prévaloir sur les dispositions des lois.</w:t>
      </w:r>
    </w:p>
    <w:p w:rsidR="00570B62" w:rsidRPr="00961388" w:rsidRDefault="002A3A5A" w:rsidP="002A3A5A">
      <w:pPr>
        <w:pStyle w:val="H23G"/>
        <w:rPr>
          <w:lang w:val="fr-CH"/>
        </w:rPr>
      </w:pPr>
      <w:r>
        <w:rPr>
          <w:lang w:val="fr-CH"/>
        </w:rPr>
        <w:tab/>
      </w:r>
      <w:r>
        <w:rPr>
          <w:lang w:val="fr-CH"/>
        </w:rPr>
        <w:tab/>
      </w:r>
      <w:r w:rsidR="00570B62" w:rsidRPr="00961388">
        <w:rPr>
          <w:lang w:val="fr-CH"/>
        </w:rPr>
        <w:t>Réponse au paragraphe 5 de la liste de poi</w:t>
      </w:r>
      <w:r>
        <w:rPr>
          <w:lang w:val="fr-CH"/>
        </w:rPr>
        <w:t>nts à traiter</w:t>
      </w:r>
    </w:p>
    <w:p w:rsidR="00570B62" w:rsidRPr="00961388" w:rsidRDefault="002A3A5A" w:rsidP="002A3A5A">
      <w:pPr>
        <w:pStyle w:val="SingleTxtG"/>
        <w:rPr>
          <w:lang w:val="fr-CH"/>
        </w:rPr>
      </w:pPr>
      <w:r>
        <w:rPr>
          <w:lang w:val="fr-CH"/>
        </w:rPr>
        <w:t>38.</w:t>
      </w:r>
      <w:r>
        <w:rPr>
          <w:lang w:val="fr-CH"/>
        </w:rPr>
        <w:tab/>
      </w:r>
      <w:r w:rsidR="00570B62" w:rsidRPr="00961388">
        <w:rPr>
          <w:lang w:val="fr-CH"/>
        </w:rPr>
        <w:t>Bien que la Constitution ne contienne ni une définition de la discrimination à l</w:t>
      </w:r>
      <w:r w:rsidR="00961388">
        <w:rPr>
          <w:lang w:val="fr-CH"/>
        </w:rPr>
        <w:t>’</w:t>
      </w:r>
      <w:r w:rsidR="00570B62" w:rsidRPr="00961388">
        <w:rPr>
          <w:lang w:val="fr-CH"/>
        </w:rPr>
        <w:t>égard des femmes ni un libellé explicite interdisant la discrimination à leur égard, elle a, cependant, mis en exergue, dans son Préambule, l</w:t>
      </w:r>
      <w:r w:rsidR="00961388">
        <w:rPr>
          <w:lang w:val="fr-CH"/>
        </w:rPr>
        <w:t>’</w:t>
      </w:r>
      <w:r w:rsidR="00570B62" w:rsidRPr="00961388">
        <w:rPr>
          <w:lang w:val="fr-CH"/>
        </w:rPr>
        <w:t>attachement de la Tunisie «aux valeurs humaines qui constituent le patrimoine commun des peuples attachés à la dignité de l</w:t>
      </w:r>
      <w:r w:rsidR="00961388">
        <w:rPr>
          <w:lang w:val="fr-CH"/>
        </w:rPr>
        <w:t>’</w:t>
      </w:r>
      <w:r w:rsidR="00570B62" w:rsidRPr="00961388">
        <w:rPr>
          <w:lang w:val="fr-CH"/>
        </w:rPr>
        <w:t>homme, à la justice et à la liberté». La discrimination, constituant une totale négation des principes de dignité, d</w:t>
      </w:r>
      <w:r w:rsidR="00961388">
        <w:rPr>
          <w:lang w:val="fr-CH"/>
        </w:rPr>
        <w:t>’</w:t>
      </w:r>
      <w:r w:rsidR="00570B62" w:rsidRPr="00961388">
        <w:rPr>
          <w:lang w:val="fr-CH"/>
        </w:rPr>
        <w:t>égalité, de justice et de liberté, se trouve donc condamnée par la Constitution tunisienne dès son préambule.</w:t>
      </w:r>
    </w:p>
    <w:p w:rsidR="00570B62" w:rsidRPr="00961388" w:rsidRDefault="00570B62" w:rsidP="002A3A5A">
      <w:pPr>
        <w:pStyle w:val="SingleTxtG"/>
        <w:rPr>
          <w:lang w:val="fr-CH"/>
        </w:rPr>
      </w:pPr>
      <w:r w:rsidRPr="00961388">
        <w:rPr>
          <w:lang w:val="fr-CH"/>
        </w:rPr>
        <w:t>39.</w:t>
      </w:r>
      <w:r w:rsidRPr="00961388">
        <w:rPr>
          <w:lang w:val="fr-CH"/>
        </w:rPr>
        <w:tab/>
        <w:t>En outre, la Constitution ne s</w:t>
      </w:r>
      <w:r w:rsidR="00961388">
        <w:rPr>
          <w:lang w:val="fr-CH"/>
        </w:rPr>
        <w:t>’</w:t>
      </w:r>
      <w:r w:rsidRPr="00961388">
        <w:rPr>
          <w:lang w:val="fr-CH"/>
        </w:rPr>
        <w:t>est pas contentée de condamner la discrimination dans son préambule. Elle a ajouté dans son corps deux principes fondamentaux portant interdiction absolue de toute forme de discrimination. D</w:t>
      </w:r>
      <w:r w:rsidR="00961388">
        <w:rPr>
          <w:lang w:val="fr-CH"/>
        </w:rPr>
        <w:t>’</w:t>
      </w:r>
      <w:r w:rsidRPr="00961388">
        <w:rPr>
          <w:lang w:val="fr-CH"/>
        </w:rPr>
        <w:t>une part l</w:t>
      </w:r>
      <w:r w:rsidR="00961388">
        <w:rPr>
          <w:lang w:val="fr-CH"/>
        </w:rPr>
        <w:t>’</w:t>
      </w:r>
      <w:r w:rsidRPr="00961388">
        <w:rPr>
          <w:lang w:val="fr-CH"/>
        </w:rPr>
        <w:t xml:space="preserve">article 6 de la Constitution, qui dispose que </w:t>
      </w:r>
      <w:r w:rsidR="00961388">
        <w:rPr>
          <w:lang w:val="fr-CH"/>
        </w:rPr>
        <w:t>«</w:t>
      </w:r>
      <w:r w:rsidRPr="00961388">
        <w:rPr>
          <w:lang w:val="fr-CH"/>
        </w:rPr>
        <w:t>tous les citoyens ont les mêmes droits et les mêmes devoirs. Ils sont égaux devant la loi». Ce principe constitutionnel d</w:t>
      </w:r>
      <w:r w:rsidR="00961388">
        <w:rPr>
          <w:lang w:val="fr-CH"/>
        </w:rPr>
        <w:t>’</w:t>
      </w:r>
      <w:r w:rsidRPr="00961388">
        <w:rPr>
          <w:lang w:val="fr-CH"/>
        </w:rPr>
        <w:t>égalité absolue montre l</w:t>
      </w:r>
      <w:r w:rsidR="00961388">
        <w:rPr>
          <w:lang w:val="fr-CH"/>
        </w:rPr>
        <w:t>’</w:t>
      </w:r>
      <w:r w:rsidRPr="00961388">
        <w:rPr>
          <w:lang w:val="fr-CH"/>
        </w:rPr>
        <w:t>interdiction totale de toute forme de discrimination, y compris la discrimination basée sur le sexe. D</w:t>
      </w:r>
      <w:r w:rsidR="00961388">
        <w:rPr>
          <w:lang w:val="fr-CH"/>
        </w:rPr>
        <w:t>’</w:t>
      </w:r>
      <w:r w:rsidRPr="00961388">
        <w:rPr>
          <w:lang w:val="fr-CH"/>
        </w:rPr>
        <w:t>autre part l</w:t>
      </w:r>
      <w:r w:rsidR="00961388">
        <w:rPr>
          <w:lang w:val="fr-CH"/>
        </w:rPr>
        <w:t>’</w:t>
      </w:r>
      <w:r w:rsidRPr="00961388">
        <w:rPr>
          <w:lang w:val="fr-CH"/>
        </w:rPr>
        <w:t xml:space="preserve">article 8 de la Constitution, qui dispose que </w:t>
      </w:r>
      <w:r w:rsidR="00961388">
        <w:rPr>
          <w:lang w:val="fr-CH"/>
        </w:rPr>
        <w:t>«</w:t>
      </w:r>
      <w:r w:rsidRPr="00961388">
        <w:rPr>
          <w:lang w:val="fr-CH"/>
        </w:rPr>
        <w:t>les partis politiques s</w:t>
      </w:r>
      <w:r w:rsidR="00961388">
        <w:rPr>
          <w:lang w:val="fr-CH"/>
        </w:rPr>
        <w:t>’</w:t>
      </w:r>
      <w:r w:rsidRPr="00961388">
        <w:rPr>
          <w:lang w:val="fr-CH"/>
        </w:rPr>
        <w:t>engagent à bannir toute forme de violence, de fanatisme, de racisme et toute forme de discrimination. Un parti politique ne peut s</w:t>
      </w:r>
      <w:r w:rsidR="00961388">
        <w:rPr>
          <w:lang w:val="fr-CH"/>
        </w:rPr>
        <w:t>’</w:t>
      </w:r>
      <w:r w:rsidRPr="00961388">
        <w:rPr>
          <w:lang w:val="fr-CH"/>
        </w:rPr>
        <w:t>appuyer fondamentalement dans ses principes, objectifs, activités ou programmes sur une religion, une langue, une race, un sexe ou une région</w:t>
      </w:r>
      <w:r w:rsidR="00961388">
        <w:rPr>
          <w:lang w:val="fr-CH"/>
        </w:rPr>
        <w:t>»</w:t>
      </w:r>
      <w:r w:rsidRPr="00961388">
        <w:rPr>
          <w:lang w:val="fr-CH"/>
        </w:rPr>
        <w:t>.</w:t>
      </w:r>
    </w:p>
    <w:p w:rsidR="00570B62" w:rsidRPr="00961388" w:rsidRDefault="00570B62" w:rsidP="002A3A5A">
      <w:pPr>
        <w:pStyle w:val="SingleTxtG"/>
        <w:rPr>
          <w:lang w:val="fr-CH"/>
        </w:rPr>
      </w:pPr>
      <w:r w:rsidRPr="00961388">
        <w:rPr>
          <w:lang w:val="fr-CH"/>
        </w:rPr>
        <w:t>40.</w:t>
      </w:r>
      <w:r w:rsidRPr="00961388">
        <w:rPr>
          <w:lang w:val="fr-CH"/>
        </w:rPr>
        <w:tab/>
        <w:t>Par ailleurs, il sied de rappeler que les instruments internationaux dûment ratifiés par la Tunisie, y compris la Convention sur l</w:t>
      </w:r>
      <w:r w:rsidR="00961388">
        <w:rPr>
          <w:lang w:val="fr-CH"/>
        </w:rPr>
        <w:t>’</w:t>
      </w:r>
      <w:r w:rsidRPr="00961388">
        <w:rPr>
          <w:lang w:val="fr-CH"/>
        </w:rPr>
        <w:t>élimination de toutes les formes de discrimination à l</w:t>
      </w:r>
      <w:r w:rsidR="00961388">
        <w:rPr>
          <w:lang w:val="fr-CH"/>
        </w:rPr>
        <w:t>’</w:t>
      </w:r>
      <w:r w:rsidRPr="00961388">
        <w:rPr>
          <w:lang w:val="fr-CH"/>
        </w:rPr>
        <w:t xml:space="preserve">égard des femmes, ont une autorité supérieure à celle des lois. </w:t>
      </w:r>
    </w:p>
    <w:p w:rsidR="00570B62" w:rsidRPr="00961388" w:rsidRDefault="002A3A5A" w:rsidP="002A3A5A">
      <w:pPr>
        <w:pStyle w:val="H23G"/>
        <w:rPr>
          <w:lang w:val="fr-CH"/>
        </w:rPr>
      </w:pPr>
      <w:r>
        <w:rPr>
          <w:lang w:val="fr-CH"/>
        </w:rPr>
        <w:tab/>
      </w:r>
      <w:r>
        <w:rPr>
          <w:lang w:val="fr-CH"/>
        </w:rPr>
        <w:tab/>
      </w:r>
      <w:r w:rsidR="00570B62" w:rsidRPr="00961388">
        <w:rPr>
          <w:lang w:val="fr-CH"/>
        </w:rPr>
        <w:t xml:space="preserve">Réponse au paragraphe 6 </w:t>
      </w:r>
      <w:r>
        <w:rPr>
          <w:lang w:val="fr-CH"/>
        </w:rPr>
        <w:t>de la liste de points à traiter</w:t>
      </w:r>
    </w:p>
    <w:p w:rsidR="002A3A5A" w:rsidRDefault="00570B62" w:rsidP="002A3A5A">
      <w:pPr>
        <w:pStyle w:val="SingleTxtG"/>
        <w:rPr>
          <w:lang w:val="fr-CH"/>
        </w:rPr>
      </w:pPr>
      <w:r w:rsidRPr="00961388">
        <w:rPr>
          <w:lang w:val="fr-CH"/>
        </w:rPr>
        <w:t>41.</w:t>
      </w:r>
      <w:r w:rsidRPr="00961388">
        <w:rPr>
          <w:lang w:val="fr-CH"/>
        </w:rPr>
        <w:tab/>
        <w:t>Le Comité supérieur des droits de l</w:t>
      </w:r>
      <w:r w:rsidR="00961388">
        <w:rPr>
          <w:lang w:val="fr-CH"/>
        </w:rPr>
        <w:t>’</w:t>
      </w:r>
      <w:r w:rsidRPr="00961388">
        <w:rPr>
          <w:lang w:val="fr-CH"/>
        </w:rPr>
        <w:t>homme et des libertés fondamentales est une institution nationale qui vise «La promotion et la protection des droits de l</w:t>
      </w:r>
      <w:r w:rsidR="00961388">
        <w:rPr>
          <w:lang w:val="fr-CH"/>
        </w:rPr>
        <w:t>’</w:t>
      </w:r>
      <w:r w:rsidRPr="00961388">
        <w:rPr>
          <w:lang w:val="fr-CH"/>
        </w:rPr>
        <w:t>homme, la consolidation de ses valeurs, la diffusion de la culture des droits de l</w:t>
      </w:r>
      <w:r w:rsidR="00961388">
        <w:rPr>
          <w:lang w:val="fr-CH"/>
        </w:rPr>
        <w:t>’</w:t>
      </w:r>
      <w:r w:rsidRPr="00961388">
        <w:rPr>
          <w:lang w:val="fr-CH"/>
        </w:rPr>
        <w:t>homme et la contribution à la garantie de leur exercice</w:t>
      </w:r>
      <w:r w:rsidR="00961388">
        <w:rPr>
          <w:lang w:val="fr-CH"/>
        </w:rPr>
        <w:t>»</w:t>
      </w:r>
      <w:r w:rsidR="002A3A5A">
        <w:rPr>
          <w:lang w:val="fr-CH"/>
        </w:rPr>
        <w:t>.</w:t>
      </w:r>
    </w:p>
    <w:p w:rsidR="002A3A5A" w:rsidRDefault="002A3A5A" w:rsidP="002A3A5A">
      <w:pPr>
        <w:pStyle w:val="SingleTxtG"/>
        <w:rPr>
          <w:lang w:val="fr-CH"/>
        </w:rPr>
      </w:pPr>
      <w:r>
        <w:rPr>
          <w:lang w:val="fr-CH"/>
        </w:rPr>
        <w:t>42.</w:t>
      </w:r>
      <w:r w:rsidR="00570B62" w:rsidRPr="00961388">
        <w:rPr>
          <w:rtl/>
          <w:lang w:val="fr-CH"/>
        </w:rPr>
        <w:tab/>
      </w:r>
      <w:r w:rsidR="00570B62" w:rsidRPr="00961388">
        <w:rPr>
          <w:lang w:val="fr-CH"/>
        </w:rPr>
        <w:t>Depuis sa création le 7 janvier 1991, le Comité supérieur reçoit les plaintes et les doléances de tous les plaignants, indépendamment de leur sexe, race, religion, âge, ethnie et appartenance géographique, politique, sociale, économique, culturelle, ou autres.</w:t>
      </w:r>
    </w:p>
    <w:p w:rsidR="002A3A5A" w:rsidRDefault="002A3A5A" w:rsidP="002A3A5A">
      <w:pPr>
        <w:pStyle w:val="SingleTxtG"/>
        <w:rPr>
          <w:lang w:val="fr-CH"/>
        </w:rPr>
      </w:pPr>
      <w:r>
        <w:rPr>
          <w:lang w:val="fr-CH"/>
        </w:rPr>
        <w:t>43.</w:t>
      </w:r>
      <w:r>
        <w:rPr>
          <w:lang w:val="fr-CH"/>
        </w:rPr>
        <w:tab/>
      </w:r>
      <w:r w:rsidR="00570B62" w:rsidRPr="00961388">
        <w:rPr>
          <w:lang w:val="fr-CH"/>
        </w:rPr>
        <w:t>Cette compétence a été réitérée dans les différents textes juridiques qui se sont succédés afin d</w:t>
      </w:r>
      <w:r w:rsidR="00961388">
        <w:rPr>
          <w:lang w:val="fr-CH"/>
        </w:rPr>
        <w:t>’</w:t>
      </w:r>
      <w:r w:rsidR="00570B62" w:rsidRPr="00961388">
        <w:rPr>
          <w:lang w:val="fr-CH"/>
        </w:rPr>
        <w:t>élargir les attributions du Comité supérieur, en l</w:t>
      </w:r>
      <w:r w:rsidR="00961388">
        <w:rPr>
          <w:lang w:val="fr-CH"/>
        </w:rPr>
        <w:t>’</w:t>
      </w:r>
      <w:r w:rsidR="00570B62" w:rsidRPr="00961388">
        <w:rPr>
          <w:lang w:val="fr-CH"/>
        </w:rPr>
        <w:t xml:space="preserve">occurrence la loi </w:t>
      </w:r>
      <w:r>
        <w:rPr>
          <w:lang w:val="fr-CH"/>
        </w:rPr>
        <w:t>du 16 juin 2008 (art. 2, par.</w:t>
      </w:r>
      <w:r w:rsidR="00C11D78">
        <w:rPr>
          <w:lang w:val="fr-CH"/>
        </w:rPr>
        <w:t xml:space="preserve"> </w:t>
      </w:r>
      <w:r>
        <w:rPr>
          <w:lang w:val="fr-CH"/>
        </w:rPr>
        <w:t>3).</w:t>
      </w:r>
    </w:p>
    <w:p w:rsidR="002A3A5A" w:rsidRDefault="002A3A5A" w:rsidP="002A3A5A">
      <w:pPr>
        <w:pStyle w:val="SingleTxtG"/>
        <w:rPr>
          <w:lang w:val="fr-CH"/>
        </w:rPr>
      </w:pPr>
      <w:r>
        <w:rPr>
          <w:lang w:val="fr-CH"/>
        </w:rPr>
        <w:t>44.</w:t>
      </w:r>
      <w:r>
        <w:rPr>
          <w:lang w:val="fr-CH"/>
        </w:rPr>
        <w:tab/>
      </w:r>
      <w:r w:rsidR="00570B62" w:rsidRPr="00961388">
        <w:rPr>
          <w:lang w:val="fr-CH"/>
        </w:rPr>
        <w:t>Le Comité supérieur reçoit, en moyenne, mille requêtes par an sur des questions relatives aux droits politiques, civils, sociaux, économiques et culturels.</w:t>
      </w:r>
    </w:p>
    <w:p w:rsidR="00570B62" w:rsidRPr="00961388" w:rsidRDefault="002A3A5A" w:rsidP="002A3A5A">
      <w:pPr>
        <w:pStyle w:val="SingleTxtG"/>
        <w:rPr>
          <w:rtl/>
          <w:lang w:val="fr-CH"/>
        </w:rPr>
      </w:pPr>
      <w:r>
        <w:rPr>
          <w:lang w:val="fr-CH"/>
        </w:rPr>
        <w:t>45.</w:t>
      </w:r>
      <w:r>
        <w:rPr>
          <w:lang w:val="fr-CH"/>
        </w:rPr>
        <w:tab/>
      </w:r>
      <w:r w:rsidR="00570B62" w:rsidRPr="00961388">
        <w:rPr>
          <w:lang w:val="fr-CH"/>
        </w:rPr>
        <w:t>Le nombre des plaintes parvenues au Comité supérieur en provenance de femmes est relativement important: 113 sur 637 plaintes ont été reçues en 2009, 130 sur 759 en 2008 et 157 sur 1.056 en 2007. Néanmoins, les requêtes émanant des femmes portent sur des sujets touchant aux droits de l</w:t>
      </w:r>
      <w:r w:rsidR="00961388">
        <w:rPr>
          <w:lang w:val="fr-CH"/>
        </w:rPr>
        <w:t>’</w:t>
      </w:r>
      <w:r w:rsidR="00570B62" w:rsidRPr="00961388">
        <w:rPr>
          <w:lang w:val="fr-CH"/>
        </w:rPr>
        <w:t>homme en général sans pour autant poser le problème de la discrimination à l</w:t>
      </w:r>
      <w:r w:rsidR="00961388">
        <w:rPr>
          <w:lang w:val="fr-CH"/>
        </w:rPr>
        <w:t>’</w:t>
      </w:r>
      <w:r w:rsidR="00570B62" w:rsidRPr="00961388">
        <w:rPr>
          <w:lang w:val="fr-CH"/>
        </w:rPr>
        <w:t>égard des femmes, bien que le texte régissant le fonctionnement du Comité supérieur l</w:t>
      </w:r>
      <w:r w:rsidR="00961388">
        <w:rPr>
          <w:lang w:val="fr-CH"/>
        </w:rPr>
        <w:t>’</w:t>
      </w:r>
      <w:r w:rsidR="00570B62" w:rsidRPr="00961388">
        <w:rPr>
          <w:lang w:val="fr-CH"/>
        </w:rPr>
        <w:t>habilite à s</w:t>
      </w:r>
      <w:r w:rsidR="00961388">
        <w:rPr>
          <w:lang w:val="fr-CH"/>
        </w:rPr>
        <w:t>’</w:t>
      </w:r>
      <w:r w:rsidR="00570B62" w:rsidRPr="00961388">
        <w:rPr>
          <w:lang w:val="fr-CH"/>
        </w:rPr>
        <w:t>autosaisir de tous les cas de violation des droits de l</w:t>
      </w:r>
      <w:r w:rsidR="00961388">
        <w:rPr>
          <w:lang w:val="fr-CH"/>
        </w:rPr>
        <w:t>’</w:t>
      </w:r>
      <w:r w:rsidR="00570B62" w:rsidRPr="00961388">
        <w:rPr>
          <w:lang w:val="fr-CH"/>
        </w:rPr>
        <w:t>homme (par.</w:t>
      </w:r>
      <w:r>
        <w:rPr>
          <w:lang w:val="fr-CH"/>
        </w:rPr>
        <w:t xml:space="preserve"> </w:t>
      </w:r>
      <w:r w:rsidR="00570B62" w:rsidRPr="00961388">
        <w:rPr>
          <w:lang w:val="fr-CH"/>
        </w:rPr>
        <w:t>1, art.</w:t>
      </w:r>
      <w:r>
        <w:rPr>
          <w:lang w:val="fr-CH"/>
        </w:rPr>
        <w:t xml:space="preserve"> </w:t>
      </w:r>
      <w:r w:rsidR="00570B62" w:rsidRPr="00961388">
        <w:rPr>
          <w:lang w:val="fr-CH"/>
        </w:rPr>
        <w:t>2, loi du 16 juin 2008) et à préserver les droits des personnes privées de libertés ou ayant des besoins spécifiques.</w:t>
      </w:r>
    </w:p>
    <w:p w:rsidR="00570B62" w:rsidRPr="00961388" w:rsidRDefault="00570B62" w:rsidP="002A3A5A">
      <w:pPr>
        <w:pStyle w:val="SingleTxtG"/>
        <w:rPr>
          <w:lang w:val="fr-CH"/>
        </w:rPr>
      </w:pPr>
      <w:r w:rsidRPr="00961388">
        <w:rPr>
          <w:lang w:val="fr-CH"/>
        </w:rPr>
        <w:t>46.</w:t>
      </w:r>
      <w:r w:rsidRPr="00961388">
        <w:rPr>
          <w:lang w:val="fr-CH"/>
        </w:rPr>
        <w:tab/>
        <w:t>Il convient également de signaler que le Comité supérieur est également habilité en vertu de la loi du 16 juin 2008 (</w:t>
      </w:r>
      <w:r w:rsidR="00C11D78">
        <w:rPr>
          <w:lang w:val="fr-CH"/>
        </w:rPr>
        <w:t>a</w:t>
      </w:r>
      <w:r w:rsidRPr="00961388">
        <w:rPr>
          <w:lang w:val="fr-CH"/>
        </w:rPr>
        <w:t xml:space="preserve">rt. 11) à </w:t>
      </w:r>
      <w:r w:rsidR="00961388">
        <w:rPr>
          <w:lang w:val="fr-CH"/>
        </w:rPr>
        <w:t>«</w:t>
      </w:r>
      <w:r w:rsidRPr="00961388">
        <w:rPr>
          <w:lang w:val="fr-CH"/>
        </w:rPr>
        <w:t>…établir des relations avec les organisations non gouvernementales, les associations et organismes actifs dans les domaines de protection et de consolidation des droits de l</w:t>
      </w:r>
      <w:r w:rsidR="00961388">
        <w:rPr>
          <w:lang w:val="fr-CH"/>
        </w:rPr>
        <w:t>’</w:t>
      </w:r>
      <w:r w:rsidRPr="00961388">
        <w:rPr>
          <w:lang w:val="fr-CH"/>
        </w:rPr>
        <w:t>homme, du développement économique et social, de lutte contre toutes les formes de discrimination raciale, de protection des catégories vulnérables et dans tout autre domaine ayant trait à ces sujets».</w:t>
      </w:r>
    </w:p>
    <w:p w:rsidR="00570B62" w:rsidRPr="00961388" w:rsidRDefault="00570B62" w:rsidP="002A3A5A">
      <w:pPr>
        <w:pStyle w:val="SingleTxtG"/>
        <w:rPr>
          <w:lang w:val="fr-CH"/>
        </w:rPr>
      </w:pPr>
      <w:r w:rsidRPr="00961388">
        <w:rPr>
          <w:lang w:val="fr-CH"/>
        </w:rPr>
        <w:t>47.</w:t>
      </w:r>
      <w:r w:rsidRPr="00961388">
        <w:rPr>
          <w:lang w:val="fr-CH"/>
        </w:rPr>
        <w:tab/>
        <w:t>Pour ce qui est du bureau des relations avec le citoyen auprès du Ministère des affaires de la femme, de la famille, de l</w:t>
      </w:r>
      <w:r w:rsidR="00961388">
        <w:rPr>
          <w:lang w:val="fr-CH"/>
        </w:rPr>
        <w:t>’</w:t>
      </w:r>
      <w:r w:rsidRPr="00961388">
        <w:rPr>
          <w:lang w:val="fr-CH"/>
        </w:rPr>
        <w:t>enfance et des personnes âgées (MAFFEPA), à ce jour, aucune plainte pour discrimination selon le genre n</w:t>
      </w:r>
      <w:r w:rsidR="00961388">
        <w:rPr>
          <w:lang w:val="fr-CH"/>
        </w:rPr>
        <w:t>’</w:t>
      </w:r>
      <w:r w:rsidRPr="00961388">
        <w:rPr>
          <w:lang w:val="fr-CH"/>
        </w:rPr>
        <w:t>a été déposée auprès dudit bureau.</w:t>
      </w:r>
    </w:p>
    <w:p w:rsidR="00570B62" w:rsidRPr="00961388" w:rsidRDefault="00570B62" w:rsidP="002A3A5A">
      <w:pPr>
        <w:pStyle w:val="H1G"/>
        <w:rPr>
          <w:lang w:val="fr-CH"/>
        </w:rPr>
      </w:pPr>
      <w:r w:rsidRPr="00961388">
        <w:rPr>
          <w:lang w:val="fr-CH"/>
        </w:rPr>
        <w:tab/>
      </w:r>
      <w:r w:rsidRPr="00961388">
        <w:rPr>
          <w:lang w:val="fr-CH"/>
        </w:rPr>
        <w:tab/>
        <w:t>Visibilité de la Convention et du Protocole facultatif</w:t>
      </w:r>
    </w:p>
    <w:p w:rsidR="00570B62" w:rsidRPr="00961388" w:rsidRDefault="002A3A5A" w:rsidP="002A3A5A">
      <w:pPr>
        <w:pStyle w:val="H23G"/>
        <w:rPr>
          <w:lang w:val="fr-CH"/>
        </w:rPr>
      </w:pPr>
      <w:r>
        <w:rPr>
          <w:lang w:val="fr-CH"/>
        </w:rPr>
        <w:tab/>
      </w:r>
      <w:r>
        <w:rPr>
          <w:lang w:val="fr-CH"/>
        </w:rPr>
        <w:tab/>
      </w:r>
      <w:r w:rsidR="00570B62" w:rsidRPr="00961388">
        <w:rPr>
          <w:lang w:val="fr-CH"/>
        </w:rPr>
        <w:t xml:space="preserve">Réponse au paragraphe 7 </w:t>
      </w:r>
      <w:r>
        <w:rPr>
          <w:lang w:val="fr-CH"/>
        </w:rPr>
        <w:t>de la liste de points à traiter</w:t>
      </w:r>
    </w:p>
    <w:p w:rsidR="00570B62" w:rsidRPr="00961388" w:rsidRDefault="00570B62" w:rsidP="002A3A5A">
      <w:pPr>
        <w:pStyle w:val="SingleTxtG"/>
        <w:rPr>
          <w:lang w:val="fr-CH"/>
        </w:rPr>
      </w:pPr>
      <w:r w:rsidRPr="00961388">
        <w:rPr>
          <w:lang w:val="fr-CH"/>
        </w:rPr>
        <w:t>48.</w:t>
      </w:r>
      <w:r w:rsidRPr="00961388">
        <w:rPr>
          <w:lang w:val="fr-CH"/>
        </w:rPr>
        <w:tab/>
        <w:t>Le tissu social tunisien est un tissu homogène qui écarte toute forme de discrimination quel qu</w:t>
      </w:r>
      <w:r w:rsidR="00961388">
        <w:rPr>
          <w:lang w:val="fr-CH"/>
        </w:rPr>
        <w:t>’</w:t>
      </w:r>
      <w:r w:rsidRPr="00961388">
        <w:rPr>
          <w:lang w:val="fr-CH"/>
        </w:rPr>
        <w:t>en soit le fondement. De ce fait, la divulgation de l</w:t>
      </w:r>
      <w:r w:rsidR="00961388">
        <w:rPr>
          <w:lang w:val="fr-CH"/>
        </w:rPr>
        <w:t>’</w:t>
      </w:r>
      <w:r w:rsidRPr="00961388">
        <w:rPr>
          <w:lang w:val="fr-CH"/>
        </w:rPr>
        <w:t>information sur les droits de la femme n</w:t>
      </w:r>
      <w:r w:rsidR="00961388">
        <w:rPr>
          <w:lang w:val="fr-CH"/>
        </w:rPr>
        <w:t>’</w:t>
      </w:r>
      <w:r w:rsidRPr="00961388">
        <w:rPr>
          <w:lang w:val="fr-CH"/>
        </w:rPr>
        <w:t>est pas soumise à un traitement différencié selon que la femme appartienne ou non à un groupe ethnique ou à un quelconque groupe. Toutes les femmes tunisiennes reçoivent la même éducation sans considération de leurs croyances et de leur appartenance à tel groupe ou à tel autre. Aucun traitement spécial se fondant sur des considérations d</w:t>
      </w:r>
      <w:r w:rsidR="00961388">
        <w:rPr>
          <w:lang w:val="fr-CH"/>
        </w:rPr>
        <w:t>’</w:t>
      </w:r>
      <w:r w:rsidRPr="00961388">
        <w:rPr>
          <w:lang w:val="fr-CH"/>
        </w:rPr>
        <w:t>appartenance ethnique n</w:t>
      </w:r>
      <w:r w:rsidR="00961388">
        <w:rPr>
          <w:lang w:val="fr-CH"/>
        </w:rPr>
        <w:t>’</w:t>
      </w:r>
      <w:r w:rsidRPr="00961388">
        <w:rPr>
          <w:lang w:val="fr-CH"/>
        </w:rPr>
        <w:t>est réservé à une catégorie au détriment du reste de la population.</w:t>
      </w:r>
    </w:p>
    <w:p w:rsidR="00570B62" w:rsidRPr="00961388" w:rsidRDefault="00570B62" w:rsidP="002A3A5A">
      <w:pPr>
        <w:pStyle w:val="SingleTxtG"/>
        <w:rPr>
          <w:lang w:val="fr-CH"/>
        </w:rPr>
      </w:pPr>
      <w:r w:rsidRPr="00961388">
        <w:rPr>
          <w:lang w:val="fr-CH"/>
        </w:rPr>
        <w:t>49.</w:t>
      </w:r>
      <w:r w:rsidRPr="00961388">
        <w:rPr>
          <w:lang w:val="fr-CH"/>
        </w:rPr>
        <w:tab/>
        <w:t>Les droits déclarés dans la Convention sont pris en compte par la législation nationale. Celle-ci est largement diffusée par le biais des sites officiels ou à l</w:t>
      </w:r>
      <w:r w:rsidR="00961388">
        <w:rPr>
          <w:lang w:val="fr-CH"/>
        </w:rPr>
        <w:t>’</w:t>
      </w:r>
      <w:r w:rsidRPr="00961388">
        <w:rPr>
          <w:lang w:val="fr-CH"/>
        </w:rPr>
        <w:t>initiative des associations actives dans le domaine des droits de la femme et autres.</w:t>
      </w:r>
    </w:p>
    <w:p w:rsidR="00570B62" w:rsidRPr="00961388" w:rsidRDefault="00570B62" w:rsidP="002A3A5A">
      <w:pPr>
        <w:pStyle w:val="SingleTxtG"/>
        <w:rPr>
          <w:lang w:val="fr-CH"/>
        </w:rPr>
      </w:pPr>
      <w:r w:rsidRPr="00961388">
        <w:rPr>
          <w:lang w:val="fr-CH"/>
        </w:rPr>
        <w:t>50.</w:t>
      </w:r>
      <w:r w:rsidRPr="00961388">
        <w:rPr>
          <w:lang w:val="fr-CH"/>
        </w:rPr>
        <w:tab/>
        <w:t>En plus des stratégies mises en place pour renforcer les droits des femmes à tous les niveaux, les festivités officielles qui célèbrent la Journée internationale de la femme, le 8 mars de chaque année, et la Fête nationale de la femme, le 13 août de chaque année, confirment la volonté de l</w:t>
      </w:r>
      <w:r w:rsidR="00961388">
        <w:rPr>
          <w:lang w:val="fr-CH"/>
        </w:rPr>
        <w:t>’</w:t>
      </w:r>
      <w:r w:rsidRPr="00961388">
        <w:rPr>
          <w:lang w:val="fr-CH"/>
        </w:rPr>
        <w:t>État de maintenir la question féminine tout en haut des priorités nationales.</w:t>
      </w:r>
    </w:p>
    <w:p w:rsidR="00570B62" w:rsidRPr="00961388" w:rsidRDefault="00570B62" w:rsidP="002A3A5A">
      <w:pPr>
        <w:pStyle w:val="SingleTxtG"/>
        <w:rPr>
          <w:lang w:val="fr-CH"/>
        </w:rPr>
      </w:pPr>
      <w:r w:rsidRPr="00961388">
        <w:rPr>
          <w:lang w:val="fr-CH"/>
        </w:rPr>
        <w:t>51.</w:t>
      </w:r>
      <w:r w:rsidRPr="00961388">
        <w:rPr>
          <w:lang w:val="fr-CH"/>
        </w:rPr>
        <w:tab/>
        <w:t>Concernant la traduction des recommandations générales du Comité dans la langue officielle de l</w:t>
      </w:r>
      <w:r w:rsidR="00961388">
        <w:rPr>
          <w:lang w:val="fr-CH"/>
        </w:rPr>
        <w:t>’</w:t>
      </w:r>
      <w:r w:rsidRPr="00961388">
        <w:rPr>
          <w:lang w:val="fr-CH"/>
        </w:rPr>
        <w:t>État partie et dans les autres langues utilisées sur son territoire ainsi que leur diffusion dans ces langues, il convient de souligner que la Tunisie a pour langue officielle l</w:t>
      </w:r>
      <w:r w:rsidR="00961388">
        <w:rPr>
          <w:lang w:val="fr-CH"/>
        </w:rPr>
        <w:t>’</w:t>
      </w:r>
      <w:r w:rsidRPr="00961388">
        <w:rPr>
          <w:lang w:val="fr-CH"/>
        </w:rPr>
        <w:t>arabe, et qu</w:t>
      </w:r>
      <w:r w:rsidR="00961388">
        <w:rPr>
          <w:lang w:val="fr-CH"/>
        </w:rPr>
        <w:t>’</w:t>
      </w:r>
      <w:r w:rsidRPr="00961388">
        <w:rPr>
          <w:lang w:val="fr-CH"/>
        </w:rPr>
        <w:t xml:space="preserve">elle est, en outre, un pays francophone. Du fait que ces deux langues figurent parmi les langues officielles des Nations Unies, le besoin de traduction ne se pas fait ressentir. </w:t>
      </w:r>
    </w:p>
    <w:p w:rsidR="00570B62" w:rsidRPr="00961388" w:rsidRDefault="00570B62" w:rsidP="002A3A5A">
      <w:pPr>
        <w:pStyle w:val="SingleTxtG"/>
        <w:rPr>
          <w:lang w:val="fr-CH"/>
        </w:rPr>
      </w:pPr>
      <w:r w:rsidRPr="00961388">
        <w:rPr>
          <w:lang w:val="fr-CH"/>
        </w:rPr>
        <w:t>52.</w:t>
      </w:r>
      <w:r w:rsidRPr="00961388">
        <w:rPr>
          <w:lang w:val="fr-CH"/>
        </w:rPr>
        <w:tab/>
        <w:t>Pour ce qui est du respect par l</w:t>
      </w:r>
      <w:r w:rsidR="00961388">
        <w:rPr>
          <w:lang w:val="fr-CH"/>
        </w:rPr>
        <w:t>’</w:t>
      </w:r>
      <w:r w:rsidRPr="00961388">
        <w:rPr>
          <w:lang w:val="fr-CH"/>
        </w:rPr>
        <w:t>État tunisien de son obligation de faire largement connaître et de diffuser le Protocole facultatif à la Convention, auquel la Tunisie est partie depuis 2008, il est important de notifier qu</w:t>
      </w:r>
      <w:r w:rsidR="00961388">
        <w:rPr>
          <w:lang w:val="fr-CH"/>
        </w:rPr>
        <w:t>’</w:t>
      </w:r>
      <w:r w:rsidRPr="00961388">
        <w:rPr>
          <w:lang w:val="fr-CH"/>
        </w:rPr>
        <w:t>en vertu de la loi tunisienne, les conventions internationales dûment ratifiées font, nécessairement, l</w:t>
      </w:r>
      <w:r w:rsidR="00961388">
        <w:rPr>
          <w:lang w:val="fr-CH"/>
        </w:rPr>
        <w:t>’</w:t>
      </w:r>
      <w:r w:rsidRPr="00961388">
        <w:rPr>
          <w:lang w:val="fr-CH"/>
        </w:rPr>
        <w:t>objet d</w:t>
      </w:r>
      <w:r w:rsidR="00961388">
        <w:rPr>
          <w:lang w:val="fr-CH"/>
        </w:rPr>
        <w:t>’</w:t>
      </w:r>
      <w:r w:rsidRPr="00961388">
        <w:rPr>
          <w:lang w:val="fr-CH"/>
        </w:rPr>
        <w:t xml:space="preserve">une diffusion au Journal officiel de la République tunisienne (JORT). Parallèlement, les différents médias tunisiens diffusent des articles de presse à ce sujet. </w:t>
      </w:r>
    </w:p>
    <w:p w:rsidR="00570B62" w:rsidRPr="00961388" w:rsidRDefault="00570B62" w:rsidP="002A3A5A">
      <w:pPr>
        <w:pStyle w:val="SingleTxtG"/>
        <w:rPr>
          <w:lang w:val="fr-CH"/>
        </w:rPr>
      </w:pPr>
      <w:r w:rsidRPr="00961388">
        <w:rPr>
          <w:lang w:val="fr-CH"/>
        </w:rPr>
        <w:t>53.</w:t>
      </w:r>
      <w:r w:rsidRPr="00961388">
        <w:rPr>
          <w:lang w:val="fr-CH"/>
        </w:rPr>
        <w:tab/>
        <w:t xml:space="preserve">De plus, dans le cadre des modules </w:t>
      </w:r>
      <w:r w:rsidR="00961388">
        <w:rPr>
          <w:lang w:val="fr-CH"/>
        </w:rPr>
        <w:t>«</w:t>
      </w:r>
      <w:r w:rsidRPr="00961388">
        <w:rPr>
          <w:lang w:val="fr-CH"/>
        </w:rPr>
        <w:t>droits de l</w:t>
      </w:r>
      <w:r w:rsidR="00961388">
        <w:rPr>
          <w:lang w:val="fr-CH"/>
        </w:rPr>
        <w:t>’</w:t>
      </w:r>
      <w:r w:rsidRPr="00961388">
        <w:rPr>
          <w:lang w:val="fr-CH"/>
        </w:rPr>
        <w:t>homme</w:t>
      </w:r>
      <w:r w:rsidR="00961388">
        <w:rPr>
          <w:lang w:val="fr-CH"/>
        </w:rPr>
        <w:t>»</w:t>
      </w:r>
      <w:r w:rsidRPr="00961388">
        <w:rPr>
          <w:lang w:val="fr-CH"/>
        </w:rPr>
        <w:t xml:space="preserve"> enseignés dans les différentes institutions spécialisées notamment celles formant les futurs juges et avocats, une partie des cours est consacrée aux conventions relatives à la protection catégorielle, comme les conventions relatives à la lutte contre la discrimination fondée sur la race, le sexe, la discrimination dans l</w:t>
      </w:r>
      <w:r w:rsidR="00961388">
        <w:rPr>
          <w:lang w:val="fr-CH"/>
        </w:rPr>
        <w:t>’</w:t>
      </w:r>
      <w:r w:rsidRPr="00961388">
        <w:rPr>
          <w:lang w:val="fr-CH"/>
        </w:rPr>
        <w:t>enseignement, dans l</w:t>
      </w:r>
      <w:r w:rsidR="00961388">
        <w:rPr>
          <w:lang w:val="fr-CH"/>
        </w:rPr>
        <w:t>’</w:t>
      </w:r>
      <w:r w:rsidRPr="00961388">
        <w:rPr>
          <w:lang w:val="fr-CH"/>
        </w:rPr>
        <w:t>emploi. Une attention particulière est toutefois, accordée à la convention sur l</w:t>
      </w:r>
      <w:r w:rsidR="00961388">
        <w:rPr>
          <w:lang w:val="fr-CH"/>
        </w:rPr>
        <w:t>’</w:t>
      </w:r>
      <w:r w:rsidRPr="00961388">
        <w:rPr>
          <w:lang w:val="fr-CH"/>
        </w:rPr>
        <w:t>élimination de toutes les formes de discrimination à l</w:t>
      </w:r>
      <w:r w:rsidR="00961388">
        <w:rPr>
          <w:lang w:val="fr-CH"/>
        </w:rPr>
        <w:t>’</w:t>
      </w:r>
      <w:r w:rsidRPr="00961388">
        <w:rPr>
          <w:lang w:val="fr-CH"/>
        </w:rPr>
        <w:t>égard des femmes adoptée le 18/12/1979 (CEDAW).</w:t>
      </w:r>
    </w:p>
    <w:p w:rsidR="00570B62" w:rsidRPr="00961388" w:rsidRDefault="00570B62" w:rsidP="002A3A5A">
      <w:pPr>
        <w:pStyle w:val="SingleTxtG"/>
        <w:rPr>
          <w:lang w:val="fr-CH"/>
        </w:rPr>
      </w:pPr>
      <w:r w:rsidRPr="00961388">
        <w:rPr>
          <w:lang w:val="fr-CH"/>
        </w:rPr>
        <w:t>54.</w:t>
      </w:r>
      <w:r w:rsidRPr="00961388">
        <w:rPr>
          <w:lang w:val="fr-CH"/>
        </w:rPr>
        <w:tab/>
        <w:t>Parmi les mesures prises en vue d</w:t>
      </w:r>
      <w:r w:rsidR="00961388">
        <w:rPr>
          <w:lang w:val="fr-CH"/>
        </w:rPr>
        <w:t>’</w:t>
      </w:r>
      <w:r w:rsidRPr="00961388">
        <w:rPr>
          <w:lang w:val="fr-CH"/>
        </w:rPr>
        <w:t>abolir toutes les formes de discrimination à l</w:t>
      </w:r>
      <w:r w:rsidR="00961388">
        <w:rPr>
          <w:lang w:val="fr-CH"/>
        </w:rPr>
        <w:t>’</w:t>
      </w:r>
      <w:r w:rsidRPr="00961388">
        <w:rPr>
          <w:lang w:val="fr-CH"/>
        </w:rPr>
        <w:t>égard des femmes, et afin de dépasser les usages et coutumes plaçant la femme dans une position inférieure à celle de l</w:t>
      </w:r>
      <w:r w:rsidR="00961388">
        <w:rPr>
          <w:lang w:val="fr-CH"/>
        </w:rPr>
        <w:t>’</w:t>
      </w:r>
      <w:r w:rsidRPr="00961388">
        <w:rPr>
          <w:lang w:val="fr-CH"/>
        </w:rPr>
        <w:t>homme, il convient de souligner la récente adhésion de la Tunisie au protocole facultatif à la convention sur l</w:t>
      </w:r>
      <w:r w:rsidR="00961388">
        <w:rPr>
          <w:lang w:val="fr-CH"/>
        </w:rPr>
        <w:t>’</w:t>
      </w:r>
      <w:r w:rsidRPr="00961388">
        <w:rPr>
          <w:lang w:val="fr-CH"/>
        </w:rPr>
        <w:t>élimination de toute les formes de discrimination à l</w:t>
      </w:r>
      <w:r w:rsidR="00961388">
        <w:rPr>
          <w:lang w:val="fr-CH"/>
        </w:rPr>
        <w:t>’</w:t>
      </w:r>
      <w:r w:rsidRPr="00961388">
        <w:rPr>
          <w:lang w:val="fr-CH"/>
        </w:rPr>
        <w:t>égard</w:t>
      </w:r>
      <w:r w:rsidR="001973D8">
        <w:rPr>
          <w:lang w:val="fr-CH"/>
        </w:rPr>
        <w:t xml:space="preserve"> des femmes et ce, par la loi </w:t>
      </w:r>
      <w:r w:rsidR="001973D8" w:rsidRPr="001973D8">
        <w:rPr>
          <w:rFonts w:eastAsia="MS Mincho"/>
          <w:lang w:val="fr-CH"/>
        </w:rPr>
        <w:t>n</w:t>
      </w:r>
      <w:r w:rsidR="001973D8" w:rsidRPr="001973D8">
        <w:rPr>
          <w:rFonts w:eastAsia="MS Mincho"/>
          <w:vertAlign w:val="superscript"/>
          <w:lang w:val="fr-CH"/>
        </w:rPr>
        <w:t>o</w:t>
      </w:r>
      <w:r w:rsidR="001973D8">
        <w:rPr>
          <w:lang w:val="fr-CH"/>
        </w:rPr>
        <w:t xml:space="preserve"> </w:t>
      </w:r>
      <w:r w:rsidRPr="00961388">
        <w:rPr>
          <w:lang w:val="fr-CH"/>
        </w:rPr>
        <w:t>2008-35 du 9 juin 2008. Dans ce cadre, des ateliers sont organisés, des débats tenus sur les problèmes de la discrimination de fait ou de droit à l</w:t>
      </w:r>
      <w:r w:rsidR="00961388">
        <w:rPr>
          <w:lang w:val="fr-CH"/>
        </w:rPr>
        <w:t>’</w:t>
      </w:r>
      <w:r w:rsidRPr="00961388">
        <w:rPr>
          <w:lang w:val="fr-CH"/>
        </w:rPr>
        <w:t>égard des femmes, de l</w:t>
      </w:r>
      <w:r w:rsidR="00961388">
        <w:rPr>
          <w:lang w:val="fr-CH"/>
        </w:rPr>
        <w:t>’</w:t>
      </w:r>
      <w:r w:rsidRPr="00961388">
        <w:rPr>
          <w:lang w:val="fr-CH"/>
        </w:rPr>
        <w:t>égalité et du statut de la femme dans la société, autant de sujets qui touchent le principe du respect de la dignité de la femme</w:t>
      </w:r>
      <w:r w:rsidR="00961388">
        <w:rPr>
          <w:lang w:val="fr-CH"/>
        </w:rPr>
        <w:t>;</w:t>
      </w:r>
      <w:r w:rsidRPr="00961388">
        <w:rPr>
          <w:lang w:val="fr-CH"/>
        </w:rPr>
        <w:t xml:space="preserve"> et qui sont de nature à favoriser la participation active et positive de la femme dans la société civile.</w:t>
      </w:r>
    </w:p>
    <w:p w:rsidR="00570B62" w:rsidRPr="00961388" w:rsidRDefault="00570B62" w:rsidP="002A3A5A">
      <w:pPr>
        <w:pStyle w:val="SingleTxtG"/>
        <w:rPr>
          <w:lang w:val="fr-CH"/>
        </w:rPr>
      </w:pPr>
      <w:r w:rsidRPr="00961388">
        <w:rPr>
          <w:lang w:val="fr-CH"/>
        </w:rPr>
        <w:t>55.</w:t>
      </w:r>
      <w:r w:rsidRPr="00961388">
        <w:rPr>
          <w:lang w:val="fr-CH"/>
        </w:rPr>
        <w:tab/>
        <w:t>Par ailleurs, et afin de permettre une large diffusion d</w:t>
      </w:r>
      <w:r w:rsidR="00961388">
        <w:rPr>
          <w:lang w:val="fr-CH"/>
        </w:rPr>
        <w:t>’</w:t>
      </w:r>
      <w:r w:rsidRPr="00961388">
        <w:rPr>
          <w:lang w:val="fr-CH"/>
        </w:rPr>
        <w:t>informations sur les droits des femmes, le Ministère des affaires de la femme, de la famille, de l</w:t>
      </w:r>
      <w:r w:rsidR="00961388">
        <w:rPr>
          <w:lang w:val="fr-CH"/>
        </w:rPr>
        <w:t>’</w:t>
      </w:r>
      <w:r w:rsidRPr="00961388">
        <w:rPr>
          <w:lang w:val="fr-CH"/>
        </w:rPr>
        <w:t>enfance et des personnes âgées a mis en place en 2006 un portail pour la femme (</w:t>
      </w:r>
      <w:hyperlink r:id="rId8" w:history="1">
        <w:r w:rsidRPr="00961388">
          <w:rPr>
            <w:rStyle w:val="Hyperlink"/>
            <w:lang w:val="fr-CH"/>
          </w:rPr>
          <w:t>www.femmes.tn</w:t>
        </w:r>
      </w:hyperlink>
      <w:r w:rsidRPr="00961388">
        <w:rPr>
          <w:lang w:val="fr-CH"/>
        </w:rPr>
        <w:t>) contenant un nombre d</w:t>
      </w:r>
      <w:r w:rsidR="00961388">
        <w:rPr>
          <w:lang w:val="fr-CH"/>
        </w:rPr>
        <w:t>’</w:t>
      </w:r>
      <w:r w:rsidRPr="00961388">
        <w:rPr>
          <w:lang w:val="fr-CH"/>
        </w:rPr>
        <w:t>informations, de textes juridiques relatifs aux droits des femmes ainsi que les rapports périodiques de la Tunisie relatifs à l</w:t>
      </w:r>
      <w:r w:rsidR="00961388">
        <w:rPr>
          <w:lang w:val="fr-CH"/>
        </w:rPr>
        <w:t>’</w:t>
      </w:r>
      <w:r w:rsidRPr="00961388">
        <w:rPr>
          <w:lang w:val="fr-CH"/>
        </w:rPr>
        <w:t>application de la Convention sur l</w:t>
      </w:r>
      <w:r w:rsidR="00961388">
        <w:rPr>
          <w:lang w:val="fr-CH"/>
        </w:rPr>
        <w:t>’</w:t>
      </w:r>
      <w:r w:rsidRPr="00961388">
        <w:rPr>
          <w:lang w:val="fr-CH"/>
        </w:rPr>
        <w:t>élimination de toutes les formes de discrimination à l</w:t>
      </w:r>
      <w:r w:rsidR="00961388">
        <w:rPr>
          <w:lang w:val="fr-CH"/>
        </w:rPr>
        <w:t>’</w:t>
      </w:r>
      <w:r w:rsidRPr="00961388">
        <w:rPr>
          <w:lang w:val="fr-CH"/>
        </w:rPr>
        <w:t>égard des femmes.</w:t>
      </w:r>
    </w:p>
    <w:p w:rsidR="00570B62" w:rsidRPr="00961388" w:rsidRDefault="00570B62" w:rsidP="002A3A5A">
      <w:pPr>
        <w:pStyle w:val="H1G"/>
        <w:rPr>
          <w:lang w:val="fr-CH"/>
        </w:rPr>
      </w:pPr>
      <w:r w:rsidRPr="00961388">
        <w:rPr>
          <w:lang w:val="fr-CH"/>
        </w:rPr>
        <w:tab/>
      </w:r>
      <w:r w:rsidRPr="00961388">
        <w:rPr>
          <w:lang w:val="fr-CH"/>
        </w:rPr>
        <w:tab/>
        <w:t>Mécanisme national de promotion de la femme</w:t>
      </w:r>
    </w:p>
    <w:p w:rsidR="00570B62" w:rsidRPr="00961388" w:rsidRDefault="002A3A5A" w:rsidP="002A3A5A">
      <w:pPr>
        <w:pStyle w:val="H23G"/>
        <w:rPr>
          <w:lang w:val="fr-CH"/>
        </w:rPr>
      </w:pPr>
      <w:r>
        <w:rPr>
          <w:lang w:val="fr-CH"/>
        </w:rPr>
        <w:tab/>
      </w:r>
      <w:r>
        <w:rPr>
          <w:lang w:val="fr-CH"/>
        </w:rPr>
        <w:tab/>
      </w:r>
      <w:r w:rsidR="00570B62" w:rsidRPr="00961388">
        <w:rPr>
          <w:lang w:val="fr-CH"/>
        </w:rPr>
        <w:t xml:space="preserve">Réponse au paragraphe 8 </w:t>
      </w:r>
      <w:r w:rsidR="00910D7D">
        <w:rPr>
          <w:lang w:val="fr-CH"/>
        </w:rPr>
        <w:t>de la liste de points à traiter</w:t>
      </w:r>
    </w:p>
    <w:p w:rsidR="00570B62" w:rsidRPr="00961388" w:rsidRDefault="00570B62" w:rsidP="002A3A5A">
      <w:pPr>
        <w:pStyle w:val="SingleTxtG"/>
        <w:rPr>
          <w:lang w:val="fr-CH"/>
        </w:rPr>
      </w:pPr>
      <w:r w:rsidRPr="00961388">
        <w:rPr>
          <w:lang w:val="fr-CH"/>
        </w:rPr>
        <w:t>56.</w:t>
      </w:r>
      <w:r w:rsidRPr="00961388">
        <w:rPr>
          <w:lang w:val="fr-CH"/>
        </w:rPr>
        <w:tab/>
        <w:t>Dans le cadre de l</w:t>
      </w:r>
      <w:r w:rsidR="00961388">
        <w:rPr>
          <w:lang w:val="fr-CH"/>
        </w:rPr>
        <w:t>’</w:t>
      </w:r>
      <w:r w:rsidRPr="00961388">
        <w:rPr>
          <w:lang w:val="fr-CH"/>
        </w:rPr>
        <w:t>intérêt accordé aux régions dans le développement, d</w:t>
      </w:r>
      <w:r w:rsidR="00961388">
        <w:rPr>
          <w:lang w:val="fr-CH"/>
        </w:rPr>
        <w:t>’</w:t>
      </w:r>
      <w:r w:rsidRPr="00961388">
        <w:rPr>
          <w:lang w:val="fr-CH"/>
        </w:rPr>
        <w:t>une part, et à la décentralisation des activités du Ministère des affaires de la femme, de la famille, de l</w:t>
      </w:r>
      <w:r w:rsidR="00961388">
        <w:rPr>
          <w:lang w:val="fr-CH"/>
        </w:rPr>
        <w:t>’</w:t>
      </w:r>
      <w:r w:rsidRPr="00961388">
        <w:rPr>
          <w:lang w:val="fr-CH"/>
        </w:rPr>
        <w:t>enfance et des personnes âgées, les sept districts régionaux qui ont été crées sont investis, entre autres, de la mission de contribuer à la consolidation des droits de la femme en veillant à réunir les conditions idoines pour une meilleure participation de la femme à la vie publique, socio-économique et culturelle.</w:t>
      </w:r>
    </w:p>
    <w:p w:rsidR="00570B62" w:rsidRPr="00961388" w:rsidRDefault="00570B62" w:rsidP="002A3A5A">
      <w:pPr>
        <w:pStyle w:val="SingleTxtG"/>
        <w:rPr>
          <w:lang w:val="fr-CH"/>
        </w:rPr>
      </w:pPr>
      <w:r w:rsidRPr="00961388">
        <w:rPr>
          <w:lang w:val="fr-CH"/>
        </w:rPr>
        <w:t>57.</w:t>
      </w:r>
      <w:r w:rsidRPr="00961388">
        <w:rPr>
          <w:lang w:val="fr-CH"/>
        </w:rPr>
        <w:tab/>
        <w:t>D</w:t>
      </w:r>
      <w:r w:rsidR="00961388">
        <w:rPr>
          <w:lang w:val="fr-CH"/>
        </w:rPr>
        <w:t>’</w:t>
      </w:r>
      <w:r w:rsidRPr="00961388">
        <w:rPr>
          <w:lang w:val="fr-CH"/>
        </w:rPr>
        <w:t>autres acteurs contribuent à la diffusion de la culture de droits humains des femmes tels que les commissions régionales pour la promotion de la femme rur</w:t>
      </w:r>
      <w:r w:rsidR="00961388">
        <w:rPr>
          <w:lang w:val="fr-CH"/>
        </w:rPr>
        <w:t xml:space="preserve">ale crées en vertu du décret </w:t>
      </w:r>
      <w:r w:rsidR="00961388" w:rsidRPr="00961388">
        <w:rPr>
          <w:rFonts w:eastAsia="MS Mincho"/>
          <w:lang w:val="fr-CH"/>
        </w:rPr>
        <w:t>n</w:t>
      </w:r>
      <w:r w:rsidR="00961388" w:rsidRPr="00961388">
        <w:rPr>
          <w:rFonts w:eastAsia="MS Mincho"/>
          <w:vertAlign w:val="superscript"/>
          <w:lang w:val="fr-CH"/>
        </w:rPr>
        <w:t>o</w:t>
      </w:r>
      <w:r w:rsidR="00961388">
        <w:rPr>
          <w:lang w:val="fr-CH"/>
        </w:rPr>
        <w:t xml:space="preserve"> </w:t>
      </w:r>
      <w:r w:rsidRPr="00961388">
        <w:rPr>
          <w:lang w:val="fr-CH"/>
        </w:rPr>
        <w:t>2001-2902 du 20 décembre 2001. L</w:t>
      </w:r>
      <w:r w:rsidR="00961388">
        <w:rPr>
          <w:lang w:val="fr-CH"/>
        </w:rPr>
        <w:t>’</w:t>
      </w:r>
      <w:r w:rsidRPr="00961388">
        <w:rPr>
          <w:lang w:val="fr-CH"/>
        </w:rPr>
        <w:t>article premier dudit décret énonce qu</w:t>
      </w:r>
      <w:r w:rsidR="00961388">
        <w:rPr>
          <w:lang w:val="fr-CH"/>
        </w:rPr>
        <w:t>’«</w:t>
      </w:r>
      <w:r w:rsidRPr="00961388">
        <w:rPr>
          <w:lang w:val="fr-CH"/>
        </w:rPr>
        <w:t>il est créé au sein de chaque gouvernorat une commission régionale pour la promotion de la femme rurale, présidée par le gouverneur ou son représentant et comprenant un membre de chaque ministère, organisme, organisation ou association implanté dans la région et ayant siège à la Commission nationale pour la promotion de la femme rurale</w:t>
      </w:r>
      <w:r w:rsidR="00961388">
        <w:rPr>
          <w:lang w:val="fr-CH"/>
        </w:rPr>
        <w:t>»</w:t>
      </w:r>
      <w:r w:rsidRPr="00961388">
        <w:rPr>
          <w:lang w:val="fr-CH"/>
        </w:rPr>
        <w:t>.</w:t>
      </w:r>
    </w:p>
    <w:p w:rsidR="00570B62" w:rsidRPr="00961388" w:rsidRDefault="00570B62" w:rsidP="002A3A5A">
      <w:pPr>
        <w:pStyle w:val="SingleTxtG"/>
        <w:rPr>
          <w:lang w:val="fr-CH"/>
        </w:rPr>
      </w:pPr>
      <w:r w:rsidRPr="00961388">
        <w:rPr>
          <w:lang w:val="fr-CH"/>
        </w:rPr>
        <w:t>58.</w:t>
      </w:r>
      <w:r w:rsidRPr="00961388">
        <w:rPr>
          <w:lang w:val="fr-CH"/>
        </w:rPr>
        <w:tab/>
        <w:t>La commission régionale pour la promotion de la femme rurale procède à l</w:t>
      </w:r>
      <w:r w:rsidR="00961388">
        <w:rPr>
          <w:lang w:val="fr-CH"/>
        </w:rPr>
        <w:t>’</w:t>
      </w:r>
      <w:r w:rsidRPr="00961388">
        <w:rPr>
          <w:lang w:val="fr-CH"/>
        </w:rPr>
        <w:t>établissement du plan pour la promotion de la femme rurale spécifique au gouvernorat et veille à son exécution, suivi et évaluation, et ce, dans le cadre de la politique nationale adoptée en la matière et en coordination avec la commission nationale pour la promotion de la femme rurale. De même, la commission régionale peut créer des commissions techniques régionales ou locales en vue d</w:t>
      </w:r>
      <w:r w:rsidR="00961388">
        <w:rPr>
          <w:lang w:val="fr-CH"/>
        </w:rPr>
        <w:t>’</w:t>
      </w:r>
      <w:r w:rsidRPr="00961388">
        <w:rPr>
          <w:lang w:val="fr-CH"/>
        </w:rPr>
        <w:t>examiner des questions à caractère spécifique. Leurs membres sont choisis parmi les personnes qualifiées dans le domaine de la promotion de la femme rurale.</w:t>
      </w:r>
    </w:p>
    <w:p w:rsidR="00570B62" w:rsidRPr="00961388" w:rsidRDefault="00570B62" w:rsidP="002A3A5A">
      <w:pPr>
        <w:pStyle w:val="SingleTxtG"/>
        <w:rPr>
          <w:lang w:val="fr-CH"/>
        </w:rPr>
      </w:pPr>
      <w:r w:rsidRPr="00961388">
        <w:rPr>
          <w:lang w:val="fr-CH"/>
        </w:rPr>
        <w:t>59.</w:t>
      </w:r>
      <w:r w:rsidRPr="00961388">
        <w:rPr>
          <w:lang w:val="fr-CH"/>
        </w:rPr>
        <w:tab/>
      </w:r>
      <w:r w:rsidR="002A3A5A">
        <w:rPr>
          <w:lang w:val="fr-CH"/>
        </w:rPr>
        <w:t>À</w:t>
      </w:r>
      <w:r w:rsidRPr="00961388">
        <w:rPr>
          <w:lang w:val="fr-CH"/>
        </w:rPr>
        <w:t xml:space="preserve"> cet effet, et à l</w:t>
      </w:r>
      <w:r w:rsidR="00961388">
        <w:rPr>
          <w:lang w:val="fr-CH"/>
        </w:rPr>
        <w:t>’</w:t>
      </w:r>
      <w:r w:rsidRPr="00961388">
        <w:rPr>
          <w:lang w:val="fr-CH"/>
        </w:rPr>
        <w:t>occasion de l</w:t>
      </w:r>
      <w:r w:rsidR="00961388">
        <w:rPr>
          <w:lang w:val="fr-CH"/>
        </w:rPr>
        <w:t>’</w:t>
      </w:r>
      <w:r w:rsidRPr="00961388">
        <w:rPr>
          <w:lang w:val="fr-CH"/>
        </w:rPr>
        <w:t>examen par un Conseil ministériel restreint du rapport d</w:t>
      </w:r>
      <w:r w:rsidR="00961388">
        <w:rPr>
          <w:lang w:val="fr-CH"/>
        </w:rPr>
        <w:t>’</w:t>
      </w:r>
      <w:r w:rsidRPr="00961388">
        <w:rPr>
          <w:lang w:val="fr-CH"/>
        </w:rPr>
        <w:t>évaluation en août 2001, il a été décidé la création, le 8 octobre 2001, d</w:t>
      </w:r>
      <w:r w:rsidR="00961388">
        <w:rPr>
          <w:lang w:val="fr-CH"/>
        </w:rPr>
        <w:t>’</w:t>
      </w:r>
      <w:r w:rsidRPr="00961388">
        <w:rPr>
          <w:lang w:val="fr-CH"/>
        </w:rPr>
        <w:t>une Commission nationale pour la promotion de la femme rurale. Cette commission est chargée, notamment, de proposer les plans et programmes susceptibles de réaliser les objectifs de la politique nationale en matière de promotion de la femme rurale.</w:t>
      </w:r>
    </w:p>
    <w:p w:rsidR="00570B62" w:rsidRPr="00961388" w:rsidRDefault="00570B62" w:rsidP="002A3A5A">
      <w:pPr>
        <w:pStyle w:val="SingleTxtG"/>
        <w:rPr>
          <w:lang w:val="fr-CH"/>
        </w:rPr>
      </w:pPr>
      <w:r w:rsidRPr="00961388">
        <w:rPr>
          <w:lang w:val="fr-CH"/>
        </w:rPr>
        <w:t>60.</w:t>
      </w:r>
      <w:r w:rsidRPr="00961388">
        <w:rPr>
          <w:lang w:val="fr-CH"/>
        </w:rPr>
        <w:tab/>
        <w:t>En outre, grâce à la circulaire conjointe du Ministère de l</w:t>
      </w:r>
      <w:r w:rsidR="00961388">
        <w:rPr>
          <w:lang w:val="fr-CH"/>
        </w:rPr>
        <w:t>’</w:t>
      </w:r>
      <w:r w:rsidRPr="00961388">
        <w:rPr>
          <w:lang w:val="fr-CH"/>
        </w:rPr>
        <w:t>intérieur et du Ministère des affaires de la femme et de la famille datée de 1998, les gouverneurs ont été invités, suite à une décision du Chef de l</w:t>
      </w:r>
      <w:r w:rsidR="00961388">
        <w:rPr>
          <w:lang w:val="fr-CH"/>
        </w:rPr>
        <w:t>’</w:t>
      </w:r>
      <w:r w:rsidRPr="00961388">
        <w:rPr>
          <w:lang w:val="fr-CH"/>
        </w:rPr>
        <w:t>État, à y nommer systématiquement au moins deux femmes sur les membres désignés de chaque conseil régional, en vue de renforcer la présence féminine dans les postes de décision.</w:t>
      </w:r>
    </w:p>
    <w:p w:rsidR="00570B62" w:rsidRPr="002A3A5A" w:rsidRDefault="00570B62" w:rsidP="002A3A5A">
      <w:pPr>
        <w:pStyle w:val="SingleTxtG"/>
        <w:rPr>
          <w:b/>
          <w:lang w:val="fr-CH"/>
        </w:rPr>
      </w:pPr>
      <w:r w:rsidRPr="00961388">
        <w:rPr>
          <w:lang w:val="fr-CH"/>
        </w:rPr>
        <w:t>61.</w:t>
      </w:r>
      <w:r w:rsidRPr="00961388">
        <w:rPr>
          <w:lang w:val="fr-CH"/>
        </w:rPr>
        <w:tab/>
      </w:r>
      <w:r w:rsidRPr="002A3A5A">
        <w:rPr>
          <w:b/>
          <w:lang w:val="fr-CH"/>
        </w:rPr>
        <w:t>Le budget du MAFFEPA a connu une nette augmentation depuis sa création comme l</w:t>
      </w:r>
      <w:r w:rsidR="00961388" w:rsidRPr="002A3A5A">
        <w:rPr>
          <w:b/>
          <w:lang w:val="fr-CH"/>
        </w:rPr>
        <w:t>’</w:t>
      </w:r>
      <w:r w:rsidRPr="002A3A5A">
        <w:rPr>
          <w:b/>
          <w:lang w:val="fr-CH"/>
        </w:rPr>
        <w:t>indique le tableau suivant (en dinar tunisien).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70"/>
        <w:gridCol w:w="1580"/>
        <w:gridCol w:w="1877"/>
        <w:gridCol w:w="1421"/>
        <w:gridCol w:w="1422"/>
      </w:tblGrid>
      <w:tr w:rsidR="00C818FC" w:rsidRPr="00C818FC" w:rsidTr="00C818FC">
        <w:trPr>
          <w:tblHeader/>
        </w:trPr>
        <w:tc>
          <w:tcPr>
            <w:tcW w:w="1070" w:type="dxa"/>
            <w:tcBorders>
              <w:top w:val="single" w:sz="4" w:space="0" w:color="auto"/>
              <w:bottom w:val="single" w:sz="12" w:space="0" w:color="auto"/>
            </w:tcBorders>
            <w:shd w:val="clear" w:color="auto" w:fill="auto"/>
            <w:vAlign w:val="bottom"/>
          </w:tcPr>
          <w:p w:rsidR="00570B62" w:rsidRPr="00C818FC" w:rsidRDefault="00570B62" w:rsidP="00C818FC">
            <w:pPr>
              <w:spacing w:before="80" w:after="80" w:line="200" w:lineRule="exact"/>
              <w:rPr>
                <w:bCs/>
                <w:i/>
                <w:iCs/>
                <w:sz w:val="16"/>
                <w:lang w:val="fr-CH"/>
              </w:rPr>
            </w:pPr>
            <w:r w:rsidRPr="00C818FC">
              <w:rPr>
                <w:bCs/>
                <w:i/>
                <w:iCs/>
                <w:sz w:val="16"/>
                <w:lang w:val="fr-CH"/>
              </w:rPr>
              <w:t>Année</w:t>
            </w:r>
          </w:p>
        </w:tc>
        <w:tc>
          <w:tcPr>
            <w:tcW w:w="1580" w:type="dxa"/>
            <w:tcBorders>
              <w:top w:val="single" w:sz="4" w:space="0" w:color="auto"/>
              <w:bottom w:val="single" w:sz="12" w:space="0" w:color="auto"/>
            </w:tcBorders>
            <w:shd w:val="clear" w:color="auto" w:fill="auto"/>
            <w:vAlign w:val="bottom"/>
          </w:tcPr>
          <w:p w:rsidR="00570B62" w:rsidRPr="00C818FC" w:rsidRDefault="00570B62" w:rsidP="00C818FC">
            <w:pPr>
              <w:spacing w:before="80" w:after="80" w:line="200" w:lineRule="exact"/>
              <w:jc w:val="right"/>
              <w:rPr>
                <w:i/>
                <w:sz w:val="16"/>
                <w:lang w:val="fr-CH"/>
              </w:rPr>
            </w:pPr>
            <w:r w:rsidRPr="00C818FC">
              <w:rPr>
                <w:i/>
                <w:sz w:val="16"/>
                <w:lang w:val="fr-CH"/>
              </w:rPr>
              <w:t>Budget</w:t>
            </w:r>
          </w:p>
          <w:p w:rsidR="00570B62" w:rsidRPr="00C818FC" w:rsidRDefault="00570B62" w:rsidP="00C818FC">
            <w:pPr>
              <w:spacing w:before="80" w:after="80" w:line="200" w:lineRule="exact"/>
              <w:jc w:val="right"/>
              <w:rPr>
                <w:i/>
                <w:sz w:val="16"/>
                <w:lang w:val="fr-CH"/>
              </w:rPr>
            </w:pPr>
            <w:r w:rsidRPr="00C818FC">
              <w:rPr>
                <w:i/>
                <w:sz w:val="16"/>
                <w:lang w:val="fr-CH"/>
              </w:rPr>
              <w:t>MAFFEPA</w:t>
            </w:r>
          </w:p>
        </w:tc>
        <w:tc>
          <w:tcPr>
            <w:tcW w:w="1877" w:type="dxa"/>
            <w:tcBorders>
              <w:top w:val="single" w:sz="4" w:space="0" w:color="auto"/>
              <w:bottom w:val="single" w:sz="12" w:space="0" w:color="auto"/>
            </w:tcBorders>
            <w:shd w:val="clear" w:color="auto" w:fill="auto"/>
            <w:vAlign w:val="bottom"/>
          </w:tcPr>
          <w:p w:rsidR="00570B62" w:rsidRPr="00C818FC" w:rsidRDefault="00570B62" w:rsidP="00C818FC">
            <w:pPr>
              <w:spacing w:before="80" w:after="80" w:line="200" w:lineRule="exact"/>
              <w:jc w:val="right"/>
              <w:rPr>
                <w:i/>
                <w:sz w:val="16"/>
                <w:lang w:val="fr-CH"/>
              </w:rPr>
            </w:pPr>
            <w:r w:rsidRPr="00C818FC">
              <w:rPr>
                <w:i/>
                <w:sz w:val="16"/>
                <w:lang w:val="fr-CH"/>
              </w:rPr>
              <w:t>Budget de l</w:t>
            </w:r>
            <w:r w:rsidR="00961388" w:rsidRPr="00C818FC">
              <w:rPr>
                <w:i/>
                <w:sz w:val="16"/>
                <w:lang w:val="fr-CH"/>
              </w:rPr>
              <w:t>’</w:t>
            </w:r>
            <w:r w:rsidRPr="00C818FC">
              <w:rPr>
                <w:i/>
                <w:sz w:val="16"/>
                <w:lang w:val="fr-CH"/>
              </w:rPr>
              <w:t>État</w:t>
            </w:r>
          </w:p>
        </w:tc>
        <w:tc>
          <w:tcPr>
            <w:tcW w:w="1421" w:type="dxa"/>
            <w:tcBorders>
              <w:top w:val="single" w:sz="4" w:space="0" w:color="auto"/>
              <w:bottom w:val="single" w:sz="12" w:space="0" w:color="auto"/>
            </w:tcBorders>
            <w:shd w:val="clear" w:color="auto" w:fill="auto"/>
            <w:vAlign w:val="bottom"/>
          </w:tcPr>
          <w:p w:rsidR="00570B62" w:rsidRPr="00C818FC" w:rsidRDefault="00570B62" w:rsidP="00C818FC">
            <w:pPr>
              <w:spacing w:before="80" w:after="80" w:line="200" w:lineRule="exact"/>
              <w:jc w:val="right"/>
              <w:rPr>
                <w:i/>
                <w:sz w:val="16"/>
                <w:lang w:val="fr-CH"/>
              </w:rPr>
            </w:pPr>
            <w:r w:rsidRPr="00C818FC">
              <w:rPr>
                <w:i/>
                <w:sz w:val="16"/>
                <w:lang w:val="fr-CH"/>
              </w:rPr>
              <w:t>Pourcentage</w:t>
            </w:r>
          </w:p>
        </w:tc>
        <w:tc>
          <w:tcPr>
            <w:tcW w:w="1422" w:type="dxa"/>
            <w:tcBorders>
              <w:top w:val="single" w:sz="4" w:space="0" w:color="auto"/>
              <w:bottom w:val="single" w:sz="12" w:space="0" w:color="auto"/>
            </w:tcBorders>
            <w:shd w:val="clear" w:color="auto" w:fill="auto"/>
            <w:vAlign w:val="bottom"/>
          </w:tcPr>
          <w:p w:rsidR="00570B62" w:rsidRPr="00C818FC" w:rsidRDefault="00570B62" w:rsidP="00C818FC">
            <w:pPr>
              <w:spacing w:before="80" w:after="80" w:line="200" w:lineRule="exact"/>
              <w:jc w:val="right"/>
              <w:rPr>
                <w:i/>
                <w:sz w:val="16"/>
                <w:lang w:val="fr-CH"/>
              </w:rPr>
            </w:pPr>
            <w:r w:rsidRPr="00C818FC">
              <w:rPr>
                <w:i/>
                <w:sz w:val="16"/>
                <w:lang w:val="fr-CH"/>
              </w:rPr>
              <w:t>Taux d</w:t>
            </w:r>
            <w:r w:rsidR="00961388" w:rsidRPr="00C818FC">
              <w:rPr>
                <w:i/>
                <w:sz w:val="16"/>
                <w:lang w:val="fr-CH"/>
              </w:rPr>
              <w:t>’</w:t>
            </w:r>
            <w:r w:rsidRPr="00C818FC">
              <w:rPr>
                <w:i/>
                <w:sz w:val="16"/>
                <w:lang w:val="fr-CH"/>
              </w:rPr>
              <w:t>évolution</w:t>
            </w:r>
          </w:p>
        </w:tc>
      </w:tr>
      <w:tr w:rsidR="00C818FC" w:rsidRPr="00C818FC" w:rsidTr="00C818FC">
        <w:tc>
          <w:tcPr>
            <w:tcW w:w="1070" w:type="dxa"/>
            <w:tcBorders>
              <w:top w:val="single" w:sz="12" w:space="0" w:color="auto"/>
            </w:tcBorders>
            <w:shd w:val="clear" w:color="auto" w:fill="auto"/>
          </w:tcPr>
          <w:p w:rsidR="00570B62" w:rsidRPr="00C818FC" w:rsidRDefault="00570B62" w:rsidP="00C818FC">
            <w:pPr>
              <w:spacing w:before="40" w:after="40" w:line="200" w:lineRule="exact"/>
              <w:rPr>
                <w:sz w:val="18"/>
                <w:lang w:val="fr-CH"/>
              </w:rPr>
            </w:pPr>
            <w:r w:rsidRPr="00C818FC">
              <w:rPr>
                <w:sz w:val="18"/>
                <w:lang w:val="fr-CH"/>
              </w:rPr>
              <w:t>2002</w:t>
            </w:r>
          </w:p>
        </w:tc>
        <w:tc>
          <w:tcPr>
            <w:tcW w:w="1580" w:type="dxa"/>
            <w:tcBorders>
              <w:top w:val="single" w:sz="12" w:space="0" w:color="auto"/>
            </w:tcBorders>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3.000.000</w:t>
            </w:r>
          </w:p>
        </w:tc>
        <w:tc>
          <w:tcPr>
            <w:tcW w:w="1877" w:type="dxa"/>
            <w:tcBorders>
              <w:top w:val="single" w:sz="12" w:space="0" w:color="auto"/>
            </w:tcBorders>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11.533.000.000</w:t>
            </w:r>
          </w:p>
        </w:tc>
        <w:tc>
          <w:tcPr>
            <w:tcW w:w="1421" w:type="dxa"/>
            <w:tcBorders>
              <w:top w:val="single" w:sz="12" w:space="0" w:color="auto"/>
            </w:tcBorders>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0,026</w:t>
            </w:r>
            <w:r w:rsidR="001973D8">
              <w:rPr>
                <w:sz w:val="18"/>
                <w:lang w:val="fr-CH"/>
              </w:rPr>
              <w:t xml:space="preserve"> %</w:t>
            </w:r>
          </w:p>
        </w:tc>
        <w:tc>
          <w:tcPr>
            <w:tcW w:w="1422" w:type="dxa"/>
            <w:tcBorders>
              <w:top w:val="single" w:sz="12" w:space="0" w:color="auto"/>
            </w:tcBorders>
            <w:shd w:val="clear" w:color="auto" w:fill="auto"/>
            <w:vAlign w:val="bottom"/>
          </w:tcPr>
          <w:p w:rsidR="00570B62" w:rsidRPr="00C818FC" w:rsidRDefault="00570B62" w:rsidP="00C818FC">
            <w:pPr>
              <w:spacing w:before="40" w:after="40" w:line="200" w:lineRule="exact"/>
              <w:jc w:val="right"/>
              <w:rPr>
                <w:sz w:val="18"/>
                <w:lang w:val="fr-CH"/>
              </w:rPr>
            </w:pPr>
          </w:p>
        </w:tc>
      </w:tr>
      <w:tr w:rsidR="00C818FC" w:rsidRPr="00C818FC" w:rsidTr="00C818FC">
        <w:tc>
          <w:tcPr>
            <w:tcW w:w="1070" w:type="dxa"/>
            <w:shd w:val="clear" w:color="auto" w:fill="auto"/>
          </w:tcPr>
          <w:p w:rsidR="00570B62" w:rsidRPr="00C818FC" w:rsidRDefault="00570B62" w:rsidP="00C818FC">
            <w:pPr>
              <w:spacing w:before="40" w:after="40" w:line="200" w:lineRule="exact"/>
              <w:rPr>
                <w:sz w:val="18"/>
                <w:lang w:val="fr-CH"/>
              </w:rPr>
            </w:pPr>
            <w:r w:rsidRPr="00C818FC">
              <w:rPr>
                <w:sz w:val="18"/>
                <w:lang w:val="fr-CH"/>
              </w:rPr>
              <w:t>2003</w:t>
            </w:r>
          </w:p>
        </w:tc>
        <w:tc>
          <w:tcPr>
            <w:tcW w:w="1580"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28.222.000</w:t>
            </w:r>
          </w:p>
        </w:tc>
        <w:tc>
          <w:tcPr>
            <w:tcW w:w="1877"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11.410.000.000</w:t>
            </w:r>
          </w:p>
        </w:tc>
        <w:tc>
          <w:tcPr>
            <w:tcW w:w="1421" w:type="dxa"/>
            <w:shd w:val="clear" w:color="auto" w:fill="auto"/>
            <w:vAlign w:val="bottom"/>
          </w:tcPr>
          <w:p w:rsidR="00570B62" w:rsidRPr="00C818FC" w:rsidRDefault="00F63C32" w:rsidP="00C818FC">
            <w:pPr>
              <w:spacing w:before="40" w:after="40" w:line="200" w:lineRule="exact"/>
              <w:jc w:val="right"/>
              <w:rPr>
                <w:sz w:val="18"/>
                <w:lang w:val="fr-CH"/>
              </w:rPr>
            </w:pPr>
            <w:r>
              <w:rPr>
                <w:sz w:val="18"/>
                <w:lang w:val="fr-CH"/>
              </w:rPr>
              <w:t>0,</w:t>
            </w:r>
            <w:r w:rsidR="00570B62" w:rsidRPr="00C818FC">
              <w:rPr>
                <w:sz w:val="18"/>
                <w:lang w:val="fr-CH"/>
              </w:rPr>
              <w:t>24</w:t>
            </w:r>
            <w:r w:rsidR="001973D8">
              <w:rPr>
                <w:sz w:val="18"/>
                <w:lang w:val="fr-CH"/>
              </w:rPr>
              <w:t xml:space="preserve"> %</w:t>
            </w:r>
          </w:p>
        </w:tc>
        <w:tc>
          <w:tcPr>
            <w:tcW w:w="1422"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89,37</w:t>
            </w:r>
            <w:r w:rsidR="001973D8">
              <w:rPr>
                <w:sz w:val="18"/>
                <w:lang w:val="fr-CH"/>
              </w:rPr>
              <w:t xml:space="preserve"> %</w:t>
            </w:r>
          </w:p>
        </w:tc>
      </w:tr>
      <w:tr w:rsidR="00C818FC" w:rsidRPr="00C818FC" w:rsidTr="00C818FC">
        <w:tc>
          <w:tcPr>
            <w:tcW w:w="1070" w:type="dxa"/>
            <w:shd w:val="clear" w:color="auto" w:fill="auto"/>
          </w:tcPr>
          <w:p w:rsidR="00570B62" w:rsidRPr="00C818FC" w:rsidRDefault="00570B62" w:rsidP="00C818FC">
            <w:pPr>
              <w:spacing w:before="40" w:after="40" w:line="200" w:lineRule="exact"/>
              <w:rPr>
                <w:sz w:val="18"/>
                <w:lang w:val="fr-CH"/>
              </w:rPr>
            </w:pPr>
            <w:r w:rsidRPr="00C818FC">
              <w:rPr>
                <w:sz w:val="18"/>
                <w:lang w:val="fr-CH"/>
              </w:rPr>
              <w:t>2004</w:t>
            </w:r>
          </w:p>
        </w:tc>
        <w:tc>
          <w:tcPr>
            <w:tcW w:w="1580"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33.066.000</w:t>
            </w:r>
          </w:p>
        </w:tc>
        <w:tc>
          <w:tcPr>
            <w:tcW w:w="1877"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12.730.000.000</w:t>
            </w:r>
          </w:p>
        </w:tc>
        <w:tc>
          <w:tcPr>
            <w:tcW w:w="1421" w:type="dxa"/>
            <w:shd w:val="clear" w:color="auto" w:fill="auto"/>
            <w:vAlign w:val="bottom"/>
          </w:tcPr>
          <w:p w:rsidR="00570B62" w:rsidRPr="00C818FC" w:rsidRDefault="00F63C32" w:rsidP="00C818FC">
            <w:pPr>
              <w:spacing w:before="40" w:after="40" w:line="200" w:lineRule="exact"/>
              <w:jc w:val="right"/>
              <w:rPr>
                <w:sz w:val="18"/>
                <w:lang w:val="fr-CH"/>
              </w:rPr>
            </w:pPr>
            <w:r>
              <w:rPr>
                <w:sz w:val="18"/>
                <w:lang w:val="fr-CH"/>
              </w:rPr>
              <w:t>0,</w:t>
            </w:r>
            <w:r w:rsidR="00570B62" w:rsidRPr="00C818FC">
              <w:rPr>
                <w:sz w:val="18"/>
                <w:lang w:val="fr-CH"/>
              </w:rPr>
              <w:t>25</w:t>
            </w:r>
            <w:r w:rsidR="001973D8">
              <w:rPr>
                <w:sz w:val="18"/>
                <w:lang w:val="fr-CH"/>
              </w:rPr>
              <w:t xml:space="preserve"> %</w:t>
            </w:r>
          </w:p>
        </w:tc>
        <w:tc>
          <w:tcPr>
            <w:tcW w:w="1422"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17,16</w:t>
            </w:r>
            <w:r w:rsidR="001973D8">
              <w:rPr>
                <w:sz w:val="18"/>
                <w:lang w:val="fr-CH"/>
              </w:rPr>
              <w:t xml:space="preserve"> %</w:t>
            </w:r>
          </w:p>
        </w:tc>
      </w:tr>
      <w:tr w:rsidR="00C818FC" w:rsidRPr="00C818FC" w:rsidTr="00C818FC">
        <w:tc>
          <w:tcPr>
            <w:tcW w:w="1070" w:type="dxa"/>
            <w:shd w:val="clear" w:color="auto" w:fill="auto"/>
          </w:tcPr>
          <w:p w:rsidR="00570B62" w:rsidRPr="00C818FC" w:rsidRDefault="00570B62" w:rsidP="00C818FC">
            <w:pPr>
              <w:spacing w:before="40" w:after="40" w:line="200" w:lineRule="exact"/>
              <w:rPr>
                <w:sz w:val="18"/>
                <w:lang w:val="fr-CH"/>
              </w:rPr>
            </w:pPr>
            <w:r w:rsidRPr="00C818FC">
              <w:rPr>
                <w:sz w:val="18"/>
                <w:lang w:val="fr-CH"/>
              </w:rPr>
              <w:t>2005</w:t>
            </w:r>
          </w:p>
        </w:tc>
        <w:tc>
          <w:tcPr>
            <w:tcW w:w="1580"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39.746.000</w:t>
            </w:r>
          </w:p>
        </w:tc>
        <w:tc>
          <w:tcPr>
            <w:tcW w:w="1877"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12.990.000.000</w:t>
            </w:r>
          </w:p>
        </w:tc>
        <w:tc>
          <w:tcPr>
            <w:tcW w:w="1421"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0,3</w:t>
            </w:r>
            <w:r w:rsidR="001973D8">
              <w:rPr>
                <w:sz w:val="18"/>
                <w:lang w:val="fr-CH"/>
              </w:rPr>
              <w:t xml:space="preserve"> %</w:t>
            </w:r>
          </w:p>
        </w:tc>
        <w:tc>
          <w:tcPr>
            <w:tcW w:w="1422"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20,20</w:t>
            </w:r>
            <w:r w:rsidR="001973D8">
              <w:rPr>
                <w:sz w:val="18"/>
                <w:lang w:val="fr-CH"/>
              </w:rPr>
              <w:t xml:space="preserve"> %</w:t>
            </w:r>
          </w:p>
        </w:tc>
      </w:tr>
      <w:tr w:rsidR="00C818FC" w:rsidRPr="00C818FC" w:rsidTr="00C818FC">
        <w:tc>
          <w:tcPr>
            <w:tcW w:w="1070" w:type="dxa"/>
            <w:shd w:val="clear" w:color="auto" w:fill="auto"/>
          </w:tcPr>
          <w:p w:rsidR="00570B62" w:rsidRPr="00C818FC" w:rsidRDefault="00570B62" w:rsidP="00C818FC">
            <w:pPr>
              <w:spacing w:before="40" w:after="40" w:line="200" w:lineRule="exact"/>
              <w:rPr>
                <w:sz w:val="18"/>
                <w:lang w:val="fr-CH"/>
              </w:rPr>
            </w:pPr>
            <w:r w:rsidRPr="00C818FC">
              <w:rPr>
                <w:sz w:val="18"/>
                <w:lang w:val="fr-CH"/>
              </w:rPr>
              <w:t>2006</w:t>
            </w:r>
          </w:p>
        </w:tc>
        <w:tc>
          <w:tcPr>
            <w:tcW w:w="1580"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41.214.000</w:t>
            </w:r>
          </w:p>
        </w:tc>
        <w:tc>
          <w:tcPr>
            <w:tcW w:w="1877"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13.552.000.000</w:t>
            </w:r>
          </w:p>
        </w:tc>
        <w:tc>
          <w:tcPr>
            <w:tcW w:w="1421"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0,3</w:t>
            </w:r>
            <w:r w:rsidR="001973D8">
              <w:rPr>
                <w:sz w:val="18"/>
                <w:lang w:val="fr-CH"/>
              </w:rPr>
              <w:t xml:space="preserve"> %</w:t>
            </w:r>
          </w:p>
        </w:tc>
        <w:tc>
          <w:tcPr>
            <w:tcW w:w="1422"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3,69</w:t>
            </w:r>
            <w:r w:rsidR="001973D8">
              <w:rPr>
                <w:sz w:val="18"/>
                <w:lang w:val="fr-CH"/>
              </w:rPr>
              <w:t xml:space="preserve"> %</w:t>
            </w:r>
          </w:p>
        </w:tc>
      </w:tr>
      <w:tr w:rsidR="00C818FC" w:rsidRPr="00C818FC" w:rsidTr="00C818FC">
        <w:tc>
          <w:tcPr>
            <w:tcW w:w="1070" w:type="dxa"/>
            <w:shd w:val="clear" w:color="auto" w:fill="auto"/>
          </w:tcPr>
          <w:p w:rsidR="00570B62" w:rsidRPr="00C818FC" w:rsidRDefault="00570B62" w:rsidP="00C818FC">
            <w:pPr>
              <w:spacing w:before="40" w:after="40" w:line="200" w:lineRule="exact"/>
              <w:rPr>
                <w:sz w:val="18"/>
                <w:lang w:val="fr-CH"/>
              </w:rPr>
            </w:pPr>
            <w:r w:rsidRPr="00C818FC">
              <w:rPr>
                <w:sz w:val="18"/>
                <w:lang w:val="fr-CH"/>
              </w:rPr>
              <w:t>2007</w:t>
            </w:r>
          </w:p>
        </w:tc>
        <w:tc>
          <w:tcPr>
            <w:tcW w:w="1580"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46.990.000</w:t>
            </w:r>
          </w:p>
        </w:tc>
        <w:tc>
          <w:tcPr>
            <w:tcW w:w="1877"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14.360.000.000</w:t>
            </w:r>
          </w:p>
        </w:tc>
        <w:tc>
          <w:tcPr>
            <w:tcW w:w="1421"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0,32</w:t>
            </w:r>
            <w:r w:rsidR="001973D8">
              <w:rPr>
                <w:sz w:val="18"/>
                <w:lang w:val="fr-CH"/>
              </w:rPr>
              <w:t xml:space="preserve"> %</w:t>
            </w:r>
          </w:p>
        </w:tc>
        <w:tc>
          <w:tcPr>
            <w:tcW w:w="1422"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14,1</w:t>
            </w:r>
            <w:r w:rsidR="001973D8">
              <w:rPr>
                <w:sz w:val="18"/>
                <w:lang w:val="fr-CH"/>
              </w:rPr>
              <w:t xml:space="preserve"> %</w:t>
            </w:r>
          </w:p>
        </w:tc>
      </w:tr>
      <w:tr w:rsidR="00C818FC" w:rsidRPr="00C818FC" w:rsidTr="00C818FC">
        <w:tc>
          <w:tcPr>
            <w:tcW w:w="1070" w:type="dxa"/>
            <w:shd w:val="clear" w:color="auto" w:fill="auto"/>
          </w:tcPr>
          <w:p w:rsidR="00570B62" w:rsidRPr="00C818FC" w:rsidRDefault="00570B62" w:rsidP="00C818FC">
            <w:pPr>
              <w:spacing w:before="40" w:after="40" w:line="200" w:lineRule="exact"/>
              <w:rPr>
                <w:b/>
                <w:sz w:val="18"/>
                <w:lang w:val="fr-CH"/>
              </w:rPr>
            </w:pPr>
            <w:r w:rsidRPr="00C818FC">
              <w:rPr>
                <w:b/>
                <w:sz w:val="18"/>
                <w:rtl/>
                <w:lang w:val="fr-CH"/>
              </w:rPr>
              <w:t>2008</w:t>
            </w:r>
          </w:p>
        </w:tc>
        <w:tc>
          <w:tcPr>
            <w:tcW w:w="1580"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rtl/>
                <w:lang w:val="fr-CH"/>
              </w:rPr>
              <w:t>49.838.000</w:t>
            </w:r>
          </w:p>
        </w:tc>
        <w:tc>
          <w:tcPr>
            <w:tcW w:w="1877"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rtl/>
                <w:lang w:val="fr-CH"/>
              </w:rPr>
              <w:t>15.242.000.000</w:t>
            </w:r>
          </w:p>
        </w:tc>
        <w:tc>
          <w:tcPr>
            <w:tcW w:w="1421"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rtl/>
                <w:lang w:val="fr-CH"/>
              </w:rPr>
              <w:t>0.3</w:t>
            </w:r>
            <w:r w:rsidRPr="00C818FC">
              <w:rPr>
                <w:sz w:val="18"/>
                <w:lang w:val="fr-CH"/>
              </w:rPr>
              <w:t>2</w:t>
            </w:r>
            <w:r w:rsidR="001973D8">
              <w:rPr>
                <w:sz w:val="18"/>
                <w:lang w:val="fr-CH"/>
              </w:rPr>
              <w:t xml:space="preserve"> %</w:t>
            </w:r>
          </w:p>
        </w:tc>
        <w:tc>
          <w:tcPr>
            <w:tcW w:w="1422"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6,06</w:t>
            </w:r>
            <w:r w:rsidR="001973D8">
              <w:rPr>
                <w:sz w:val="18"/>
                <w:lang w:val="fr-CH"/>
              </w:rPr>
              <w:t xml:space="preserve"> %</w:t>
            </w:r>
          </w:p>
        </w:tc>
      </w:tr>
      <w:tr w:rsidR="00C818FC" w:rsidRPr="00C818FC" w:rsidTr="00C818FC">
        <w:tc>
          <w:tcPr>
            <w:tcW w:w="1070" w:type="dxa"/>
            <w:shd w:val="clear" w:color="auto" w:fill="auto"/>
          </w:tcPr>
          <w:p w:rsidR="00570B62" w:rsidRPr="00C818FC" w:rsidRDefault="00570B62" w:rsidP="00C818FC">
            <w:pPr>
              <w:spacing w:before="40" w:after="40" w:line="200" w:lineRule="exact"/>
              <w:rPr>
                <w:b/>
                <w:sz w:val="18"/>
                <w:lang w:val="fr-CH"/>
              </w:rPr>
            </w:pPr>
            <w:r w:rsidRPr="00C818FC">
              <w:rPr>
                <w:b/>
                <w:sz w:val="18"/>
                <w:rtl/>
                <w:lang w:val="fr-CH"/>
              </w:rPr>
              <w:t>2009</w:t>
            </w:r>
          </w:p>
        </w:tc>
        <w:tc>
          <w:tcPr>
            <w:tcW w:w="1580"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rtl/>
                <w:lang w:val="fr-CH"/>
              </w:rPr>
              <w:t>55.571.000</w:t>
            </w:r>
          </w:p>
        </w:tc>
        <w:tc>
          <w:tcPr>
            <w:tcW w:w="1877"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rtl/>
                <w:lang w:val="fr-CH"/>
              </w:rPr>
              <w:t>17.106.000.000</w:t>
            </w:r>
          </w:p>
        </w:tc>
        <w:tc>
          <w:tcPr>
            <w:tcW w:w="1421"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0,32</w:t>
            </w:r>
            <w:r w:rsidR="001973D8">
              <w:rPr>
                <w:sz w:val="18"/>
                <w:lang w:val="fr-CH"/>
              </w:rPr>
              <w:t xml:space="preserve"> %</w:t>
            </w:r>
          </w:p>
        </w:tc>
        <w:tc>
          <w:tcPr>
            <w:tcW w:w="1422"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11,5</w:t>
            </w:r>
            <w:r w:rsidR="001973D8">
              <w:rPr>
                <w:sz w:val="18"/>
                <w:lang w:val="fr-CH"/>
              </w:rPr>
              <w:t xml:space="preserve"> %</w:t>
            </w:r>
          </w:p>
        </w:tc>
      </w:tr>
      <w:tr w:rsidR="00C818FC" w:rsidRPr="00C818FC" w:rsidTr="00C818FC">
        <w:tc>
          <w:tcPr>
            <w:tcW w:w="1070" w:type="dxa"/>
            <w:shd w:val="clear" w:color="auto" w:fill="auto"/>
          </w:tcPr>
          <w:p w:rsidR="00570B62" w:rsidRPr="00C818FC" w:rsidRDefault="00570B62" w:rsidP="00C818FC">
            <w:pPr>
              <w:spacing w:before="40" w:after="40" w:line="200" w:lineRule="exact"/>
              <w:rPr>
                <w:b/>
                <w:sz w:val="18"/>
                <w:lang w:val="fr-CH"/>
              </w:rPr>
            </w:pPr>
            <w:r w:rsidRPr="00C818FC">
              <w:rPr>
                <w:b/>
                <w:sz w:val="18"/>
                <w:rtl/>
                <w:lang w:val="fr-CH"/>
              </w:rPr>
              <w:t>2010</w:t>
            </w:r>
          </w:p>
        </w:tc>
        <w:tc>
          <w:tcPr>
            <w:tcW w:w="1580"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rtl/>
                <w:lang w:val="fr-CH"/>
              </w:rPr>
              <w:t>60.613.000</w:t>
            </w:r>
          </w:p>
        </w:tc>
        <w:tc>
          <w:tcPr>
            <w:tcW w:w="1877"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rtl/>
                <w:lang w:val="fr-CH"/>
              </w:rPr>
              <w:t>18.235.000.000</w:t>
            </w:r>
          </w:p>
        </w:tc>
        <w:tc>
          <w:tcPr>
            <w:tcW w:w="1421"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0,33</w:t>
            </w:r>
            <w:r w:rsidR="001973D8">
              <w:rPr>
                <w:sz w:val="18"/>
                <w:lang w:val="fr-CH"/>
              </w:rPr>
              <w:t xml:space="preserve"> %</w:t>
            </w:r>
          </w:p>
        </w:tc>
        <w:tc>
          <w:tcPr>
            <w:tcW w:w="1422" w:type="dxa"/>
            <w:shd w:val="clear" w:color="auto" w:fill="auto"/>
            <w:vAlign w:val="bottom"/>
          </w:tcPr>
          <w:p w:rsidR="00570B62" w:rsidRPr="00C818FC" w:rsidRDefault="00570B62" w:rsidP="00C818FC">
            <w:pPr>
              <w:spacing w:before="40" w:after="40" w:line="200" w:lineRule="exact"/>
              <w:jc w:val="right"/>
              <w:rPr>
                <w:sz w:val="18"/>
                <w:lang w:val="fr-CH"/>
              </w:rPr>
            </w:pPr>
            <w:r w:rsidRPr="00C818FC">
              <w:rPr>
                <w:sz w:val="18"/>
                <w:lang w:val="fr-CH"/>
              </w:rPr>
              <w:t>9,07</w:t>
            </w:r>
            <w:r w:rsidR="001973D8">
              <w:rPr>
                <w:sz w:val="18"/>
                <w:lang w:val="fr-CH"/>
              </w:rPr>
              <w:t xml:space="preserve"> %</w:t>
            </w:r>
          </w:p>
        </w:tc>
      </w:tr>
    </w:tbl>
    <w:p w:rsidR="00570B62" w:rsidRPr="00961388" w:rsidRDefault="00C818FC" w:rsidP="00C818FC">
      <w:pPr>
        <w:pStyle w:val="H23G"/>
        <w:rPr>
          <w:lang w:val="fr-CH"/>
        </w:rPr>
      </w:pPr>
      <w:r>
        <w:rPr>
          <w:lang w:val="fr-CH"/>
        </w:rPr>
        <w:tab/>
      </w:r>
      <w:r>
        <w:rPr>
          <w:lang w:val="fr-CH"/>
        </w:rPr>
        <w:tab/>
      </w:r>
      <w:r w:rsidR="00570B62" w:rsidRPr="00961388">
        <w:rPr>
          <w:lang w:val="fr-CH"/>
        </w:rPr>
        <w:t>Réponse au paragraphe 9 de la l</w:t>
      </w:r>
      <w:r>
        <w:rPr>
          <w:lang w:val="fr-CH"/>
        </w:rPr>
        <w:t>iste de points à traiter</w:t>
      </w:r>
    </w:p>
    <w:p w:rsidR="00570B62" w:rsidRPr="00961388" w:rsidRDefault="00570B62" w:rsidP="00C818FC">
      <w:pPr>
        <w:pStyle w:val="SingleTxtG"/>
        <w:rPr>
          <w:lang w:val="fr-CH"/>
        </w:rPr>
      </w:pPr>
      <w:r w:rsidRPr="00961388">
        <w:rPr>
          <w:lang w:val="fr-CH"/>
        </w:rPr>
        <w:t>62.</w:t>
      </w:r>
      <w:r w:rsidRPr="00961388">
        <w:rPr>
          <w:lang w:val="fr-CH"/>
        </w:rPr>
        <w:tab/>
        <w:t xml:space="preserve">Le Conseil national </w:t>
      </w:r>
      <w:r w:rsidR="00961388">
        <w:rPr>
          <w:lang w:val="fr-CH"/>
        </w:rPr>
        <w:t>«</w:t>
      </w:r>
      <w:r w:rsidRPr="00961388">
        <w:rPr>
          <w:lang w:val="fr-CH"/>
        </w:rPr>
        <w:t>Femme, Famille et Personnes Agées</w:t>
      </w:r>
      <w:r w:rsidR="00961388">
        <w:rPr>
          <w:lang w:val="fr-CH"/>
        </w:rPr>
        <w:t>»</w:t>
      </w:r>
      <w:r w:rsidRPr="00961388">
        <w:rPr>
          <w:lang w:val="fr-CH"/>
        </w:rPr>
        <w:t xml:space="preserve"> est un organe consultatif du Ministère des affaires de la femme, de la famille, de l</w:t>
      </w:r>
      <w:r w:rsidR="00961388">
        <w:rPr>
          <w:lang w:val="fr-CH"/>
        </w:rPr>
        <w:t>’</w:t>
      </w:r>
      <w:r w:rsidRPr="00961388">
        <w:rPr>
          <w:lang w:val="fr-CH"/>
        </w:rPr>
        <w:t>enfance et des personnes âgées. Il regroupe les représentants des structures et institutions gouvernementales concernées par les affaires de la femme, de la famille et des personnes âgées, ainsi que ceux des organisations non gouvernementales et des associations nationales opérant dans le même secteur, des partenaires et des compétences nationales. Il demeure, de ce fait, l</w:t>
      </w:r>
      <w:r w:rsidR="00961388">
        <w:rPr>
          <w:lang w:val="fr-CH"/>
        </w:rPr>
        <w:t>’</w:t>
      </w:r>
      <w:r w:rsidRPr="00961388">
        <w:rPr>
          <w:lang w:val="fr-CH"/>
        </w:rPr>
        <w:t>espace idoine où sont débattus les grandes orientations et les rapports relatifs à la femme et à la famille, l</w:t>
      </w:r>
      <w:r w:rsidR="00961388">
        <w:rPr>
          <w:lang w:val="fr-CH"/>
        </w:rPr>
        <w:t>’</w:t>
      </w:r>
      <w:r w:rsidRPr="00961388">
        <w:rPr>
          <w:lang w:val="fr-CH"/>
        </w:rPr>
        <w:t>instrument de coordination par excellence entre les intervenants gouvernementaux et non gouvernementaux en matière de politique de la femme et de la famille, et le cadre approprié de débat autour des actions et programmes à entreprendre.</w:t>
      </w:r>
    </w:p>
    <w:p w:rsidR="00C818FC" w:rsidRDefault="00570B62" w:rsidP="00C818FC">
      <w:pPr>
        <w:pStyle w:val="SingleTxtG"/>
        <w:rPr>
          <w:lang w:val="fr-CH"/>
        </w:rPr>
      </w:pPr>
      <w:r w:rsidRPr="00961388">
        <w:rPr>
          <w:lang w:val="fr-CH"/>
        </w:rPr>
        <w:t>63.</w:t>
      </w:r>
      <w:r w:rsidRPr="00961388">
        <w:rPr>
          <w:lang w:val="fr-CH"/>
        </w:rPr>
        <w:tab/>
        <w:t>Ainsi, le MAFFEPA s</w:t>
      </w:r>
      <w:r w:rsidR="00961388">
        <w:rPr>
          <w:lang w:val="fr-CH"/>
        </w:rPr>
        <w:t>’</w:t>
      </w:r>
      <w:r w:rsidRPr="00961388">
        <w:rPr>
          <w:lang w:val="fr-CH"/>
        </w:rPr>
        <w:t>appuie sur cet organe pour développer le partenariat entre tous les intervenants gouvernementaux et non gouvernementaux dans la politique de la femme et de la famille. En mars 2004, le Conseil national de la femme, de la famille et des personnes âgées (CNFFPA)</w:t>
      </w:r>
      <w:r w:rsidR="0056142F">
        <w:rPr>
          <w:lang w:val="fr-CH"/>
        </w:rPr>
        <w:t xml:space="preserve"> </w:t>
      </w:r>
      <w:r w:rsidRPr="00961388">
        <w:rPr>
          <w:lang w:val="fr-CH"/>
        </w:rPr>
        <w:t>a bénéficié d</w:t>
      </w:r>
      <w:r w:rsidR="00961388">
        <w:rPr>
          <w:lang w:val="fr-CH"/>
        </w:rPr>
        <w:t>’</w:t>
      </w:r>
      <w:r w:rsidRPr="00961388">
        <w:rPr>
          <w:lang w:val="fr-CH"/>
        </w:rPr>
        <w:t>un élargissement de sa composition dans le sens d</w:t>
      </w:r>
      <w:r w:rsidR="00961388">
        <w:rPr>
          <w:lang w:val="fr-CH"/>
        </w:rPr>
        <w:t>’</w:t>
      </w:r>
      <w:r w:rsidRPr="00961388">
        <w:rPr>
          <w:lang w:val="fr-CH"/>
        </w:rPr>
        <w:t>une plus grande ouverture sur les partenaires de la société civile, les acteurs sociaux et les compétences nationales.</w:t>
      </w:r>
    </w:p>
    <w:p w:rsidR="00570B62" w:rsidRPr="00961388" w:rsidRDefault="00C818FC" w:rsidP="00C818FC">
      <w:pPr>
        <w:pStyle w:val="SingleTxtG"/>
        <w:rPr>
          <w:rtl/>
          <w:lang w:val="fr-CH"/>
        </w:rPr>
      </w:pPr>
      <w:r>
        <w:rPr>
          <w:lang w:val="fr-CH"/>
        </w:rPr>
        <w:t>64.</w:t>
      </w:r>
      <w:r>
        <w:rPr>
          <w:lang w:val="fr-CH"/>
        </w:rPr>
        <w:tab/>
      </w:r>
      <w:r w:rsidR="00570B62" w:rsidRPr="00961388">
        <w:rPr>
          <w:lang w:val="fr-CH"/>
        </w:rPr>
        <w:t xml:space="preserve">Actuellement, le Conseil national de la femme, de la famille et des personnes âgées (CNFFPA) comprend trois commissions, une commission nationale </w:t>
      </w:r>
      <w:r w:rsidR="00961388">
        <w:rPr>
          <w:lang w:val="fr-CH"/>
        </w:rPr>
        <w:t>«</w:t>
      </w:r>
      <w:r w:rsidR="00570B62" w:rsidRPr="00961388">
        <w:rPr>
          <w:lang w:val="fr-CH"/>
        </w:rPr>
        <w:t>femme et vie publique</w:t>
      </w:r>
      <w:r w:rsidR="00961388">
        <w:rPr>
          <w:lang w:val="fr-CH"/>
        </w:rPr>
        <w:t>»</w:t>
      </w:r>
      <w:r w:rsidR="00570B62" w:rsidRPr="00961388">
        <w:rPr>
          <w:lang w:val="fr-CH"/>
        </w:rPr>
        <w:t xml:space="preserve">, une commission </w:t>
      </w:r>
      <w:r w:rsidR="00961388">
        <w:rPr>
          <w:lang w:val="fr-CH"/>
        </w:rPr>
        <w:t>«</w:t>
      </w:r>
      <w:r w:rsidR="00570B62" w:rsidRPr="00961388">
        <w:rPr>
          <w:lang w:val="fr-CH"/>
        </w:rPr>
        <w:t>conciliation vie publique et vie familiale</w:t>
      </w:r>
      <w:r w:rsidR="00961388">
        <w:rPr>
          <w:lang w:val="fr-CH"/>
        </w:rPr>
        <w:t>»</w:t>
      </w:r>
      <w:r w:rsidR="00570B62" w:rsidRPr="00961388">
        <w:rPr>
          <w:lang w:val="fr-CH"/>
        </w:rPr>
        <w:t xml:space="preserve">, une commission nationale </w:t>
      </w:r>
      <w:r w:rsidR="00961388">
        <w:rPr>
          <w:lang w:val="fr-CH"/>
        </w:rPr>
        <w:t>«</w:t>
      </w:r>
      <w:r w:rsidR="00570B62" w:rsidRPr="00961388">
        <w:rPr>
          <w:lang w:val="fr-CH"/>
        </w:rPr>
        <w:t>Personnes Agées</w:t>
      </w:r>
      <w:r w:rsidR="00961388">
        <w:rPr>
          <w:lang w:val="fr-CH"/>
        </w:rPr>
        <w:t>»</w:t>
      </w:r>
      <w:r w:rsidR="00570B62" w:rsidRPr="00961388">
        <w:rPr>
          <w:lang w:val="fr-CH"/>
        </w:rPr>
        <w:t xml:space="preserve">. </w:t>
      </w:r>
    </w:p>
    <w:p w:rsidR="00570B62" w:rsidRPr="00961388" w:rsidRDefault="00570B62" w:rsidP="00C818FC">
      <w:pPr>
        <w:pStyle w:val="SingleTxtG"/>
        <w:rPr>
          <w:lang w:val="fr-CH"/>
        </w:rPr>
      </w:pPr>
      <w:r w:rsidRPr="00961388">
        <w:rPr>
          <w:lang w:val="fr-CH"/>
        </w:rPr>
        <w:t>65.</w:t>
      </w:r>
      <w:r w:rsidRPr="00961388">
        <w:rPr>
          <w:lang w:val="fr-CH"/>
        </w:rPr>
        <w:tab/>
        <w:t>Ces commissions consultatives soutiennent le Ministère dans le diagnostic de toutes sortes de problèmes et formulent des recommandations.</w:t>
      </w:r>
    </w:p>
    <w:p w:rsidR="00570B62" w:rsidRPr="00961388" w:rsidRDefault="00570B62" w:rsidP="00C818FC">
      <w:pPr>
        <w:pStyle w:val="SingleTxtG"/>
        <w:rPr>
          <w:lang w:val="fr-CH"/>
        </w:rPr>
      </w:pPr>
      <w:r w:rsidRPr="00961388">
        <w:rPr>
          <w:lang w:val="fr-CH"/>
        </w:rPr>
        <w:t>66.</w:t>
      </w:r>
      <w:r w:rsidRPr="00961388">
        <w:rPr>
          <w:lang w:val="fr-CH"/>
        </w:rPr>
        <w:tab/>
        <w:t>Pour ce qui est du renforcement du rôle de la femme dans la société civile, et sa participation dans la vie publique, à travers la promotion et la consolidation du tissu associatif féminin, il est important de souligner que l</w:t>
      </w:r>
      <w:r w:rsidR="00961388">
        <w:rPr>
          <w:lang w:val="fr-CH"/>
        </w:rPr>
        <w:t>’</w:t>
      </w:r>
      <w:r w:rsidRPr="00961388">
        <w:rPr>
          <w:lang w:val="fr-CH"/>
        </w:rPr>
        <w:t>encouragement des femmes à s</w:t>
      </w:r>
      <w:r w:rsidR="00961388">
        <w:rPr>
          <w:lang w:val="fr-CH"/>
        </w:rPr>
        <w:t>’</w:t>
      </w:r>
      <w:r w:rsidRPr="00961388">
        <w:rPr>
          <w:lang w:val="fr-CH"/>
        </w:rPr>
        <w:t>engager dans la vie associative et politique et l</w:t>
      </w:r>
      <w:r w:rsidR="00961388">
        <w:rPr>
          <w:lang w:val="fr-CH"/>
        </w:rPr>
        <w:t>’</w:t>
      </w:r>
      <w:r w:rsidRPr="00961388">
        <w:rPr>
          <w:lang w:val="fr-CH"/>
        </w:rPr>
        <w:t xml:space="preserve">appui aux ONG féminines constituent une constante de la politique de la promotion de la femme en Tunisie. </w:t>
      </w:r>
    </w:p>
    <w:p w:rsidR="00570B62" w:rsidRPr="00961388" w:rsidRDefault="00570B62" w:rsidP="00C818FC">
      <w:pPr>
        <w:pStyle w:val="SingleTxtG"/>
        <w:rPr>
          <w:lang w:val="fr-CH"/>
        </w:rPr>
      </w:pPr>
      <w:r w:rsidRPr="00961388">
        <w:rPr>
          <w:lang w:val="fr-CH"/>
        </w:rPr>
        <w:t>67.</w:t>
      </w:r>
      <w:r w:rsidRPr="00961388">
        <w:rPr>
          <w:lang w:val="fr-CH"/>
        </w:rPr>
        <w:tab/>
        <w:t>Pour la mise en œuvre de ses projets et programmes, le MAFFEPA fait appel aux ONG et ce dans le cadre de protocole d</w:t>
      </w:r>
      <w:r w:rsidR="00961388">
        <w:rPr>
          <w:lang w:val="fr-CH"/>
        </w:rPr>
        <w:t>’</w:t>
      </w:r>
      <w:r w:rsidRPr="00961388">
        <w:rPr>
          <w:lang w:val="fr-CH"/>
        </w:rPr>
        <w:t>accord et de contrats programmes, le Ministère finance les projets et une allocution (subvention) est accordée aux ONG, un bureau chargé des relations avec les ONG, existe au sein du Ministère.</w:t>
      </w:r>
    </w:p>
    <w:p w:rsidR="00570B62" w:rsidRPr="00961388" w:rsidRDefault="00570B62" w:rsidP="00C818FC">
      <w:pPr>
        <w:pStyle w:val="SingleTxtG"/>
        <w:rPr>
          <w:lang w:val="fr-CH"/>
        </w:rPr>
      </w:pPr>
      <w:r w:rsidRPr="00961388">
        <w:rPr>
          <w:lang w:val="fr-CH"/>
        </w:rPr>
        <w:t>68.</w:t>
      </w:r>
      <w:r w:rsidRPr="00961388">
        <w:rPr>
          <w:lang w:val="fr-CH"/>
        </w:rPr>
        <w:tab/>
        <w:t>Il existe actuellement plus de 25 ONG féminines qui prennent part à ces programmes et actions. 25</w:t>
      </w:r>
      <w:r w:rsidR="001973D8">
        <w:rPr>
          <w:lang w:val="fr-CH"/>
        </w:rPr>
        <w:t xml:space="preserve"> %</w:t>
      </w:r>
      <w:r w:rsidRPr="00961388">
        <w:rPr>
          <w:lang w:val="fr-CH"/>
        </w:rPr>
        <w:t xml:space="preserve"> des adhérentes des 9.500 ONG, qui existent actuellement en Tunisie, sont des femmes occupant des postes de responsabilité. </w:t>
      </w:r>
    </w:p>
    <w:p w:rsidR="00961388" w:rsidRDefault="00570B62" w:rsidP="00C818FC">
      <w:pPr>
        <w:pStyle w:val="SingleTxtG"/>
        <w:rPr>
          <w:lang w:val="fr-CH"/>
        </w:rPr>
      </w:pPr>
      <w:r w:rsidRPr="00961388">
        <w:rPr>
          <w:lang w:val="fr-CH"/>
        </w:rPr>
        <w:t>69.</w:t>
      </w:r>
      <w:r w:rsidRPr="00961388">
        <w:rPr>
          <w:lang w:val="fr-CH"/>
        </w:rPr>
        <w:tab/>
        <w:t>Le rôle des associations a nettement évolué durant la décennie écoulée passant de la simple assistance à celui de vrais acteurs économiques à travers notamment le soutien d</w:t>
      </w:r>
      <w:r w:rsidR="00961388">
        <w:rPr>
          <w:lang w:val="fr-CH"/>
        </w:rPr>
        <w:t>’</w:t>
      </w:r>
      <w:r w:rsidRPr="00961388">
        <w:rPr>
          <w:lang w:val="fr-CH"/>
        </w:rPr>
        <w:t>actions génératrices de revenu, la gestion d</w:t>
      </w:r>
      <w:r w:rsidR="00961388">
        <w:rPr>
          <w:lang w:val="fr-CH"/>
        </w:rPr>
        <w:t>’</w:t>
      </w:r>
      <w:r w:rsidRPr="00961388">
        <w:rPr>
          <w:lang w:val="fr-CH"/>
        </w:rPr>
        <w:t>institutions socio-éducatives, la participation à l</w:t>
      </w:r>
      <w:r w:rsidR="00961388">
        <w:rPr>
          <w:lang w:val="fr-CH"/>
        </w:rPr>
        <w:t>’</w:t>
      </w:r>
      <w:r w:rsidRPr="00961388">
        <w:rPr>
          <w:lang w:val="fr-CH"/>
        </w:rPr>
        <w:t>emploi des diplômés de l</w:t>
      </w:r>
      <w:r w:rsidR="00961388">
        <w:rPr>
          <w:lang w:val="fr-CH"/>
        </w:rPr>
        <w:t>’</w:t>
      </w:r>
      <w:r w:rsidRPr="00961388">
        <w:rPr>
          <w:lang w:val="fr-CH"/>
        </w:rPr>
        <w:t>enseignement supérieur.</w:t>
      </w:r>
    </w:p>
    <w:p w:rsidR="00570B62" w:rsidRPr="00961388" w:rsidRDefault="00C818FC" w:rsidP="00C818FC">
      <w:pPr>
        <w:pStyle w:val="H23G"/>
        <w:rPr>
          <w:lang w:val="fr-CH"/>
        </w:rPr>
      </w:pPr>
      <w:r>
        <w:rPr>
          <w:lang w:val="fr-CH"/>
        </w:rPr>
        <w:tab/>
      </w:r>
      <w:r>
        <w:rPr>
          <w:lang w:val="fr-CH"/>
        </w:rPr>
        <w:tab/>
      </w:r>
      <w:r w:rsidR="00570B62" w:rsidRPr="00961388">
        <w:rPr>
          <w:lang w:val="fr-CH"/>
        </w:rPr>
        <w:t xml:space="preserve">Réponse au paragraphe 10 </w:t>
      </w:r>
      <w:r w:rsidR="00910D7D">
        <w:rPr>
          <w:lang w:val="fr-CH"/>
        </w:rPr>
        <w:t>de la liste de points à traiter</w:t>
      </w:r>
    </w:p>
    <w:p w:rsidR="00570B62" w:rsidRPr="00961388" w:rsidRDefault="00570B62" w:rsidP="00C818FC">
      <w:pPr>
        <w:pStyle w:val="SingleTxtG"/>
        <w:rPr>
          <w:lang w:val="fr-CH"/>
        </w:rPr>
      </w:pPr>
      <w:r w:rsidRPr="00961388">
        <w:rPr>
          <w:lang w:val="fr-CH"/>
        </w:rPr>
        <w:t>70.</w:t>
      </w:r>
      <w:r w:rsidRPr="00961388">
        <w:rPr>
          <w:lang w:val="fr-CH"/>
        </w:rPr>
        <w:tab/>
        <w:t>Le plan d</w:t>
      </w:r>
      <w:r w:rsidR="00961388">
        <w:rPr>
          <w:lang w:val="fr-CH"/>
        </w:rPr>
        <w:t>’</w:t>
      </w:r>
      <w:r w:rsidRPr="00961388">
        <w:rPr>
          <w:lang w:val="fr-CH"/>
        </w:rPr>
        <w:t xml:space="preserve">action </w:t>
      </w:r>
      <w:r w:rsidR="00961388">
        <w:rPr>
          <w:lang w:val="fr-CH"/>
        </w:rPr>
        <w:t>«</w:t>
      </w:r>
      <w:r w:rsidRPr="00961388">
        <w:rPr>
          <w:lang w:val="fr-CH"/>
        </w:rPr>
        <w:t>femme et développement</w:t>
      </w:r>
      <w:r w:rsidR="00961388">
        <w:rPr>
          <w:lang w:val="fr-CH"/>
        </w:rPr>
        <w:t>»</w:t>
      </w:r>
      <w:r w:rsidRPr="00961388">
        <w:rPr>
          <w:lang w:val="fr-CH"/>
        </w:rPr>
        <w:t xml:space="preserve"> ou promotion de l</w:t>
      </w:r>
      <w:r w:rsidR="00961388">
        <w:rPr>
          <w:lang w:val="fr-CH"/>
        </w:rPr>
        <w:t>’</w:t>
      </w:r>
      <w:r w:rsidRPr="00961388">
        <w:rPr>
          <w:lang w:val="fr-CH"/>
        </w:rPr>
        <w:t>égalité entre les sexes se présente comme un instrument de programmation technique, élaboré dans la cadre du 11ème plan de développement national (2007-2011). Il contribue à promouvoir davantage l</w:t>
      </w:r>
      <w:r w:rsidR="00961388">
        <w:rPr>
          <w:lang w:val="fr-CH"/>
        </w:rPr>
        <w:t>’</w:t>
      </w:r>
      <w:r w:rsidRPr="00961388">
        <w:rPr>
          <w:lang w:val="fr-CH"/>
        </w:rPr>
        <w:t>égalité entre les sexes et l</w:t>
      </w:r>
      <w:r w:rsidR="00961388">
        <w:rPr>
          <w:lang w:val="fr-CH"/>
        </w:rPr>
        <w:t>’</w:t>
      </w:r>
      <w:r w:rsidRPr="00961388">
        <w:rPr>
          <w:lang w:val="fr-CH"/>
        </w:rPr>
        <w:t>autonomisation des femmes. Il réitère les engagements</w:t>
      </w:r>
      <w:r w:rsidR="00C818FC">
        <w:rPr>
          <w:lang w:val="fr-CH"/>
        </w:rPr>
        <w:t xml:space="preserve"> pris dans le cadre de la plate-</w:t>
      </w:r>
      <w:r w:rsidRPr="00961388">
        <w:rPr>
          <w:lang w:val="fr-CH"/>
        </w:rPr>
        <w:t>forme d</w:t>
      </w:r>
      <w:r w:rsidR="00961388">
        <w:rPr>
          <w:lang w:val="fr-CH"/>
        </w:rPr>
        <w:t>’</w:t>
      </w:r>
      <w:r w:rsidRPr="00961388">
        <w:rPr>
          <w:lang w:val="fr-CH"/>
        </w:rPr>
        <w:t xml:space="preserve">action de Pékin, des objectifs du millénaire pour le développement, et répond à la stratégie de Genre dans le développement préconisée dans le point 7 du programme présidentiel (2009-2014), intitulé </w:t>
      </w:r>
      <w:r w:rsidR="00961388">
        <w:rPr>
          <w:lang w:val="fr-CH"/>
        </w:rPr>
        <w:t>«</w:t>
      </w:r>
      <w:r w:rsidRPr="00961388">
        <w:rPr>
          <w:lang w:val="fr-CH"/>
        </w:rPr>
        <w:t>Ensemble, relevons les défis</w:t>
      </w:r>
      <w:r w:rsidR="00961388">
        <w:rPr>
          <w:lang w:val="fr-CH"/>
        </w:rPr>
        <w:t>»</w:t>
      </w:r>
      <w:r w:rsidRPr="00961388">
        <w:rPr>
          <w:lang w:val="fr-CH"/>
        </w:rPr>
        <w:t>. Ce plan d</w:t>
      </w:r>
      <w:r w:rsidR="00961388">
        <w:rPr>
          <w:lang w:val="fr-CH"/>
        </w:rPr>
        <w:t>’</w:t>
      </w:r>
      <w:r w:rsidRPr="00961388">
        <w:rPr>
          <w:lang w:val="fr-CH"/>
        </w:rPr>
        <w:t>action vise à assurer</w:t>
      </w:r>
      <w:r w:rsidR="00961388">
        <w:rPr>
          <w:lang w:val="fr-CH"/>
        </w:rPr>
        <w:t>:</w:t>
      </w:r>
      <w:r w:rsidRPr="00961388">
        <w:rPr>
          <w:lang w:val="fr-CH"/>
        </w:rPr>
        <w:t xml:space="preserve"> </w:t>
      </w:r>
    </w:p>
    <w:p w:rsidR="00C818FC" w:rsidRDefault="00570B62" w:rsidP="00C818FC">
      <w:pPr>
        <w:pStyle w:val="Bullet1G"/>
        <w:rPr>
          <w:i/>
          <w:iCs/>
          <w:lang w:val="fr-CH"/>
        </w:rPr>
      </w:pPr>
      <w:r w:rsidRPr="00961388">
        <w:rPr>
          <w:lang w:val="fr-CH"/>
        </w:rPr>
        <w:t>Une participation plus active et une présence plus effective de la femme dans tous</w:t>
      </w:r>
      <w:r w:rsidRPr="00961388">
        <w:rPr>
          <w:i/>
          <w:iCs/>
          <w:lang w:val="fr-CH"/>
        </w:rPr>
        <w:t xml:space="preserve"> les domaines</w:t>
      </w:r>
      <w:r w:rsidR="00961388" w:rsidRPr="00C80747">
        <w:rPr>
          <w:iCs/>
          <w:lang w:val="fr-CH"/>
        </w:rPr>
        <w:t>;</w:t>
      </w:r>
    </w:p>
    <w:p w:rsidR="00C818FC" w:rsidRDefault="00570B62" w:rsidP="00C818FC">
      <w:pPr>
        <w:pStyle w:val="Bullet1G"/>
        <w:rPr>
          <w:i/>
          <w:iCs/>
          <w:lang w:val="fr-CH"/>
        </w:rPr>
      </w:pPr>
      <w:r w:rsidRPr="00961388">
        <w:rPr>
          <w:lang w:val="fr-CH"/>
        </w:rPr>
        <w:t>Un renforcement des potentialités de la femme en vue de faire profiter l</w:t>
      </w:r>
      <w:r w:rsidR="00961388">
        <w:rPr>
          <w:lang w:val="fr-CH"/>
        </w:rPr>
        <w:t>’</w:t>
      </w:r>
      <w:r w:rsidRPr="00961388">
        <w:rPr>
          <w:lang w:val="fr-CH"/>
        </w:rPr>
        <w:t>économie</w:t>
      </w:r>
      <w:r w:rsidRPr="00961388">
        <w:rPr>
          <w:i/>
          <w:iCs/>
          <w:lang w:val="fr-CH"/>
        </w:rPr>
        <w:t xml:space="preserve"> nationale de toutes les ressources et de toutes les capacités humaines</w:t>
      </w:r>
      <w:r w:rsidR="00961388" w:rsidRPr="00C80747">
        <w:rPr>
          <w:iCs/>
          <w:lang w:val="fr-CH"/>
        </w:rPr>
        <w:t>;</w:t>
      </w:r>
    </w:p>
    <w:p w:rsidR="00C818FC" w:rsidRDefault="00570B62" w:rsidP="00C818FC">
      <w:pPr>
        <w:pStyle w:val="Bullet1G"/>
        <w:rPr>
          <w:i/>
          <w:iCs/>
          <w:lang w:val="fr-CH"/>
        </w:rPr>
      </w:pPr>
      <w:r w:rsidRPr="00961388">
        <w:rPr>
          <w:lang w:val="fr-CH"/>
        </w:rPr>
        <w:t>Un développement du savoir faire de la femme par l</w:t>
      </w:r>
      <w:r w:rsidR="00961388">
        <w:rPr>
          <w:lang w:val="fr-CH"/>
        </w:rPr>
        <w:t>’</w:t>
      </w:r>
      <w:r w:rsidRPr="00961388">
        <w:rPr>
          <w:lang w:val="fr-CH"/>
        </w:rPr>
        <w:t>intensification des programmes</w:t>
      </w:r>
      <w:r w:rsidRPr="00961388">
        <w:rPr>
          <w:i/>
          <w:iCs/>
          <w:lang w:val="fr-CH"/>
        </w:rPr>
        <w:t xml:space="preserve"> de formation</w:t>
      </w:r>
      <w:r w:rsidR="00961388" w:rsidRPr="00C80747">
        <w:rPr>
          <w:iCs/>
          <w:lang w:val="fr-CH"/>
        </w:rPr>
        <w:t>;</w:t>
      </w:r>
    </w:p>
    <w:p w:rsidR="00C818FC" w:rsidRPr="00C818FC" w:rsidRDefault="00570B62" w:rsidP="00C818FC">
      <w:pPr>
        <w:pStyle w:val="Bullet1G"/>
        <w:rPr>
          <w:i/>
          <w:iCs/>
          <w:lang w:val="fr-CH"/>
        </w:rPr>
      </w:pPr>
      <w:r w:rsidRPr="00961388">
        <w:rPr>
          <w:lang w:val="fr-CH"/>
        </w:rPr>
        <w:t>Une facilitation de l</w:t>
      </w:r>
      <w:r w:rsidR="00961388">
        <w:rPr>
          <w:lang w:val="fr-CH"/>
        </w:rPr>
        <w:t>’</w:t>
      </w:r>
      <w:r w:rsidRPr="00961388">
        <w:rPr>
          <w:lang w:val="fr-CH"/>
        </w:rPr>
        <w:t>accès de la femme aux nouvelles technologies</w:t>
      </w:r>
      <w:r w:rsidR="00961388">
        <w:rPr>
          <w:lang w:val="fr-CH"/>
        </w:rPr>
        <w:t>;</w:t>
      </w:r>
      <w:r w:rsidRPr="00961388">
        <w:rPr>
          <w:lang w:val="fr-CH"/>
        </w:rPr>
        <w:t xml:space="preserve"> </w:t>
      </w:r>
    </w:p>
    <w:p w:rsidR="00C818FC" w:rsidRPr="00C818FC" w:rsidRDefault="00570B62" w:rsidP="00C818FC">
      <w:pPr>
        <w:pStyle w:val="Bullet1G"/>
        <w:rPr>
          <w:i/>
          <w:iCs/>
          <w:lang w:val="fr-CH"/>
        </w:rPr>
      </w:pPr>
      <w:r w:rsidRPr="00961388">
        <w:rPr>
          <w:lang w:val="fr-CH"/>
        </w:rPr>
        <w:t>Un renforcement de la présence de la femme sur le marché de l</w:t>
      </w:r>
      <w:r w:rsidR="00961388">
        <w:rPr>
          <w:lang w:val="fr-CH"/>
        </w:rPr>
        <w:t>’</w:t>
      </w:r>
      <w:r w:rsidRPr="00961388">
        <w:rPr>
          <w:lang w:val="fr-CH"/>
        </w:rPr>
        <w:t>emploi et son orientation vers le travail indépendant et la réalisation de projets</w:t>
      </w:r>
      <w:r w:rsidR="00961388">
        <w:rPr>
          <w:lang w:val="fr-CH"/>
        </w:rPr>
        <w:t>;</w:t>
      </w:r>
      <w:r w:rsidRPr="00961388">
        <w:rPr>
          <w:lang w:val="fr-CH"/>
        </w:rPr>
        <w:t xml:space="preserve"> </w:t>
      </w:r>
    </w:p>
    <w:p w:rsidR="00C818FC" w:rsidRPr="00C818FC" w:rsidRDefault="00570B62" w:rsidP="00C818FC">
      <w:pPr>
        <w:pStyle w:val="Bullet1G"/>
        <w:rPr>
          <w:i/>
          <w:iCs/>
          <w:lang w:val="fr-CH"/>
        </w:rPr>
      </w:pPr>
      <w:r w:rsidRPr="00961388">
        <w:rPr>
          <w:lang w:val="fr-CH"/>
        </w:rPr>
        <w:t>Une consolidation de la présence de la femme dans les centres de décision et de responsabilité pour atteindre au moins 30</w:t>
      </w:r>
      <w:r w:rsidR="001973D8">
        <w:rPr>
          <w:lang w:val="fr-CH"/>
        </w:rPr>
        <w:t xml:space="preserve"> %</w:t>
      </w:r>
      <w:r w:rsidRPr="00961388">
        <w:rPr>
          <w:lang w:val="fr-CH"/>
        </w:rPr>
        <w:t>;</w:t>
      </w:r>
    </w:p>
    <w:p w:rsidR="00C818FC" w:rsidRPr="00C818FC" w:rsidRDefault="00570B62" w:rsidP="00C818FC">
      <w:pPr>
        <w:pStyle w:val="Bullet1G"/>
        <w:rPr>
          <w:i/>
          <w:iCs/>
          <w:lang w:val="fr-CH"/>
        </w:rPr>
      </w:pPr>
      <w:r w:rsidRPr="00961388">
        <w:rPr>
          <w:lang w:val="fr-CH"/>
        </w:rPr>
        <w:t>Un développement de mécanismes permettant à la femme de concilier entre sa vie familiale et sa vie professionnelle</w:t>
      </w:r>
      <w:r w:rsidR="00961388">
        <w:rPr>
          <w:lang w:val="fr-CH"/>
        </w:rPr>
        <w:t>;</w:t>
      </w:r>
    </w:p>
    <w:p w:rsidR="00C818FC" w:rsidRPr="00C818FC" w:rsidRDefault="00570B62" w:rsidP="00C818FC">
      <w:pPr>
        <w:pStyle w:val="Bullet1G"/>
        <w:rPr>
          <w:i/>
          <w:iCs/>
          <w:lang w:val="fr-CH"/>
        </w:rPr>
      </w:pPr>
      <w:r w:rsidRPr="00961388">
        <w:rPr>
          <w:lang w:val="fr-CH"/>
        </w:rPr>
        <w:t>Une amélioration des indicateurs de couverture sanitaire spécifiques aux femmes aussi bien dans le milieu urbain que rural</w:t>
      </w:r>
      <w:r w:rsidR="00961388">
        <w:rPr>
          <w:lang w:val="fr-CH"/>
        </w:rPr>
        <w:t>;</w:t>
      </w:r>
    </w:p>
    <w:p w:rsidR="00C818FC" w:rsidRPr="00C818FC" w:rsidRDefault="00570B62" w:rsidP="00C818FC">
      <w:pPr>
        <w:pStyle w:val="Bullet1G"/>
        <w:rPr>
          <w:i/>
          <w:iCs/>
          <w:lang w:val="fr-CH"/>
        </w:rPr>
      </w:pPr>
      <w:r w:rsidRPr="00961388">
        <w:rPr>
          <w:lang w:val="fr-CH"/>
        </w:rPr>
        <w:t>Une intégration de l</w:t>
      </w:r>
      <w:r w:rsidR="00961388">
        <w:rPr>
          <w:lang w:val="fr-CH"/>
        </w:rPr>
        <w:t>’</w:t>
      </w:r>
      <w:r w:rsidRPr="00961388">
        <w:rPr>
          <w:lang w:val="fr-CH"/>
        </w:rPr>
        <w:t>approche par le genre social dans les programmes de développement local et régional</w:t>
      </w:r>
      <w:r w:rsidR="00961388">
        <w:rPr>
          <w:lang w:val="fr-CH"/>
        </w:rPr>
        <w:t>;</w:t>
      </w:r>
    </w:p>
    <w:p w:rsidR="00C818FC" w:rsidRPr="00C818FC" w:rsidRDefault="00570B62" w:rsidP="00C818FC">
      <w:pPr>
        <w:pStyle w:val="Bullet1G"/>
        <w:rPr>
          <w:i/>
          <w:iCs/>
          <w:lang w:val="fr-CH"/>
        </w:rPr>
      </w:pPr>
      <w:r w:rsidRPr="00961388">
        <w:rPr>
          <w:lang w:val="fr-CH"/>
        </w:rPr>
        <w:t>Une poursuite des activités visant la lutte contre l</w:t>
      </w:r>
      <w:r w:rsidR="00961388">
        <w:rPr>
          <w:lang w:val="fr-CH"/>
        </w:rPr>
        <w:t>’</w:t>
      </w:r>
      <w:r w:rsidRPr="00961388">
        <w:rPr>
          <w:lang w:val="fr-CH"/>
        </w:rPr>
        <w:t>abandon scolaire et la réduction du taux d</w:t>
      </w:r>
      <w:r w:rsidR="00961388">
        <w:rPr>
          <w:lang w:val="fr-CH"/>
        </w:rPr>
        <w:t>’</w:t>
      </w:r>
      <w:r w:rsidRPr="00961388">
        <w:rPr>
          <w:lang w:val="fr-CH"/>
        </w:rPr>
        <w:t>analphabétisme chez la femme/fille rurale</w:t>
      </w:r>
      <w:r w:rsidR="00961388">
        <w:rPr>
          <w:lang w:val="fr-CH"/>
        </w:rPr>
        <w:t>;</w:t>
      </w:r>
    </w:p>
    <w:p w:rsidR="00570B62" w:rsidRPr="00C818FC" w:rsidRDefault="00570B62" w:rsidP="00C818FC">
      <w:pPr>
        <w:pStyle w:val="Bullet1G"/>
        <w:rPr>
          <w:i/>
          <w:iCs/>
          <w:lang w:val="fr-CH"/>
        </w:rPr>
      </w:pPr>
      <w:r w:rsidRPr="00961388">
        <w:rPr>
          <w:lang w:val="fr-CH"/>
        </w:rPr>
        <w:t>Une sollicitude accrue au profit des femmes ayant des besoins spécifiques.</w:t>
      </w:r>
    </w:p>
    <w:p w:rsidR="00570B62" w:rsidRPr="00961388" w:rsidRDefault="00570B62" w:rsidP="00C818FC">
      <w:pPr>
        <w:pStyle w:val="H1G"/>
        <w:rPr>
          <w:lang w:val="fr-CH"/>
        </w:rPr>
      </w:pPr>
      <w:r w:rsidRPr="00961388">
        <w:rPr>
          <w:lang w:val="fr-CH"/>
        </w:rPr>
        <w:tab/>
      </w:r>
      <w:r w:rsidRPr="00961388">
        <w:rPr>
          <w:lang w:val="fr-CH"/>
        </w:rPr>
        <w:tab/>
        <w:t>Violence à l</w:t>
      </w:r>
      <w:r w:rsidR="00961388">
        <w:rPr>
          <w:lang w:val="fr-CH"/>
        </w:rPr>
        <w:t>’</w:t>
      </w:r>
      <w:r w:rsidRPr="00961388">
        <w:rPr>
          <w:lang w:val="fr-CH"/>
        </w:rPr>
        <w:t>égard des femmes</w:t>
      </w:r>
    </w:p>
    <w:p w:rsidR="00570B62" w:rsidRPr="00961388" w:rsidRDefault="00C818FC" w:rsidP="00C818FC">
      <w:pPr>
        <w:pStyle w:val="H23G"/>
        <w:rPr>
          <w:lang w:val="fr-CH"/>
        </w:rPr>
      </w:pPr>
      <w:r>
        <w:rPr>
          <w:lang w:val="fr-CH"/>
        </w:rPr>
        <w:tab/>
      </w:r>
      <w:r>
        <w:rPr>
          <w:lang w:val="fr-CH"/>
        </w:rPr>
        <w:tab/>
      </w:r>
      <w:r w:rsidR="00570B62" w:rsidRPr="00961388">
        <w:rPr>
          <w:lang w:val="fr-CH"/>
        </w:rPr>
        <w:t xml:space="preserve">Réponse au paragraphe 11 de la liste de </w:t>
      </w:r>
      <w:r>
        <w:rPr>
          <w:lang w:val="fr-CH"/>
        </w:rPr>
        <w:t>points à traiter</w:t>
      </w:r>
    </w:p>
    <w:p w:rsidR="00570B62" w:rsidRPr="00961388" w:rsidRDefault="00C818FC" w:rsidP="00C818FC">
      <w:pPr>
        <w:pStyle w:val="H4G"/>
        <w:rPr>
          <w:lang w:val="fr-CH"/>
        </w:rPr>
      </w:pPr>
      <w:r>
        <w:rPr>
          <w:lang w:val="fr-CH"/>
        </w:rPr>
        <w:tab/>
        <w:t>1.</w:t>
      </w:r>
      <w:r>
        <w:rPr>
          <w:lang w:val="fr-CH"/>
        </w:rPr>
        <w:tab/>
      </w:r>
      <w:r w:rsidR="00570B62" w:rsidRPr="00961388">
        <w:rPr>
          <w:lang w:val="fr-CH"/>
        </w:rPr>
        <w:t xml:space="preserve">Base nationale de données et Stratégie nationale 2007 de prévention des comportements violents au sein de la famille et de la société </w:t>
      </w:r>
    </w:p>
    <w:p w:rsidR="00570B62" w:rsidRPr="00961388" w:rsidRDefault="00570B62" w:rsidP="00C80747">
      <w:pPr>
        <w:pStyle w:val="SingleTxtG"/>
        <w:rPr>
          <w:lang w:val="fr-CH"/>
        </w:rPr>
      </w:pPr>
      <w:r w:rsidRPr="00961388">
        <w:rPr>
          <w:lang w:val="fr-CH"/>
        </w:rPr>
        <w:t>71.</w:t>
      </w:r>
      <w:r w:rsidRPr="00961388">
        <w:rPr>
          <w:lang w:val="fr-CH"/>
        </w:rPr>
        <w:tab/>
        <w:t>Comme souligné dans le rapport, une stratégie nationale de prévention des comportements violents au sein de la famille et de la société a été effectivement, mise en place en 2007 et adoptée en 2008 dans le but de bannir toutes les formes de discrimination à l</w:t>
      </w:r>
      <w:r w:rsidR="00961388">
        <w:rPr>
          <w:lang w:val="fr-CH"/>
        </w:rPr>
        <w:t>’</w:t>
      </w:r>
      <w:r w:rsidRPr="00961388">
        <w:rPr>
          <w:lang w:val="fr-CH"/>
        </w:rPr>
        <w:t>égard des femmes. L</w:t>
      </w:r>
      <w:r w:rsidR="00961388">
        <w:rPr>
          <w:lang w:val="fr-CH"/>
        </w:rPr>
        <w:t>’</w:t>
      </w:r>
      <w:r w:rsidRPr="00961388">
        <w:rPr>
          <w:lang w:val="fr-CH"/>
        </w:rPr>
        <w:t>élaboration de ladite stratégie se heurte encore aujourd</w:t>
      </w:r>
      <w:r w:rsidR="00961388">
        <w:rPr>
          <w:lang w:val="fr-CH"/>
        </w:rPr>
        <w:t>’</w:t>
      </w:r>
      <w:r w:rsidRPr="00961388">
        <w:rPr>
          <w:lang w:val="fr-CH"/>
        </w:rPr>
        <w:t>hui à un certain nombre de difficultés telles que le manque d</w:t>
      </w:r>
      <w:r w:rsidR="00961388">
        <w:rPr>
          <w:lang w:val="fr-CH"/>
        </w:rPr>
        <w:t>’</w:t>
      </w:r>
      <w:r w:rsidRPr="00961388">
        <w:rPr>
          <w:lang w:val="fr-CH"/>
        </w:rPr>
        <w:t>échange de données et résultats des études et recherches et l</w:t>
      </w:r>
      <w:r w:rsidR="00961388">
        <w:rPr>
          <w:lang w:val="fr-CH"/>
        </w:rPr>
        <w:t>’</w:t>
      </w:r>
      <w:r w:rsidRPr="00961388">
        <w:rPr>
          <w:lang w:val="fr-CH"/>
        </w:rPr>
        <w:t>absence de collecte de données spécifiques adaptées et standardisées au niveau des secteurs et institutions concernés (police, garde nationale, santé, affaires sociales, ONG…).</w:t>
      </w:r>
    </w:p>
    <w:p w:rsidR="00570B62" w:rsidRPr="00961388" w:rsidRDefault="00570B62" w:rsidP="00C80747">
      <w:pPr>
        <w:pStyle w:val="SingleTxtG"/>
        <w:rPr>
          <w:lang w:val="fr-CH"/>
        </w:rPr>
      </w:pPr>
      <w:r w:rsidRPr="00961388">
        <w:rPr>
          <w:lang w:val="fr-CH"/>
        </w:rPr>
        <w:t>72.</w:t>
      </w:r>
      <w:r w:rsidRPr="00961388">
        <w:rPr>
          <w:lang w:val="fr-CH"/>
        </w:rPr>
        <w:tab/>
        <w:t>Cet état de fait ne doit nullement faire abstraction des avancées réalisées dans ce cadre à savoir qu</w:t>
      </w:r>
      <w:r w:rsidR="00961388">
        <w:rPr>
          <w:lang w:val="fr-CH"/>
        </w:rPr>
        <w:t>’</w:t>
      </w:r>
      <w:r w:rsidRPr="00961388">
        <w:rPr>
          <w:lang w:val="fr-CH"/>
        </w:rPr>
        <w:t>avant même l</w:t>
      </w:r>
      <w:r w:rsidR="00961388">
        <w:rPr>
          <w:lang w:val="fr-CH"/>
        </w:rPr>
        <w:t>’</w:t>
      </w:r>
      <w:r w:rsidRPr="00961388">
        <w:rPr>
          <w:lang w:val="fr-CH"/>
        </w:rPr>
        <w:t>adoption de la stratégie nationale 2007 de prévention des comportements violents au sein de la famille et de la société, et soucieuse de respect de la démarche scientifique, la Tunisie n</w:t>
      </w:r>
      <w:r w:rsidR="00961388">
        <w:rPr>
          <w:lang w:val="fr-CH"/>
        </w:rPr>
        <w:t>’</w:t>
      </w:r>
      <w:r w:rsidRPr="00961388">
        <w:rPr>
          <w:lang w:val="fr-CH"/>
        </w:rPr>
        <w:t>a pas manqué d</w:t>
      </w:r>
      <w:r w:rsidR="00961388">
        <w:rPr>
          <w:lang w:val="fr-CH"/>
        </w:rPr>
        <w:t>’</w:t>
      </w:r>
      <w:r w:rsidRPr="00961388">
        <w:rPr>
          <w:lang w:val="fr-CH"/>
        </w:rPr>
        <w:t>engager plusieurs études et enquêtes à travers ses différentes instances concernées sur les différentes formes de violence à l</w:t>
      </w:r>
      <w:r w:rsidR="00961388">
        <w:rPr>
          <w:lang w:val="fr-CH"/>
        </w:rPr>
        <w:t>’</w:t>
      </w:r>
      <w:r w:rsidRPr="00961388">
        <w:rPr>
          <w:lang w:val="fr-CH"/>
        </w:rPr>
        <w:t>égard des femmes, ces études et enquêtes servent comme éléments de base pour la stratégie nationale en attendant la mise en place définitive de la base de données escomptée.</w:t>
      </w:r>
    </w:p>
    <w:p w:rsidR="00570B62" w:rsidRPr="00961388" w:rsidRDefault="00570B62" w:rsidP="00C80747">
      <w:pPr>
        <w:pStyle w:val="SingleTxtG"/>
        <w:rPr>
          <w:lang w:val="fr-CH"/>
        </w:rPr>
      </w:pPr>
      <w:r w:rsidRPr="00961388">
        <w:rPr>
          <w:lang w:val="fr-CH"/>
        </w:rPr>
        <w:t>73.</w:t>
      </w:r>
      <w:r w:rsidRPr="00961388">
        <w:rPr>
          <w:lang w:val="fr-CH"/>
        </w:rPr>
        <w:tab/>
        <w:t>Dans ce cadre, un intérêt particulier a été alloué à la recherche et à la collecte des données, assise fondamentale pour garantir l</w:t>
      </w:r>
      <w:r w:rsidR="00961388">
        <w:rPr>
          <w:lang w:val="fr-CH"/>
        </w:rPr>
        <w:t>’</w:t>
      </w:r>
      <w:r w:rsidRPr="00961388">
        <w:rPr>
          <w:lang w:val="fr-CH"/>
        </w:rPr>
        <w:t xml:space="preserve">efficacité des interventions de sensibilisation, de plaidoyer et de prise en charge psychosociale, médicale et juridique des femmes victimes de violence. </w:t>
      </w:r>
    </w:p>
    <w:p w:rsidR="00570B62" w:rsidRPr="00961388" w:rsidRDefault="00C80747" w:rsidP="00C80747">
      <w:pPr>
        <w:pStyle w:val="H4G"/>
        <w:rPr>
          <w:lang w:val="fr-CH"/>
        </w:rPr>
      </w:pPr>
      <w:r>
        <w:rPr>
          <w:lang w:val="fr-CH"/>
        </w:rPr>
        <w:tab/>
        <w:t>2.</w:t>
      </w:r>
      <w:r>
        <w:rPr>
          <w:lang w:val="fr-CH"/>
        </w:rPr>
        <w:tab/>
      </w:r>
      <w:r w:rsidR="00570B62" w:rsidRPr="00961388">
        <w:rPr>
          <w:lang w:val="fr-CH"/>
        </w:rPr>
        <w:t>Enquête nationale sur la prévalence de la violence fondée sur le genre en Tunisie</w:t>
      </w:r>
    </w:p>
    <w:p w:rsidR="00570B62" w:rsidRPr="00961388" w:rsidRDefault="00570B62" w:rsidP="00C80747">
      <w:pPr>
        <w:pStyle w:val="SingleTxtG"/>
        <w:rPr>
          <w:lang w:val="fr-CH"/>
        </w:rPr>
      </w:pPr>
      <w:r w:rsidRPr="00961388">
        <w:rPr>
          <w:lang w:val="fr-CH"/>
        </w:rPr>
        <w:t>74.</w:t>
      </w:r>
      <w:r w:rsidRPr="00961388">
        <w:rPr>
          <w:lang w:val="fr-CH"/>
        </w:rPr>
        <w:tab/>
        <w:t>Il sied tout d</w:t>
      </w:r>
      <w:r w:rsidR="00961388">
        <w:rPr>
          <w:lang w:val="fr-CH"/>
        </w:rPr>
        <w:t>’</w:t>
      </w:r>
      <w:r w:rsidRPr="00961388">
        <w:rPr>
          <w:lang w:val="fr-CH"/>
        </w:rPr>
        <w:t>abord de rappeler que quelques études régionales, basées sur des échantillons non représentatifs de la population tunisienne, ont été réalisées dans une première étape. Ces études ont eu le mérite d</w:t>
      </w:r>
      <w:r w:rsidR="00961388">
        <w:rPr>
          <w:lang w:val="fr-CH"/>
        </w:rPr>
        <w:t>’</w:t>
      </w:r>
      <w:r w:rsidRPr="00961388">
        <w:rPr>
          <w:lang w:val="fr-CH"/>
        </w:rPr>
        <w:t>apporter un éclairage sur les aspects psychologiques, épidémiologiques, juridiques et sociodémographiques de la violence à l</w:t>
      </w:r>
      <w:r w:rsidR="00961388">
        <w:rPr>
          <w:lang w:val="fr-CH"/>
        </w:rPr>
        <w:t>’</w:t>
      </w:r>
      <w:r w:rsidRPr="00961388">
        <w:rPr>
          <w:lang w:val="fr-CH"/>
        </w:rPr>
        <w:t>égard des femmes. Les résultats de ces études ont fourni des informations pertinentes pour la préparation méthodologique de l</w:t>
      </w:r>
      <w:r w:rsidR="00961388">
        <w:rPr>
          <w:lang w:val="fr-CH"/>
        </w:rPr>
        <w:t>’</w:t>
      </w:r>
      <w:r w:rsidRPr="00961388">
        <w:rPr>
          <w:lang w:val="fr-CH"/>
        </w:rPr>
        <w:t>Enquête nationale sur la violence à l</w:t>
      </w:r>
      <w:r w:rsidR="00961388">
        <w:rPr>
          <w:lang w:val="fr-CH"/>
        </w:rPr>
        <w:t>’</w:t>
      </w:r>
      <w:r w:rsidRPr="00961388">
        <w:rPr>
          <w:lang w:val="fr-CH"/>
        </w:rPr>
        <w:t>égard de la femme en Tunisie (ENVEFT) et par la suite de l</w:t>
      </w:r>
      <w:r w:rsidR="00961388">
        <w:rPr>
          <w:lang w:val="fr-CH"/>
        </w:rPr>
        <w:t>’</w:t>
      </w:r>
      <w:r w:rsidRPr="00961388">
        <w:rPr>
          <w:lang w:val="fr-CH"/>
        </w:rPr>
        <w:t>adoption de la stratégie sur la violence à l</w:t>
      </w:r>
      <w:r w:rsidR="00961388">
        <w:rPr>
          <w:lang w:val="fr-CH"/>
        </w:rPr>
        <w:t>’</w:t>
      </w:r>
      <w:r w:rsidRPr="00961388">
        <w:rPr>
          <w:lang w:val="fr-CH"/>
        </w:rPr>
        <w:t>égard des femmes en Tunisie.</w:t>
      </w:r>
    </w:p>
    <w:p w:rsidR="00570B62" w:rsidRPr="00961388" w:rsidRDefault="00570B62" w:rsidP="00C80747">
      <w:pPr>
        <w:pStyle w:val="SingleTxtG"/>
        <w:rPr>
          <w:lang w:val="fr-CH"/>
        </w:rPr>
      </w:pPr>
      <w:r w:rsidRPr="00961388">
        <w:rPr>
          <w:lang w:val="fr-CH"/>
        </w:rPr>
        <w:t>75.</w:t>
      </w:r>
      <w:r w:rsidRPr="00961388">
        <w:rPr>
          <w:lang w:val="fr-CH"/>
        </w:rPr>
        <w:tab/>
        <w:t>L</w:t>
      </w:r>
      <w:r w:rsidR="00961388">
        <w:rPr>
          <w:lang w:val="fr-CH"/>
        </w:rPr>
        <w:t>’</w:t>
      </w:r>
      <w:r w:rsidRPr="00961388">
        <w:rPr>
          <w:lang w:val="fr-CH"/>
        </w:rPr>
        <w:t>enquête nationale (ENVEFT) a été la première enquête populationnelle, qui constitue l</w:t>
      </w:r>
      <w:r w:rsidR="00961388">
        <w:rPr>
          <w:lang w:val="fr-CH"/>
        </w:rPr>
        <w:t>’</w:t>
      </w:r>
      <w:r w:rsidRPr="00961388">
        <w:rPr>
          <w:lang w:val="fr-CH"/>
        </w:rPr>
        <w:t xml:space="preserve">action la plus importante de la phase 2 du projet </w:t>
      </w:r>
      <w:r w:rsidR="00961388">
        <w:rPr>
          <w:lang w:val="fr-CH"/>
        </w:rPr>
        <w:t>«</w:t>
      </w:r>
      <w:r w:rsidRPr="00961388">
        <w:rPr>
          <w:lang w:val="fr-CH"/>
        </w:rPr>
        <w:t>Promotion de l</w:t>
      </w:r>
      <w:r w:rsidR="00961388">
        <w:rPr>
          <w:lang w:val="fr-CH"/>
        </w:rPr>
        <w:t>’</w:t>
      </w:r>
      <w:r w:rsidRPr="00961388">
        <w:rPr>
          <w:lang w:val="fr-CH"/>
        </w:rPr>
        <w:t>équité de genre et prévention de la violence à l</w:t>
      </w:r>
      <w:r w:rsidR="00961388">
        <w:rPr>
          <w:lang w:val="fr-CH"/>
        </w:rPr>
        <w:t>’</w:t>
      </w:r>
      <w:r w:rsidRPr="00961388">
        <w:rPr>
          <w:lang w:val="fr-CH"/>
        </w:rPr>
        <w:t>égard des femmes</w:t>
      </w:r>
      <w:r w:rsidR="00961388">
        <w:rPr>
          <w:lang w:val="fr-CH"/>
        </w:rPr>
        <w:t>»</w:t>
      </w:r>
      <w:r w:rsidRPr="00961388">
        <w:rPr>
          <w:lang w:val="fr-CH"/>
        </w:rPr>
        <w:t xml:space="preserve"> réalisée dans le cadre d</w:t>
      </w:r>
      <w:r w:rsidR="00961388">
        <w:rPr>
          <w:lang w:val="fr-CH"/>
        </w:rPr>
        <w:t>’</w:t>
      </w:r>
      <w:r w:rsidRPr="00961388">
        <w:rPr>
          <w:lang w:val="fr-CH"/>
        </w:rPr>
        <w:t>un partenariat entre, l</w:t>
      </w:r>
      <w:r w:rsidR="00961388">
        <w:rPr>
          <w:lang w:val="fr-CH"/>
        </w:rPr>
        <w:t>’</w:t>
      </w:r>
      <w:r w:rsidRPr="00961388">
        <w:rPr>
          <w:lang w:val="fr-CH"/>
        </w:rPr>
        <w:t>Office national de la famille et de la population (ONFP), le MAFFEPA, l</w:t>
      </w:r>
      <w:r w:rsidR="00961388">
        <w:rPr>
          <w:lang w:val="fr-CH"/>
        </w:rPr>
        <w:t>’</w:t>
      </w:r>
      <w:r w:rsidRPr="00961388">
        <w:rPr>
          <w:lang w:val="fr-CH"/>
        </w:rPr>
        <w:t>Agence espagnole de coopération internationale pour le développement (AECID) et le Centre arabe d</w:t>
      </w:r>
      <w:r w:rsidR="00961388">
        <w:rPr>
          <w:lang w:val="fr-CH"/>
        </w:rPr>
        <w:t>’</w:t>
      </w:r>
      <w:r w:rsidRPr="00961388">
        <w:rPr>
          <w:lang w:val="fr-CH"/>
        </w:rPr>
        <w:t>étude et de formation de la femme CAWTAR.</w:t>
      </w:r>
    </w:p>
    <w:p w:rsidR="00C80747" w:rsidRDefault="00570B62" w:rsidP="00C80747">
      <w:pPr>
        <w:pStyle w:val="SingleTxtG"/>
        <w:rPr>
          <w:lang w:val="fr-CH"/>
        </w:rPr>
      </w:pPr>
      <w:r w:rsidRPr="00961388">
        <w:rPr>
          <w:lang w:val="fr-CH"/>
        </w:rPr>
        <w:t>76.</w:t>
      </w:r>
      <w:r w:rsidRPr="00961388">
        <w:rPr>
          <w:lang w:val="fr-CH"/>
        </w:rPr>
        <w:tab/>
        <w:t>L</w:t>
      </w:r>
      <w:r w:rsidR="00961388">
        <w:rPr>
          <w:lang w:val="fr-CH"/>
        </w:rPr>
        <w:t>’</w:t>
      </w:r>
      <w:r w:rsidRPr="00961388">
        <w:rPr>
          <w:lang w:val="fr-CH"/>
        </w:rPr>
        <w:t>ENVEFT a les objectifs suivants</w:t>
      </w:r>
      <w:r w:rsidR="00961388">
        <w:rPr>
          <w:lang w:val="fr-CH"/>
        </w:rPr>
        <w:t>:</w:t>
      </w:r>
    </w:p>
    <w:p w:rsidR="00C80747" w:rsidRDefault="00570B62" w:rsidP="00C80747">
      <w:pPr>
        <w:pStyle w:val="Bullet1G"/>
        <w:rPr>
          <w:lang w:val="fr-CH"/>
        </w:rPr>
      </w:pPr>
      <w:r w:rsidRPr="00961388">
        <w:rPr>
          <w:lang w:val="fr-CH"/>
        </w:rPr>
        <w:t>Estimer la fréquence des violences fondées sur le genre sous toutes ses formes</w:t>
      </w:r>
      <w:r w:rsidR="00961388">
        <w:rPr>
          <w:lang w:val="fr-CH"/>
        </w:rPr>
        <w:t>:</w:t>
      </w:r>
      <w:r w:rsidRPr="00961388">
        <w:rPr>
          <w:lang w:val="fr-CH"/>
        </w:rPr>
        <w:t xml:space="preserve"> verbales, psychologique, physique, économique, et sexuelle subies par les femmes dans les sphères privée et publique</w:t>
      </w:r>
      <w:r w:rsidR="00961388">
        <w:rPr>
          <w:lang w:val="fr-CH"/>
        </w:rPr>
        <w:t>;</w:t>
      </w:r>
    </w:p>
    <w:p w:rsidR="00C80747" w:rsidRDefault="00570B62" w:rsidP="00C80747">
      <w:pPr>
        <w:pStyle w:val="Bullet1G"/>
        <w:rPr>
          <w:lang w:val="fr-CH"/>
        </w:rPr>
      </w:pPr>
      <w:r w:rsidRPr="00961388">
        <w:rPr>
          <w:lang w:val="fr-CH"/>
        </w:rPr>
        <w:t>Analyser les déterminants de la violence</w:t>
      </w:r>
      <w:r w:rsidR="00961388">
        <w:rPr>
          <w:lang w:val="fr-CH"/>
        </w:rPr>
        <w:t>;</w:t>
      </w:r>
    </w:p>
    <w:p w:rsidR="00C80747" w:rsidRDefault="00570B62" w:rsidP="00C80747">
      <w:pPr>
        <w:pStyle w:val="Bullet1G"/>
        <w:rPr>
          <w:lang w:val="fr-CH"/>
        </w:rPr>
      </w:pPr>
      <w:r w:rsidRPr="00961388">
        <w:rPr>
          <w:lang w:val="fr-CH"/>
        </w:rPr>
        <w:t>Identifier les profils des femmes spécialement vulnérables à la violence</w:t>
      </w:r>
      <w:r w:rsidR="00961388">
        <w:rPr>
          <w:lang w:val="fr-CH"/>
        </w:rPr>
        <w:t>;</w:t>
      </w:r>
    </w:p>
    <w:p w:rsidR="00C80747" w:rsidRDefault="00570B62" w:rsidP="00C80747">
      <w:pPr>
        <w:pStyle w:val="Bullet1G"/>
        <w:rPr>
          <w:lang w:val="fr-CH"/>
        </w:rPr>
      </w:pPr>
      <w:r w:rsidRPr="00961388">
        <w:rPr>
          <w:lang w:val="fr-CH"/>
        </w:rPr>
        <w:t>Analyser les effets de la violence sur la santé des femmes</w:t>
      </w:r>
      <w:r w:rsidR="00961388">
        <w:rPr>
          <w:lang w:val="fr-CH"/>
        </w:rPr>
        <w:t>;</w:t>
      </w:r>
    </w:p>
    <w:p w:rsidR="00C80747" w:rsidRDefault="00570B62" w:rsidP="00C80747">
      <w:pPr>
        <w:pStyle w:val="Bullet1G"/>
        <w:rPr>
          <w:lang w:val="fr-CH"/>
        </w:rPr>
      </w:pPr>
      <w:r w:rsidRPr="00961388">
        <w:rPr>
          <w:lang w:val="fr-CH"/>
        </w:rPr>
        <w:t>Analyser les réactions des femmes aux violences subies et leurs recours aux services institutionnels et apprécier le degré de leur satisfaction vis-à-vis de ces services</w:t>
      </w:r>
      <w:r w:rsidR="00961388">
        <w:rPr>
          <w:lang w:val="fr-CH"/>
        </w:rPr>
        <w:t>;</w:t>
      </w:r>
    </w:p>
    <w:p w:rsidR="00570B62" w:rsidRPr="00961388" w:rsidRDefault="00570B62" w:rsidP="00C80747">
      <w:pPr>
        <w:pStyle w:val="Bullet1G"/>
        <w:rPr>
          <w:lang w:val="fr-CH"/>
        </w:rPr>
      </w:pPr>
      <w:r w:rsidRPr="00961388">
        <w:rPr>
          <w:lang w:val="fr-CH"/>
        </w:rPr>
        <w:t>Étudier la place et le rôle de la famille et de l</w:t>
      </w:r>
      <w:r w:rsidR="00961388">
        <w:rPr>
          <w:lang w:val="fr-CH"/>
        </w:rPr>
        <w:t>’</w:t>
      </w:r>
      <w:r w:rsidRPr="00961388">
        <w:rPr>
          <w:lang w:val="fr-CH"/>
        </w:rPr>
        <w:t>entourage face à la violence de genre.</w:t>
      </w:r>
    </w:p>
    <w:p w:rsidR="00570B62" w:rsidRPr="00961388" w:rsidRDefault="00570B62" w:rsidP="00C80747">
      <w:pPr>
        <w:pStyle w:val="SingleTxtG"/>
        <w:rPr>
          <w:lang w:val="fr-CH"/>
        </w:rPr>
      </w:pPr>
      <w:r w:rsidRPr="00961388">
        <w:rPr>
          <w:lang w:val="fr-CH"/>
        </w:rPr>
        <w:t>77.</w:t>
      </w:r>
      <w:r w:rsidRPr="00961388">
        <w:rPr>
          <w:lang w:val="fr-CH"/>
        </w:rPr>
        <w:tab/>
        <w:t>Cette enquête qui porte sur l</w:t>
      </w:r>
      <w:r w:rsidR="00961388">
        <w:rPr>
          <w:lang w:val="fr-CH"/>
        </w:rPr>
        <w:t>’</w:t>
      </w:r>
      <w:r w:rsidRPr="00961388">
        <w:rPr>
          <w:lang w:val="fr-CH"/>
        </w:rPr>
        <w:t>ensemble de la population tunisienne, a été menée auprès de 4200 ménages et 5600 femmes. Un questionnaire ménage a été élaboré pour identifier la femme qui sera interviewée, analyser les conditions socioéconomiques et approcher les déterminants sociaux.</w:t>
      </w:r>
    </w:p>
    <w:p w:rsidR="00570B62" w:rsidRPr="00961388" w:rsidRDefault="00570B62" w:rsidP="00C80747">
      <w:pPr>
        <w:pStyle w:val="SingleTxtG"/>
        <w:rPr>
          <w:lang w:val="fr-CH"/>
        </w:rPr>
      </w:pPr>
      <w:r w:rsidRPr="00961388">
        <w:rPr>
          <w:lang w:val="fr-CH"/>
        </w:rPr>
        <w:t>78.</w:t>
      </w:r>
      <w:r w:rsidRPr="00961388">
        <w:rPr>
          <w:lang w:val="fr-CH"/>
        </w:rPr>
        <w:tab/>
        <w:t>Un deuxième questionnaire qui est individuel comporte plusieurs modules pour appréhender et analyser les caractéristiques individuelles de la femme enquêtée, les problèmes de santé reproductive et ses corrélations possibles avec la violence sexiste, la qualité de vie dans une approche de santé physique et mentale et les actes de violence dans la vie intime, au sein de la famille, dans les sphères professionnelle, scolaire et publique.</w:t>
      </w:r>
    </w:p>
    <w:p w:rsidR="00570B62" w:rsidRPr="00961388" w:rsidRDefault="00570B62" w:rsidP="00C80747">
      <w:pPr>
        <w:pStyle w:val="SingleTxtG"/>
        <w:rPr>
          <w:lang w:val="fr-CH"/>
        </w:rPr>
      </w:pPr>
      <w:r w:rsidRPr="00961388">
        <w:rPr>
          <w:lang w:val="fr-CH"/>
        </w:rPr>
        <w:t>79.</w:t>
      </w:r>
      <w:r w:rsidRPr="00961388">
        <w:rPr>
          <w:lang w:val="fr-CH"/>
        </w:rPr>
        <w:tab/>
        <w:t>Les résultats de cette enquête constitueront l</w:t>
      </w:r>
      <w:r w:rsidR="00961388">
        <w:rPr>
          <w:lang w:val="fr-CH"/>
        </w:rPr>
        <w:t>’</w:t>
      </w:r>
      <w:r w:rsidRPr="00961388">
        <w:rPr>
          <w:lang w:val="fr-CH"/>
        </w:rPr>
        <w:t>assise fondamentale pour l</w:t>
      </w:r>
      <w:r w:rsidR="00961388">
        <w:rPr>
          <w:lang w:val="fr-CH"/>
        </w:rPr>
        <w:t>’</w:t>
      </w:r>
      <w:r w:rsidRPr="00961388">
        <w:rPr>
          <w:lang w:val="fr-CH"/>
        </w:rPr>
        <w:t xml:space="preserve">alimentation et la mise en œuvre de la base de données prévue dans le cadre de la </w:t>
      </w:r>
      <w:r w:rsidR="00961388">
        <w:rPr>
          <w:lang w:val="fr-CH"/>
        </w:rPr>
        <w:t>«</w:t>
      </w:r>
      <w:r w:rsidRPr="00961388">
        <w:rPr>
          <w:lang w:val="fr-CH"/>
        </w:rPr>
        <w:t>Stratégie nationale de prévention des comportements violents au sein de la famille et de la société</w:t>
      </w:r>
      <w:r w:rsidR="00961388">
        <w:rPr>
          <w:lang w:val="fr-CH"/>
        </w:rPr>
        <w:t>»</w:t>
      </w:r>
      <w:r w:rsidRPr="00961388">
        <w:rPr>
          <w:lang w:val="fr-CH"/>
        </w:rPr>
        <w:t>.</w:t>
      </w:r>
    </w:p>
    <w:p w:rsidR="00570B62" w:rsidRPr="00961388" w:rsidRDefault="00570B62" w:rsidP="00C80747">
      <w:pPr>
        <w:pStyle w:val="SingleTxtG"/>
        <w:rPr>
          <w:lang w:val="fr-CH"/>
        </w:rPr>
      </w:pPr>
      <w:r w:rsidRPr="00961388">
        <w:rPr>
          <w:lang w:val="fr-CH"/>
        </w:rPr>
        <w:t>80.</w:t>
      </w:r>
      <w:r w:rsidRPr="00961388">
        <w:rPr>
          <w:lang w:val="fr-CH"/>
        </w:rPr>
        <w:tab/>
        <w:t>D</w:t>
      </w:r>
      <w:r w:rsidR="00961388">
        <w:rPr>
          <w:lang w:val="fr-CH"/>
        </w:rPr>
        <w:t>’</w:t>
      </w:r>
      <w:r w:rsidRPr="00961388">
        <w:rPr>
          <w:lang w:val="fr-CH"/>
        </w:rPr>
        <w:t>autres études et recherches ont été également entreprises dans ce cadre.</w:t>
      </w:r>
    </w:p>
    <w:p w:rsidR="00570B62" w:rsidRPr="00C80747" w:rsidRDefault="00570B62" w:rsidP="00C80747">
      <w:pPr>
        <w:pStyle w:val="SingleTxtG"/>
        <w:rPr>
          <w:b/>
          <w:lang w:val="fr-CH"/>
        </w:rPr>
      </w:pPr>
      <w:r w:rsidRPr="00961388">
        <w:rPr>
          <w:lang w:val="fr-CH"/>
        </w:rPr>
        <w:t>81.</w:t>
      </w:r>
      <w:r w:rsidRPr="00961388">
        <w:rPr>
          <w:lang w:val="fr-CH"/>
        </w:rPr>
        <w:tab/>
      </w:r>
      <w:r w:rsidRPr="00C80747">
        <w:rPr>
          <w:b/>
          <w:lang w:val="fr-CH"/>
        </w:rPr>
        <w:t>Ce tableau récapitule les plus importantes d</w:t>
      </w:r>
      <w:r w:rsidR="00961388" w:rsidRPr="00C80747">
        <w:rPr>
          <w:b/>
          <w:lang w:val="fr-CH"/>
        </w:rPr>
        <w:t>’</w:t>
      </w:r>
      <w:r w:rsidRPr="00C80747">
        <w:rPr>
          <w:b/>
          <w:lang w:val="fr-CH"/>
        </w:rPr>
        <w:t>entre elles répertoriées selon le type de recherche l</w:t>
      </w:r>
      <w:r w:rsidR="00961388" w:rsidRPr="00C80747">
        <w:rPr>
          <w:b/>
          <w:lang w:val="fr-CH"/>
        </w:rPr>
        <w:t>’</w:t>
      </w:r>
      <w:r w:rsidRPr="00C80747">
        <w:rPr>
          <w:b/>
          <w:lang w:val="fr-CH"/>
        </w:rPr>
        <w:t>année de publication et l</w:t>
      </w:r>
      <w:r w:rsidR="00961388" w:rsidRPr="00C80747">
        <w:rPr>
          <w:b/>
          <w:lang w:val="fr-CH"/>
        </w:rPr>
        <w:t>’</w:t>
      </w:r>
      <w:r w:rsidRPr="00C80747">
        <w:rPr>
          <w:b/>
          <w:lang w:val="fr-CH"/>
        </w:rPr>
        <w:t>accès à ces études.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19"/>
        <w:gridCol w:w="1719"/>
        <w:gridCol w:w="1982"/>
        <w:gridCol w:w="1850"/>
      </w:tblGrid>
      <w:tr w:rsidR="00EB4DD0" w:rsidRPr="00EB4DD0" w:rsidTr="00EB4DD0">
        <w:trPr>
          <w:tblHeader/>
        </w:trPr>
        <w:tc>
          <w:tcPr>
            <w:tcW w:w="1951" w:type="dxa"/>
            <w:tcBorders>
              <w:top w:val="single" w:sz="4" w:space="0" w:color="auto"/>
              <w:bottom w:val="single" w:sz="12" w:space="0" w:color="auto"/>
            </w:tcBorders>
            <w:shd w:val="clear" w:color="auto" w:fill="auto"/>
            <w:vAlign w:val="bottom"/>
          </w:tcPr>
          <w:p w:rsidR="00570B62" w:rsidRPr="00EB4DD0" w:rsidRDefault="00570B62" w:rsidP="00817F5C">
            <w:pPr>
              <w:keepNext/>
              <w:spacing w:before="80" w:after="80" w:line="200" w:lineRule="exact"/>
              <w:ind w:right="113"/>
              <w:rPr>
                <w:i/>
                <w:sz w:val="16"/>
                <w:lang w:val="fr-CH"/>
              </w:rPr>
            </w:pPr>
            <w:r w:rsidRPr="00EB4DD0">
              <w:rPr>
                <w:i/>
                <w:sz w:val="16"/>
                <w:lang w:val="fr-CH"/>
              </w:rPr>
              <w:t>Type de recherche</w:t>
            </w:r>
          </w:p>
        </w:tc>
        <w:tc>
          <w:tcPr>
            <w:tcW w:w="1843" w:type="dxa"/>
            <w:tcBorders>
              <w:top w:val="single" w:sz="4" w:space="0" w:color="auto"/>
              <w:bottom w:val="single" w:sz="12" w:space="0" w:color="auto"/>
            </w:tcBorders>
            <w:shd w:val="clear" w:color="auto" w:fill="auto"/>
            <w:vAlign w:val="bottom"/>
          </w:tcPr>
          <w:p w:rsidR="00570B62" w:rsidRPr="00EB4DD0" w:rsidRDefault="00570B62" w:rsidP="00EB4DD0">
            <w:pPr>
              <w:suppressAutoHyphens w:val="0"/>
              <w:spacing w:before="80" w:after="80" w:line="200" w:lineRule="exact"/>
              <w:ind w:right="113"/>
              <w:rPr>
                <w:i/>
                <w:sz w:val="16"/>
                <w:lang w:val="fr-CH"/>
              </w:rPr>
            </w:pPr>
            <w:r w:rsidRPr="00EB4DD0">
              <w:rPr>
                <w:i/>
                <w:sz w:val="16"/>
                <w:lang w:val="fr-CH"/>
              </w:rPr>
              <w:t>Année de la publication</w:t>
            </w:r>
          </w:p>
        </w:tc>
        <w:tc>
          <w:tcPr>
            <w:tcW w:w="2126" w:type="dxa"/>
            <w:tcBorders>
              <w:top w:val="single" w:sz="4" w:space="0" w:color="auto"/>
              <w:bottom w:val="single" w:sz="12" w:space="0" w:color="auto"/>
            </w:tcBorders>
            <w:shd w:val="clear" w:color="auto" w:fill="auto"/>
            <w:vAlign w:val="bottom"/>
          </w:tcPr>
          <w:p w:rsidR="00570B62" w:rsidRPr="00EB4DD0" w:rsidRDefault="00570B62" w:rsidP="00EB4DD0">
            <w:pPr>
              <w:suppressAutoHyphens w:val="0"/>
              <w:spacing w:before="80" w:after="80" w:line="200" w:lineRule="exact"/>
              <w:ind w:right="113"/>
              <w:rPr>
                <w:i/>
                <w:sz w:val="16"/>
                <w:lang w:val="fr-CH"/>
              </w:rPr>
            </w:pPr>
            <w:r w:rsidRPr="00EB4DD0">
              <w:rPr>
                <w:i/>
                <w:sz w:val="16"/>
                <w:lang w:val="fr-CH"/>
              </w:rPr>
              <w:t>Organe de publication</w:t>
            </w:r>
          </w:p>
        </w:tc>
        <w:tc>
          <w:tcPr>
            <w:tcW w:w="1984" w:type="dxa"/>
            <w:tcBorders>
              <w:top w:val="single" w:sz="4" w:space="0" w:color="auto"/>
              <w:bottom w:val="single" w:sz="12" w:space="0" w:color="auto"/>
            </w:tcBorders>
            <w:shd w:val="clear" w:color="auto" w:fill="auto"/>
            <w:vAlign w:val="bottom"/>
          </w:tcPr>
          <w:p w:rsidR="00570B62" w:rsidRPr="00EB4DD0" w:rsidRDefault="00570B62" w:rsidP="00EB4DD0">
            <w:pPr>
              <w:suppressAutoHyphens w:val="0"/>
              <w:spacing w:before="80" w:after="80" w:line="200" w:lineRule="exact"/>
              <w:ind w:right="113"/>
              <w:rPr>
                <w:i/>
                <w:sz w:val="16"/>
                <w:lang w:val="fr-CH"/>
              </w:rPr>
            </w:pPr>
            <w:r w:rsidRPr="00EB4DD0">
              <w:rPr>
                <w:i/>
                <w:sz w:val="16"/>
                <w:lang w:val="fr-CH"/>
              </w:rPr>
              <w:t>Accès à l</w:t>
            </w:r>
            <w:r w:rsidR="00961388" w:rsidRPr="00EB4DD0">
              <w:rPr>
                <w:i/>
                <w:sz w:val="16"/>
                <w:lang w:val="fr-CH"/>
              </w:rPr>
              <w:t>’</w:t>
            </w:r>
            <w:r w:rsidR="00BC4A1A">
              <w:rPr>
                <w:i/>
                <w:sz w:val="16"/>
                <w:lang w:val="fr-CH"/>
              </w:rPr>
              <w:t>étude</w:t>
            </w:r>
          </w:p>
        </w:tc>
      </w:tr>
      <w:tr w:rsidR="00570B62" w:rsidRPr="00EB4DD0" w:rsidTr="00EB4DD0">
        <w:trPr>
          <w:trHeight w:val="759"/>
        </w:trPr>
        <w:tc>
          <w:tcPr>
            <w:tcW w:w="1951" w:type="dxa"/>
            <w:tcBorders>
              <w:top w:val="single" w:sz="12" w:space="0" w:color="auto"/>
            </w:tcBorders>
            <w:shd w:val="clear" w:color="auto" w:fill="auto"/>
          </w:tcPr>
          <w:p w:rsidR="00570B62" w:rsidRPr="00EB4DD0" w:rsidRDefault="00570B62" w:rsidP="00817F5C">
            <w:pPr>
              <w:keepNext/>
              <w:spacing w:before="40" w:after="120"/>
              <w:ind w:right="113"/>
              <w:rPr>
                <w:lang w:val="fr-CH"/>
              </w:rPr>
            </w:pPr>
            <w:r w:rsidRPr="00EB4DD0">
              <w:rPr>
                <w:lang w:val="fr-CH"/>
              </w:rPr>
              <w:t>Étude sur la violence à l</w:t>
            </w:r>
            <w:r w:rsidR="00961388" w:rsidRPr="00EB4DD0">
              <w:rPr>
                <w:lang w:val="fr-CH"/>
              </w:rPr>
              <w:t>’</w:t>
            </w:r>
            <w:r w:rsidRPr="00EB4DD0">
              <w:rPr>
                <w:lang w:val="fr-CH"/>
              </w:rPr>
              <w:t>égard de la femme</w:t>
            </w:r>
          </w:p>
        </w:tc>
        <w:tc>
          <w:tcPr>
            <w:tcW w:w="1843" w:type="dxa"/>
            <w:tcBorders>
              <w:top w:val="single" w:sz="12" w:space="0" w:color="auto"/>
            </w:tcBorders>
            <w:shd w:val="clear" w:color="auto" w:fill="auto"/>
          </w:tcPr>
          <w:p w:rsidR="00570B62" w:rsidRPr="00EB4DD0" w:rsidRDefault="00570B62" w:rsidP="00EB4DD0">
            <w:pPr>
              <w:spacing w:before="40" w:after="120"/>
              <w:ind w:right="113"/>
              <w:rPr>
                <w:lang w:val="fr-CH"/>
              </w:rPr>
            </w:pPr>
            <w:r w:rsidRPr="00EB4DD0">
              <w:rPr>
                <w:lang w:val="fr-CH"/>
              </w:rPr>
              <w:t>1991</w:t>
            </w:r>
          </w:p>
        </w:tc>
        <w:tc>
          <w:tcPr>
            <w:tcW w:w="2126" w:type="dxa"/>
            <w:tcBorders>
              <w:top w:val="single" w:sz="12" w:space="0" w:color="auto"/>
            </w:tcBorders>
            <w:shd w:val="clear" w:color="auto" w:fill="auto"/>
          </w:tcPr>
          <w:p w:rsidR="00570B62" w:rsidRPr="00EB4DD0" w:rsidRDefault="00570B62" w:rsidP="00EB4DD0">
            <w:pPr>
              <w:spacing w:before="40" w:after="120"/>
              <w:ind w:right="113"/>
              <w:rPr>
                <w:lang w:val="fr-CH"/>
              </w:rPr>
            </w:pPr>
          </w:p>
        </w:tc>
        <w:tc>
          <w:tcPr>
            <w:tcW w:w="1984" w:type="dxa"/>
            <w:tcBorders>
              <w:top w:val="single" w:sz="12" w:space="0" w:color="auto"/>
            </w:tcBorders>
            <w:shd w:val="clear" w:color="auto" w:fill="auto"/>
          </w:tcPr>
          <w:p w:rsidR="00570B62" w:rsidRPr="00EB4DD0" w:rsidRDefault="00570B62" w:rsidP="00EB4DD0">
            <w:pPr>
              <w:spacing w:before="40" w:after="120"/>
              <w:ind w:right="113"/>
              <w:rPr>
                <w:lang w:val="fr-CH"/>
              </w:rPr>
            </w:pPr>
            <w:r w:rsidRPr="00EB4DD0">
              <w:rPr>
                <w:lang w:val="fr-CH"/>
              </w:rPr>
              <w:t>Union nationale des femmes tunisiennes UNFT</w:t>
            </w:r>
          </w:p>
        </w:tc>
      </w:tr>
      <w:tr w:rsidR="00570B62" w:rsidRPr="00EB4DD0" w:rsidTr="00EB4DD0">
        <w:trPr>
          <w:trHeight w:val="829"/>
        </w:trPr>
        <w:tc>
          <w:tcPr>
            <w:tcW w:w="1951" w:type="dxa"/>
            <w:shd w:val="clear" w:color="auto" w:fill="auto"/>
          </w:tcPr>
          <w:p w:rsidR="00570B62" w:rsidRPr="00EB4DD0" w:rsidRDefault="00570B62" w:rsidP="00EB4DD0">
            <w:pPr>
              <w:spacing w:before="40" w:after="120"/>
              <w:ind w:right="113"/>
              <w:rPr>
                <w:lang w:val="fr-CH"/>
              </w:rPr>
            </w:pPr>
            <w:r w:rsidRPr="00EB4DD0">
              <w:rPr>
                <w:lang w:val="fr-CH"/>
              </w:rPr>
              <w:t>Étude sur la violence à l</w:t>
            </w:r>
            <w:r w:rsidR="00961388" w:rsidRPr="00EB4DD0">
              <w:rPr>
                <w:lang w:val="fr-CH"/>
              </w:rPr>
              <w:t>’</w:t>
            </w:r>
            <w:r w:rsidRPr="00EB4DD0">
              <w:rPr>
                <w:lang w:val="fr-CH"/>
              </w:rPr>
              <w:t>égard de la femme</w:t>
            </w:r>
          </w:p>
        </w:tc>
        <w:tc>
          <w:tcPr>
            <w:tcW w:w="1843" w:type="dxa"/>
            <w:shd w:val="clear" w:color="auto" w:fill="auto"/>
          </w:tcPr>
          <w:p w:rsidR="00570B62" w:rsidRPr="00EB4DD0" w:rsidRDefault="00570B62" w:rsidP="00EB4DD0">
            <w:pPr>
              <w:spacing w:before="40" w:after="120"/>
              <w:ind w:right="113"/>
              <w:rPr>
                <w:lang w:val="fr-CH"/>
              </w:rPr>
            </w:pPr>
            <w:r w:rsidRPr="00EB4DD0">
              <w:rPr>
                <w:lang w:val="fr-CH"/>
              </w:rPr>
              <w:t>2001</w:t>
            </w:r>
          </w:p>
        </w:tc>
        <w:tc>
          <w:tcPr>
            <w:tcW w:w="2126" w:type="dxa"/>
            <w:shd w:val="clear" w:color="auto" w:fill="auto"/>
          </w:tcPr>
          <w:p w:rsidR="00570B62" w:rsidRPr="00EB4DD0" w:rsidRDefault="00570B62" w:rsidP="00EB4DD0">
            <w:pPr>
              <w:spacing w:before="40" w:after="120"/>
              <w:ind w:right="113"/>
              <w:rPr>
                <w:lang w:val="fr-CH"/>
              </w:rPr>
            </w:pPr>
            <w:r w:rsidRPr="00EB4DD0">
              <w:rPr>
                <w:lang w:val="fr-CH"/>
              </w:rPr>
              <w:t>Association tunisienne des femmes démocrates</w:t>
            </w:r>
          </w:p>
        </w:tc>
        <w:tc>
          <w:tcPr>
            <w:tcW w:w="1984" w:type="dxa"/>
            <w:shd w:val="clear" w:color="auto" w:fill="auto"/>
          </w:tcPr>
          <w:p w:rsidR="00570B62" w:rsidRPr="00EB4DD0" w:rsidRDefault="00570B62" w:rsidP="00EB4DD0">
            <w:pPr>
              <w:spacing w:before="40" w:after="120"/>
              <w:ind w:right="113"/>
              <w:rPr>
                <w:lang w:val="fr-CH"/>
              </w:rPr>
            </w:pPr>
            <w:r w:rsidRPr="00EB4DD0">
              <w:rPr>
                <w:lang w:val="fr-CH"/>
              </w:rPr>
              <w:t>Association tunisienne des femmes démocrates</w:t>
            </w:r>
          </w:p>
        </w:tc>
      </w:tr>
      <w:tr w:rsidR="00570B62" w:rsidRPr="00EB4DD0" w:rsidTr="00EB4DD0">
        <w:tc>
          <w:tcPr>
            <w:tcW w:w="1951" w:type="dxa"/>
            <w:shd w:val="clear" w:color="auto" w:fill="auto"/>
          </w:tcPr>
          <w:p w:rsidR="00570B62" w:rsidRPr="00EB4DD0" w:rsidRDefault="00570B62" w:rsidP="00EB4DD0">
            <w:pPr>
              <w:spacing w:before="40" w:after="120"/>
              <w:ind w:right="113"/>
              <w:rPr>
                <w:lang w:val="fr-CH"/>
              </w:rPr>
            </w:pPr>
            <w:r w:rsidRPr="00EB4DD0">
              <w:rPr>
                <w:lang w:val="fr-CH"/>
              </w:rPr>
              <w:t>Violence au sein de la famille</w:t>
            </w:r>
          </w:p>
        </w:tc>
        <w:tc>
          <w:tcPr>
            <w:tcW w:w="1843" w:type="dxa"/>
            <w:shd w:val="clear" w:color="auto" w:fill="auto"/>
          </w:tcPr>
          <w:p w:rsidR="00570B62" w:rsidRPr="00EB4DD0" w:rsidRDefault="00570B62" w:rsidP="00EB4DD0">
            <w:pPr>
              <w:spacing w:before="40" w:after="120"/>
              <w:ind w:right="113"/>
              <w:rPr>
                <w:lang w:val="fr-CH"/>
              </w:rPr>
            </w:pPr>
            <w:r w:rsidRPr="00EB4DD0">
              <w:rPr>
                <w:lang w:val="fr-CH"/>
              </w:rPr>
              <w:t>2005</w:t>
            </w:r>
          </w:p>
        </w:tc>
        <w:tc>
          <w:tcPr>
            <w:tcW w:w="2126" w:type="dxa"/>
            <w:shd w:val="clear" w:color="auto" w:fill="auto"/>
          </w:tcPr>
          <w:p w:rsidR="00570B62" w:rsidRPr="00EB4DD0" w:rsidRDefault="00570B62" w:rsidP="00EB4DD0">
            <w:pPr>
              <w:spacing w:before="40" w:after="120"/>
              <w:ind w:right="113"/>
              <w:rPr>
                <w:lang w:val="fr-CH"/>
              </w:rPr>
            </w:pPr>
            <w:r w:rsidRPr="00EB4DD0">
              <w:rPr>
                <w:lang w:val="fr-CH"/>
              </w:rPr>
              <w:t>Ministère des affaires de la femme, de la famille, de l</w:t>
            </w:r>
            <w:r w:rsidR="00961388" w:rsidRPr="00EB4DD0">
              <w:rPr>
                <w:lang w:val="fr-CH"/>
              </w:rPr>
              <w:t>’</w:t>
            </w:r>
            <w:r w:rsidRPr="00EB4DD0">
              <w:rPr>
                <w:lang w:val="fr-CH"/>
              </w:rPr>
              <w:t>enfance et des personnes âgées</w:t>
            </w:r>
          </w:p>
        </w:tc>
        <w:tc>
          <w:tcPr>
            <w:tcW w:w="1984" w:type="dxa"/>
            <w:shd w:val="clear" w:color="auto" w:fill="auto"/>
          </w:tcPr>
          <w:p w:rsidR="00570B62" w:rsidRPr="00EB4DD0" w:rsidRDefault="00570B62" w:rsidP="00EB4DD0">
            <w:pPr>
              <w:spacing w:before="40" w:after="120"/>
              <w:ind w:right="113"/>
              <w:rPr>
                <w:lang w:val="fr-CH"/>
              </w:rPr>
            </w:pPr>
            <w:r w:rsidRPr="00EB4DD0">
              <w:rPr>
                <w:lang w:val="fr-CH"/>
              </w:rPr>
              <w:t>Ministère des affaires de la femme, de la famille, de l</w:t>
            </w:r>
            <w:r w:rsidR="00961388" w:rsidRPr="00EB4DD0">
              <w:rPr>
                <w:lang w:val="fr-CH"/>
              </w:rPr>
              <w:t>’</w:t>
            </w:r>
            <w:r w:rsidRPr="00EB4DD0">
              <w:rPr>
                <w:lang w:val="fr-CH"/>
              </w:rPr>
              <w:t>enfance et des personnes âgées</w:t>
            </w:r>
          </w:p>
        </w:tc>
      </w:tr>
      <w:tr w:rsidR="00570B62" w:rsidRPr="00EB4DD0" w:rsidTr="00EB4DD0">
        <w:tc>
          <w:tcPr>
            <w:tcW w:w="1951" w:type="dxa"/>
            <w:shd w:val="clear" w:color="auto" w:fill="auto"/>
          </w:tcPr>
          <w:p w:rsidR="00570B62" w:rsidRPr="00EB4DD0" w:rsidRDefault="00570B62" w:rsidP="00EB4DD0">
            <w:pPr>
              <w:spacing w:before="40" w:after="120"/>
              <w:ind w:right="113"/>
              <w:rPr>
                <w:lang w:val="fr-CH"/>
              </w:rPr>
            </w:pPr>
            <w:r w:rsidRPr="00EB4DD0">
              <w:rPr>
                <w:lang w:val="fr-CH"/>
              </w:rPr>
              <w:t>V</w:t>
            </w:r>
            <w:r w:rsidR="00817F5C">
              <w:rPr>
                <w:lang w:val="fr-CH"/>
              </w:rPr>
              <w:t>iolence au sein de la famille/</w:t>
            </w:r>
            <w:r w:rsidRPr="00EB4DD0">
              <w:rPr>
                <w:lang w:val="fr-CH"/>
              </w:rPr>
              <w:t>violence domestique</w:t>
            </w:r>
          </w:p>
        </w:tc>
        <w:tc>
          <w:tcPr>
            <w:tcW w:w="1843" w:type="dxa"/>
            <w:shd w:val="clear" w:color="auto" w:fill="auto"/>
          </w:tcPr>
          <w:p w:rsidR="00570B62" w:rsidRPr="00EB4DD0" w:rsidRDefault="00570B62" w:rsidP="00EB4DD0">
            <w:pPr>
              <w:spacing w:before="40" w:after="120"/>
              <w:ind w:right="113"/>
              <w:rPr>
                <w:lang w:val="fr-CH"/>
              </w:rPr>
            </w:pPr>
            <w:r w:rsidRPr="00EB4DD0">
              <w:rPr>
                <w:lang w:val="fr-CH"/>
              </w:rPr>
              <w:t>Février 2005</w:t>
            </w:r>
          </w:p>
        </w:tc>
        <w:tc>
          <w:tcPr>
            <w:tcW w:w="2126" w:type="dxa"/>
            <w:shd w:val="clear" w:color="auto" w:fill="auto"/>
          </w:tcPr>
          <w:p w:rsidR="00570B62" w:rsidRPr="00EB4DD0" w:rsidRDefault="00570B62" w:rsidP="00EB4DD0">
            <w:pPr>
              <w:spacing w:before="40" w:after="120"/>
              <w:ind w:right="113"/>
              <w:rPr>
                <w:lang w:val="fr-CH"/>
              </w:rPr>
            </w:pPr>
            <w:r w:rsidRPr="00EB4DD0">
              <w:rPr>
                <w:lang w:val="fr-CH"/>
              </w:rPr>
              <w:t>Centre international de formation en santé de la reproduction relevant de l</w:t>
            </w:r>
            <w:r w:rsidR="00961388" w:rsidRPr="00EB4DD0">
              <w:rPr>
                <w:lang w:val="fr-CH"/>
              </w:rPr>
              <w:t>’</w:t>
            </w:r>
            <w:r w:rsidRPr="00EB4DD0">
              <w:rPr>
                <w:lang w:val="fr-CH"/>
              </w:rPr>
              <w:t xml:space="preserve">Office national de la famille et de la population (ONFP). </w:t>
            </w:r>
          </w:p>
        </w:tc>
        <w:tc>
          <w:tcPr>
            <w:tcW w:w="1984" w:type="dxa"/>
            <w:shd w:val="clear" w:color="auto" w:fill="auto"/>
          </w:tcPr>
          <w:p w:rsidR="00570B62" w:rsidRPr="00EB4DD0" w:rsidRDefault="00570B62" w:rsidP="00EB4DD0">
            <w:pPr>
              <w:spacing w:before="40" w:after="120"/>
              <w:ind w:right="113"/>
              <w:rPr>
                <w:lang w:val="fr-CH"/>
              </w:rPr>
            </w:pPr>
            <w:r w:rsidRPr="00EB4DD0">
              <w:rPr>
                <w:lang w:val="fr-CH"/>
              </w:rPr>
              <w:t>Centre de documentation, des archives et des publications de l</w:t>
            </w:r>
            <w:r w:rsidR="00961388" w:rsidRPr="00EB4DD0">
              <w:rPr>
                <w:lang w:val="fr-CH"/>
              </w:rPr>
              <w:t>’</w:t>
            </w:r>
            <w:r w:rsidRPr="00EB4DD0">
              <w:rPr>
                <w:lang w:val="fr-CH"/>
              </w:rPr>
              <w:t>Office national de la famille et de la population (ONFP).</w:t>
            </w:r>
          </w:p>
        </w:tc>
      </w:tr>
      <w:tr w:rsidR="00570B62" w:rsidRPr="00EB4DD0" w:rsidTr="00EB4DD0">
        <w:tc>
          <w:tcPr>
            <w:tcW w:w="1951" w:type="dxa"/>
            <w:shd w:val="clear" w:color="auto" w:fill="auto"/>
          </w:tcPr>
          <w:p w:rsidR="00570B62" w:rsidRPr="00EB4DD0" w:rsidRDefault="00570B62" w:rsidP="00EB4DD0">
            <w:pPr>
              <w:spacing w:before="40" w:after="120"/>
              <w:ind w:right="113"/>
              <w:rPr>
                <w:lang w:val="fr-CH"/>
              </w:rPr>
            </w:pPr>
            <w:r w:rsidRPr="00EB4DD0">
              <w:rPr>
                <w:lang w:val="fr-CH"/>
              </w:rPr>
              <w:t xml:space="preserve">Étude sur </w:t>
            </w:r>
            <w:r w:rsidR="00961388" w:rsidRPr="00EB4DD0">
              <w:rPr>
                <w:lang w:val="fr-CH"/>
              </w:rPr>
              <w:t>«</w:t>
            </w:r>
            <w:r w:rsidR="00817F5C">
              <w:rPr>
                <w:lang w:val="fr-CH"/>
              </w:rPr>
              <w:t>la </w:t>
            </w:r>
            <w:r w:rsidRPr="00EB4DD0">
              <w:rPr>
                <w:lang w:val="fr-CH"/>
              </w:rPr>
              <w:t>violence en milieu scolaire</w:t>
            </w:r>
            <w:r w:rsidR="00961388" w:rsidRPr="00EB4DD0">
              <w:rPr>
                <w:lang w:val="fr-CH"/>
              </w:rPr>
              <w:t>»</w:t>
            </w:r>
          </w:p>
        </w:tc>
        <w:tc>
          <w:tcPr>
            <w:tcW w:w="1843" w:type="dxa"/>
            <w:shd w:val="clear" w:color="auto" w:fill="auto"/>
          </w:tcPr>
          <w:p w:rsidR="00570B62" w:rsidRPr="00EB4DD0" w:rsidRDefault="00570B62" w:rsidP="00EB4DD0">
            <w:pPr>
              <w:spacing w:before="40" w:after="120"/>
              <w:ind w:right="113"/>
              <w:rPr>
                <w:lang w:val="fr-CH"/>
              </w:rPr>
            </w:pPr>
            <w:r w:rsidRPr="00EB4DD0">
              <w:rPr>
                <w:lang w:val="fr-CH"/>
              </w:rPr>
              <w:t>2006</w:t>
            </w:r>
          </w:p>
        </w:tc>
        <w:tc>
          <w:tcPr>
            <w:tcW w:w="2126" w:type="dxa"/>
            <w:shd w:val="clear" w:color="auto" w:fill="auto"/>
          </w:tcPr>
          <w:p w:rsidR="00570B62" w:rsidRPr="00EB4DD0" w:rsidRDefault="00570B62" w:rsidP="00EB4DD0">
            <w:pPr>
              <w:spacing w:before="40" w:after="120"/>
              <w:ind w:right="113"/>
              <w:rPr>
                <w:lang w:val="fr-CH"/>
              </w:rPr>
            </w:pPr>
            <w:r w:rsidRPr="00EB4DD0">
              <w:rPr>
                <w:lang w:val="fr-CH"/>
              </w:rPr>
              <w:t>Ministère de l</w:t>
            </w:r>
            <w:r w:rsidR="00961388" w:rsidRPr="00EB4DD0">
              <w:rPr>
                <w:lang w:val="fr-CH"/>
              </w:rPr>
              <w:t>’</w:t>
            </w:r>
            <w:r w:rsidRPr="00EB4DD0">
              <w:rPr>
                <w:lang w:val="fr-CH"/>
              </w:rPr>
              <w:t>éducation et de la formation et Unicef</w:t>
            </w:r>
          </w:p>
        </w:tc>
        <w:tc>
          <w:tcPr>
            <w:tcW w:w="1984" w:type="dxa"/>
            <w:shd w:val="clear" w:color="auto" w:fill="auto"/>
          </w:tcPr>
          <w:p w:rsidR="00570B62" w:rsidRPr="00EB4DD0" w:rsidRDefault="00570B62" w:rsidP="00EB4DD0">
            <w:pPr>
              <w:spacing w:before="40" w:after="120"/>
              <w:ind w:right="113"/>
              <w:rPr>
                <w:lang w:val="fr-CH"/>
              </w:rPr>
            </w:pPr>
            <w:r w:rsidRPr="00EB4DD0">
              <w:rPr>
                <w:lang w:val="fr-CH"/>
              </w:rPr>
              <w:t>Ministère de l</w:t>
            </w:r>
            <w:r w:rsidR="00961388" w:rsidRPr="00EB4DD0">
              <w:rPr>
                <w:lang w:val="fr-CH"/>
              </w:rPr>
              <w:t>’</w:t>
            </w:r>
            <w:r w:rsidRPr="00EB4DD0">
              <w:rPr>
                <w:lang w:val="fr-CH"/>
              </w:rPr>
              <w:t>éducation et de la formation et Unicef</w:t>
            </w:r>
          </w:p>
        </w:tc>
      </w:tr>
      <w:tr w:rsidR="00570B62" w:rsidRPr="00EB4DD0" w:rsidTr="00EB4DD0">
        <w:tc>
          <w:tcPr>
            <w:tcW w:w="1951" w:type="dxa"/>
            <w:shd w:val="clear" w:color="auto" w:fill="auto"/>
          </w:tcPr>
          <w:p w:rsidR="00570B62" w:rsidRPr="00EB4DD0" w:rsidRDefault="00570B62" w:rsidP="00EB4DD0">
            <w:pPr>
              <w:spacing w:before="40" w:after="120"/>
              <w:ind w:right="113"/>
              <w:rPr>
                <w:lang w:val="fr-CH"/>
              </w:rPr>
            </w:pPr>
            <w:r w:rsidRPr="00EB4DD0">
              <w:rPr>
                <w:lang w:val="fr-CH"/>
              </w:rPr>
              <w:t>Ensemble des formes de violence contre les femmes</w:t>
            </w:r>
          </w:p>
        </w:tc>
        <w:tc>
          <w:tcPr>
            <w:tcW w:w="1843" w:type="dxa"/>
            <w:shd w:val="clear" w:color="auto" w:fill="auto"/>
          </w:tcPr>
          <w:p w:rsidR="00570B62" w:rsidRPr="00EB4DD0" w:rsidRDefault="00570B62" w:rsidP="00EB4DD0">
            <w:pPr>
              <w:spacing w:before="40" w:after="120"/>
              <w:ind w:right="113"/>
              <w:rPr>
                <w:lang w:val="fr-CH"/>
              </w:rPr>
            </w:pPr>
            <w:r w:rsidRPr="00EB4DD0">
              <w:rPr>
                <w:lang w:val="fr-CH"/>
              </w:rPr>
              <w:t>Réalisée au cours de la période 2006-2009 dans le cadre du projet de coopération entre l</w:t>
            </w:r>
            <w:r w:rsidR="00961388" w:rsidRPr="00EB4DD0">
              <w:rPr>
                <w:lang w:val="fr-CH"/>
              </w:rPr>
              <w:t>’</w:t>
            </w:r>
            <w:r w:rsidRPr="00EB4DD0">
              <w:rPr>
                <w:lang w:val="fr-CH"/>
              </w:rPr>
              <w:t>ONFP et l</w:t>
            </w:r>
            <w:r w:rsidR="00961388" w:rsidRPr="00EB4DD0">
              <w:rPr>
                <w:lang w:val="fr-CH"/>
              </w:rPr>
              <w:t>’</w:t>
            </w:r>
            <w:r w:rsidRPr="00EB4DD0">
              <w:rPr>
                <w:lang w:val="fr-CH"/>
              </w:rPr>
              <w:t xml:space="preserve">AECI </w:t>
            </w:r>
            <w:r w:rsidR="00961388" w:rsidRPr="00EB4DD0">
              <w:rPr>
                <w:lang w:val="fr-CH"/>
              </w:rPr>
              <w:t>«</w:t>
            </w:r>
            <w:r w:rsidRPr="00EB4DD0">
              <w:rPr>
                <w:lang w:val="fr-CH"/>
              </w:rPr>
              <w:t>Équité de genre et prévention de la violence à l</w:t>
            </w:r>
            <w:r w:rsidR="00961388" w:rsidRPr="00EB4DD0">
              <w:rPr>
                <w:lang w:val="fr-CH"/>
              </w:rPr>
              <w:t>’</w:t>
            </w:r>
            <w:r w:rsidRPr="00EB4DD0">
              <w:rPr>
                <w:lang w:val="fr-CH"/>
              </w:rPr>
              <w:t>égard des femmes</w:t>
            </w:r>
            <w:r w:rsidR="00961388" w:rsidRPr="00EB4DD0">
              <w:rPr>
                <w:lang w:val="fr-CH"/>
              </w:rPr>
              <w:t>»</w:t>
            </w:r>
            <w:r w:rsidRPr="00EB4DD0">
              <w:rPr>
                <w:lang w:val="fr-CH"/>
              </w:rPr>
              <w:t>.</w:t>
            </w:r>
          </w:p>
        </w:tc>
        <w:tc>
          <w:tcPr>
            <w:tcW w:w="2126" w:type="dxa"/>
            <w:shd w:val="clear" w:color="auto" w:fill="auto"/>
          </w:tcPr>
          <w:p w:rsidR="00570B62" w:rsidRPr="00EB4DD0" w:rsidRDefault="00570B62" w:rsidP="00EB4DD0">
            <w:pPr>
              <w:spacing w:before="40" w:after="120"/>
              <w:ind w:right="113"/>
              <w:rPr>
                <w:lang w:val="fr-CH"/>
              </w:rPr>
            </w:pPr>
            <w:r w:rsidRPr="00EB4DD0">
              <w:rPr>
                <w:lang w:val="fr-CH"/>
              </w:rPr>
              <w:t>Sera publiée par l</w:t>
            </w:r>
            <w:r w:rsidR="00961388" w:rsidRPr="00EB4DD0">
              <w:rPr>
                <w:lang w:val="fr-CH"/>
              </w:rPr>
              <w:t>’</w:t>
            </w:r>
            <w:r w:rsidRPr="00EB4DD0">
              <w:rPr>
                <w:lang w:val="fr-CH"/>
              </w:rPr>
              <w:t>Office national de la famille et de la population (ONFP) en collaboration avec l</w:t>
            </w:r>
            <w:r w:rsidR="00961388" w:rsidRPr="00EB4DD0">
              <w:rPr>
                <w:lang w:val="fr-CH"/>
              </w:rPr>
              <w:t>’</w:t>
            </w:r>
            <w:r w:rsidRPr="00EB4DD0">
              <w:rPr>
                <w:lang w:val="fr-CH"/>
              </w:rPr>
              <w:t xml:space="preserve">Agence espagnole de coopération internationale (AECI). </w:t>
            </w:r>
          </w:p>
        </w:tc>
        <w:tc>
          <w:tcPr>
            <w:tcW w:w="1984" w:type="dxa"/>
            <w:shd w:val="clear" w:color="auto" w:fill="auto"/>
          </w:tcPr>
          <w:p w:rsidR="00570B62" w:rsidRPr="00EB4DD0" w:rsidRDefault="00570B62" w:rsidP="00EB4DD0">
            <w:pPr>
              <w:spacing w:before="40" w:after="120"/>
              <w:ind w:right="113"/>
              <w:rPr>
                <w:lang w:val="fr-CH"/>
              </w:rPr>
            </w:pPr>
            <w:r w:rsidRPr="00EB4DD0">
              <w:rPr>
                <w:lang w:val="fr-CH"/>
              </w:rPr>
              <w:t>Centre de documentation, des archives et des publications de l</w:t>
            </w:r>
            <w:r w:rsidR="00961388" w:rsidRPr="00EB4DD0">
              <w:rPr>
                <w:lang w:val="fr-CH"/>
              </w:rPr>
              <w:t>’</w:t>
            </w:r>
            <w:r w:rsidRPr="00EB4DD0">
              <w:rPr>
                <w:lang w:val="fr-CH"/>
              </w:rPr>
              <w:t>ONFP.</w:t>
            </w:r>
          </w:p>
        </w:tc>
      </w:tr>
    </w:tbl>
    <w:p w:rsidR="00910D7D" w:rsidRDefault="00570B62" w:rsidP="00817F5C">
      <w:pPr>
        <w:pStyle w:val="SingleTxtG"/>
        <w:spacing w:before="240"/>
        <w:rPr>
          <w:lang w:val="fr-CH"/>
        </w:rPr>
      </w:pPr>
      <w:r w:rsidRPr="00961388">
        <w:rPr>
          <w:lang w:val="fr-CH"/>
        </w:rPr>
        <w:t>82.</w:t>
      </w:r>
      <w:r w:rsidRPr="00961388">
        <w:rPr>
          <w:lang w:val="fr-CH"/>
        </w:rPr>
        <w:tab/>
        <w:t>La réponse institutionnelle, vis-à-vis de la violence à l</w:t>
      </w:r>
      <w:r w:rsidR="00961388">
        <w:rPr>
          <w:lang w:val="fr-CH"/>
        </w:rPr>
        <w:t>’</w:t>
      </w:r>
      <w:r w:rsidRPr="00961388">
        <w:rPr>
          <w:lang w:val="fr-CH"/>
        </w:rPr>
        <w:t>égard des femmes fut également marquée, en 2006, par le lancement d</w:t>
      </w:r>
      <w:r w:rsidR="00961388">
        <w:rPr>
          <w:lang w:val="fr-CH"/>
        </w:rPr>
        <w:t>’</w:t>
      </w:r>
      <w:r w:rsidRPr="00961388">
        <w:rPr>
          <w:lang w:val="fr-CH"/>
        </w:rPr>
        <w:t>un projet de coopération entre l</w:t>
      </w:r>
      <w:r w:rsidR="00961388">
        <w:rPr>
          <w:lang w:val="fr-CH"/>
        </w:rPr>
        <w:t>’</w:t>
      </w:r>
      <w:r w:rsidRPr="00961388">
        <w:rPr>
          <w:lang w:val="fr-CH"/>
        </w:rPr>
        <w:t>Office national de la famille et de la population (ONFP) et l</w:t>
      </w:r>
      <w:r w:rsidR="00961388">
        <w:rPr>
          <w:lang w:val="fr-CH"/>
        </w:rPr>
        <w:t>’</w:t>
      </w:r>
      <w:r w:rsidRPr="00961388">
        <w:rPr>
          <w:lang w:val="fr-CH"/>
        </w:rPr>
        <w:t>Agence espagnole de coopération internationale pour le développement (AECID) portant sur «La promotion de l</w:t>
      </w:r>
      <w:r w:rsidR="00961388">
        <w:rPr>
          <w:lang w:val="fr-CH"/>
        </w:rPr>
        <w:t>’</w:t>
      </w:r>
      <w:r w:rsidRPr="00961388">
        <w:rPr>
          <w:lang w:val="fr-CH"/>
        </w:rPr>
        <w:t>équité de genre et la prévention de la violence à l</w:t>
      </w:r>
      <w:r w:rsidR="00961388">
        <w:rPr>
          <w:lang w:val="fr-CH"/>
        </w:rPr>
        <w:t>’</w:t>
      </w:r>
      <w:r w:rsidRPr="00961388">
        <w:rPr>
          <w:lang w:val="fr-CH"/>
        </w:rPr>
        <w:t>égard de la femme». Ce projet qui se base sur une approche préventive a pour objectifs essentiels de</w:t>
      </w:r>
      <w:r w:rsidR="00961388">
        <w:rPr>
          <w:lang w:val="fr-CH"/>
        </w:rPr>
        <w:t>:</w:t>
      </w:r>
    </w:p>
    <w:p w:rsidR="00910D7D" w:rsidRDefault="00570B62" w:rsidP="00910D7D">
      <w:pPr>
        <w:pStyle w:val="Bullet1G"/>
        <w:rPr>
          <w:lang w:val="fr-CH"/>
        </w:rPr>
      </w:pPr>
      <w:r w:rsidRPr="00961388">
        <w:rPr>
          <w:lang w:val="fr-CH"/>
        </w:rPr>
        <w:t>Contribuer à préserver la santé des femmes et améliorer leur qualité de vie à travers des services adaptés en matière de prise en charge psychosociale et médicale des femmes victimes de violence</w:t>
      </w:r>
      <w:r w:rsidR="00961388">
        <w:rPr>
          <w:lang w:val="fr-CH"/>
        </w:rPr>
        <w:t>;</w:t>
      </w:r>
    </w:p>
    <w:p w:rsidR="00910D7D" w:rsidRDefault="00570B62" w:rsidP="00910D7D">
      <w:pPr>
        <w:pStyle w:val="Bullet1G"/>
        <w:rPr>
          <w:lang w:val="fr-CH"/>
        </w:rPr>
      </w:pPr>
      <w:r w:rsidRPr="00961388">
        <w:rPr>
          <w:lang w:val="fr-CH"/>
        </w:rPr>
        <w:t>Développer et améliorer les compétences en matière de collecte de données et d</w:t>
      </w:r>
      <w:r w:rsidR="00961388">
        <w:rPr>
          <w:lang w:val="fr-CH"/>
        </w:rPr>
        <w:t>’</w:t>
      </w:r>
      <w:r w:rsidRPr="00961388">
        <w:rPr>
          <w:lang w:val="fr-CH"/>
        </w:rPr>
        <w:t>informations pour le dépistage et le suivi des cas de violence sexiste ainsi que des comportements et des croyances favorisant ce phénomène</w:t>
      </w:r>
      <w:r w:rsidR="00961388">
        <w:rPr>
          <w:lang w:val="fr-CH"/>
        </w:rPr>
        <w:t>;</w:t>
      </w:r>
    </w:p>
    <w:p w:rsidR="00910D7D" w:rsidRDefault="00570B62" w:rsidP="00F86FF8">
      <w:pPr>
        <w:pStyle w:val="Bullet1G"/>
        <w:keepNext/>
        <w:rPr>
          <w:lang w:val="fr-CH"/>
        </w:rPr>
      </w:pPr>
      <w:r w:rsidRPr="00961388">
        <w:rPr>
          <w:lang w:val="fr-CH"/>
        </w:rPr>
        <w:t>Mobiliser les instances gouvernementales et associatives pour une meilleure collaboration à la promotion de la culture de la non violence au sein de la famille</w:t>
      </w:r>
      <w:r w:rsidR="00961388">
        <w:rPr>
          <w:lang w:val="fr-CH"/>
        </w:rPr>
        <w:t>;</w:t>
      </w:r>
    </w:p>
    <w:p w:rsidR="00570B62" w:rsidRPr="00961388" w:rsidRDefault="00570B62" w:rsidP="00910D7D">
      <w:pPr>
        <w:pStyle w:val="Bullet1G"/>
        <w:rPr>
          <w:lang w:val="fr-CH"/>
        </w:rPr>
      </w:pPr>
      <w:r w:rsidRPr="00961388">
        <w:rPr>
          <w:lang w:val="fr-CH"/>
        </w:rPr>
        <w:t>Consolider les compétences des prestataires de services dans le domaine du dépistage, de la prise en charge et de la prévention de la violence de genre.</w:t>
      </w:r>
    </w:p>
    <w:p w:rsidR="00570B62" w:rsidRPr="00961388" w:rsidRDefault="00910D7D" w:rsidP="00910D7D">
      <w:pPr>
        <w:pStyle w:val="H4G"/>
        <w:rPr>
          <w:lang w:val="fr-CH"/>
        </w:rPr>
      </w:pPr>
      <w:r>
        <w:rPr>
          <w:lang w:val="fr-CH"/>
        </w:rPr>
        <w:tab/>
      </w:r>
      <w:r w:rsidR="00570B62" w:rsidRPr="00961388">
        <w:rPr>
          <w:lang w:val="fr-CH"/>
        </w:rPr>
        <w:t>3</w:t>
      </w:r>
      <w:r>
        <w:rPr>
          <w:lang w:val="fr-CH"/>
        </w:rPr>
        <w:t>.</w:t>
      </w:r>
      <w:r>
        <w:rPr>
          <w:lang w:val="fr-CH"/>
        </w:rPr>
        <w:tab/>
      </w:r>
      <w:r w:rsidR="00570B62" w:rsidRPr="00961388">
        <w:rPr>
          <w:lang w:val="fr-CH"/>
        </w:rPr>
        <w:t>Données statistiques sur la violence à l</w:t>
      </w:r>
      <w:r w:rsidR="00961388">
        <w:rPr>
          <w:lang w:val="fr-CH"/>
        </w:rPr>
        <w:t>’</w:t>
      </w:r>
      <w:r w:rsidR="00570B62" w:rsidRPr="00961388">
        <w:rPr>
          <w:lang w:val="fr-CH"/>
        </w:rPr>
        <w:t>égard des femmes, notamment la violence familiale, la violence sexuelle et la violence à l</w:t>
      </w:r>
      <w:r w:rsidR="00961388">
        <w:rPr>
          <w:lang w:val="fr-CH"/>
        </w:rPr>
        <w:t>’</w:t>
      </w:r>
      <w:r w:rsidR="00570B62" w:rsidRPr="00961388">
        <w:rPr>
          <w:lang w:val="fr-CH"/>
        </w:rPr>
        <w:t>égard des femmes dans les centres de détention et prisons</w:t>
      </w:r>
    </w:p>
    <w:p w:rsidR="00817F5C" w:rsidRPr="00817F5C" w:rsidRDefault="00570B62" w:rsidP="00910D7D">
      <w:pPr>
        <w:pStyle w:val="SingleTxtG"/>
        <w:rPr>
          <w:bCs/>
          <w:iCs/>
          <w:lang w:val="fr-CH"/>
        </w:rPr>
      </w:pPr>
      <w:r w:rsidRPr="00961388">
        <w:rPr>
          <w:lang w:val="fr-CH"/>
        </w:rPr>
        <w:t>83.</w:t>
      </w:r>
      <w:r w:rsidRPr="00961388">
        <w:rPr>
          <w:lang w:val="fr-CH"/>
        </w:rPr>
        <w:tab/>
        <w:t>Les données statistiques sur la violence à l</w:t>
      </w:r>
      <w:r w:rsidR="00961388">
        <w:rPr>
          <w:lang w:val="fr-CH"/>
        </w:rPr>
        <w:t>’</w:t>
      </w:r>
      <w:r w:rsidRPr="00961388">
        <w:rPr>
          <w:lang w:val="fr-CH"/>
        </w:rPr>
        <w:t>égard des femmes, notamment la violence familiale, la violence sexuelle et la violence à l</w:t>
      </w:r>
      <w:r w:rsidR="00961388">
        <w:rPr>
          <w:lang w:val="fr-CH"/>
        </w:rPr>
        <w:t>’</w:t>
      </w:r>
      <w:r w:rsidRPr="00961388">
        <w:rPr>
          <w:lang w:val="fr-CH"/>
        </w:rPr>
        <w:t>égard des femmes dans les centres de détention et les prisons se présentent comme suit</w:t>
      </w:r>
      <w:r w:rsidR="00961388">
        <w:rPr>
          <w:lang w:val="fr-CH"/>
        </w:rPr>
        <w:t>:</w:t>
      </w:r>
      <w:r w:rsidR="00817F5C" w:rsidRPr="00817F5C">
        <w:rPr>
          <w:b/>
          <w:bCs/>
          <w:i/>
          <w:iCs/>
          <w:lang w:val="fr-CH"/>
        </w:rPr>
        <w:t xml:space="preserve"> </w:t>
      </w:r>
    </w:p>
    <w:p w:rsidR="00570B62" w:rsidRPr="00961388" w:rsidRDefault="00817F5C" w:rsidP="00910D7D">
      <w:pPr>
        <w:pStyle w:val="SingleTxtG"/>
        <w:rPr>
          <w:lang w:val="fr-CH"/>
        </w:rPr>
      </w:pPr>
      <w:r w:rsidRPr="00961388">
        <w:rPr>
          <w:b/>
          <w:bCs/>
          <w:i/>
          <w:iCs/>
          <w:lang w:val="fr-CH"/>
        </w:rPr>
        <w:t>Évolution des procès verbaux au parquet relatifs à la violence conjugale</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000" w:firstRow="0" w:lastRow="0" w:firstColumn="0" w:lastColumn="0" w:noHBand="0" w:noVBand="0"/>
      </w:tblPr>
      <w:tblGrid>
        <w:gridCol w:w="3566"/>
        <w:gridCol w:w="760"/>
        <w:gridCol w:w="761"/>
        <w:gridCol w:w="761"/>
        <w:gridCol w:w="761"/>
        <w:gridCol w:w="761"/>
      </w:tblGrid>
      <w:tr w:rsidR="00817F5C" w:rsidRPr="00817F5C" w:rsidTr="000A0E2E">
        <w:trPr>
          <w:cantSplit/>
          <w:tblHeader/>
        </w:trPr>
        <w:tc>
          <w:tcPr>
            <w:tcW w:w="3566" w:type="dxa"/>
            <w:vMerge w:val="restart"/>
            <w:tcBorders>
              <w:top w:val="single" w:sz="4" w:space="0" w:color="auto"/>
              <w:bottom w:val="single" w:sz="12" w:space="0" w:color="auto"/>
            </w:tcBorders>
            <w:shd w:val="clear" w:color="000000" w:fill="auto"/>
            <w:noWrap/>
            <w:vAlign w:val="bottom"/>
          </w:tcPr>
          <w:p w:rsidR="00570B62" w:rsidRPr="00817F5C" w:rsidRDefault="00817F5C" w:rsidP="00817F5C">
            <w:pPr>
              <w:spacing w:before="80" w:after="80" w:line="200" w:lineRule="exact"/>
              <w:rPr>
                <w:i/>
                <w:iCs/>
                <w:sz w:val="16"/>
                <w:lang w:val="fr-CH"/>
              </w:rPr>
            </w:pPr>
            <w:r>
              <w:rPr>
                <w:i/>
                <w:iCs/>
                <w:sz w:val="16"/>
                <w:lang w:val="fr-CH"/>
              </w:rPr>
              <w:t>Activités</w:t>
            </w:r>
          </w:p>
        </w:tc>
        <w:tc>
          <w:tcPr>
            <w:tcW w:w="3804" w:type="dxa"/>
            <w:gridSpan w:val="5"/>
            <w:tcBorders>
              <w:top w:val="single" w:sz="4" w:space="0" w:color="auto"/>
              <w:bottom w:val="single" w:sz="4" w:space="0" w:color="auto"/>
            </w:tcBorders>
            <w:shd w:val="clear" w:color="000000" w:fill="auto"/>
            <w:noWrap/>
            <w:vAlign w:val="bottom"/>
          </w:tcPr>
          <w:p w:rsidR="00570B62" w:rsidRPr="00817F5C" w:rsidRDefault="00817F5C" w:rsidP="00817F5C">
            <w:pPr>
              <w:spacing w:before="80" w:after="80" w:line="200" w:lineRule="exact"/>
              <w:jc w:val="center"/>
              <w:rPr>
                <w:i/>
                <w:iCs/>
                <w:sz w:val="16"/>
                <w:lang w:val="fr-CH"/>
              </w:rPr>
            </w:pPr>
            <w:r>
              <w:rPr>
                <w:i/>
                <w:iCs/>
                <w:sz w:val="16"/>
                <w:lang w:val="fr-CH"/>
              </w:rPr>
              <w:t>Année judiciaire</w:t>
            </w:r>
          </w:p>
        </w:tc>
      </w:tr>
      <w:tr w:rsidR="00817F5C" w:rsidRPr="00817F5C" w:rsidTr="000A0E2E">
        <w:trPr>
          <w:cantSplit/>
          <w:tblHeader/>
        </w:trPr>
        <w:tc>
          <w:tcPr>
            <w:tcW w:w="3566" w:type="dxa"/>
            <w:vMerge/>
            <w:tcBorders>
              <w:top w:val="single" w:sz="12" w:space="0" w:color="auto"/>
              <w:bottom w:val="single" w:sz="12" w:space="0" w:color="auto"/>
            </w:tcBorders>
            <w:shd w:val="clear" w:color="000000" w:fill="auto"/>
            <w:vAlign w:val="bottom"/>
          </w:tcPr>
          <w:p w:rsidR="00570B62" w:rsidRPr="00817F5C" w:rsidRDefault="00570B62" w:rsidP="00817F5C">
            <w:pPr>
              <w:suppressAutoHyphens w:val="0"/>
              <w:spacing w:before="40" w:after="40" w:line="220" w:lineRule="exact"/>
              <w:ind w:right="113"/>
              <w:rPr>
                <w:i/>
                <w:iCs/>
                <w:sz w:val="18"/>
                <w:lang w:val="fr-CH"/>
              </w:rPr>
            </w:pPr>
          </w:p>
        </w:tc>
        <w:tc>
          <w:tcPr>
            <w:tcW w:w="760" w:type="dxa"/>
            <w:tcBorders>
              <w:top w:val="single" w:sz="4" w:space="0" w:color="auto"/>
              <w:bottom w:val="single" w:sz="12" w:space="0" w:color="auto"/>
            </w:tcBorders>
            <w:shd w:val="clear" w:color="000000" w:fill="auto"/>
            <w:noWrap/>
            <w:vAlign w:val="bottom"/>
          </w:tcPr>
          <w:p w:rsidR="00570B62" w:rsidRPr="000A0E2E" w:rsidRDefault="000A0E2E" w:rsidP="000A0E2E">
            <w:pPr>
              <w:spacing w:before="80" w:after="80" w:line="200" w:lineRule="exact"/>
              <w:jc w:val="right"/>
              <w:rPr>
                <w:i/>
                <w:sz w:val="16"/>
                <w:szCs w:val="16"/>
                <w:lang w:val="fr-CH"/>
              </w:rPr>
            </w:pPr>
            <w:r w:rsidRPr="000A0E2E">
              <w:rPr>
                <w:i/>
                <w:sz w:val="16"/>
                <w:szCs w:val="16"/>
                <w:lang w:val="fr-CH"/>
              </w:rPr>
              <w:t>02-03</w:t>
            </w:r>
          </w:p>
        </w:tc>
        <w:tc>
          <w:tcPr>
            <w:tcW w:w="761" w:type="dxa"/>
            <w:tcBorders>
              <w:top w:val="single" w:sz="4" w:space="0" w:color="auto"/>
              <w:bottom w:val="single" w:sz="12" w:space="0" w:color="auto"/>
            </w:tcBorders>
            <w:shd w:val="clear" w:color="000000" w:fill="auto"/>
            <w:noWrap/>
            <w:vAlign w:val="bottom"/>
          </w:tcPr>
          <w:p w:rsidR="00570B62" w:rsidRPr="00817F5C" w:rsidRDefault="00BC4A1A" w:rsidP="00BC4A1A">
            <w:pPr>
              <w:spacing w:before="80" w:after="80" w:line="200" w:lineRule="exact"/>
              <w:jc w:val="right"/>
              <w:rPr>
                <w:i/>
                <w:sz w:val="16"/>
                <w:szCs w:val="16"/>
                <w:lang w:val="fr-CH"/>
              </w:rPr>
            </w:pPr>
            <w:r>
              <w:rPr>
                <w:i/>
                <w:sz w:val="16"/>
                <w:szCs w:val="16"/>
                <w:lang w:val="fr-CH"/>
              </w:rPr>
              <w:t>03-04</w:t>
            </w:r>
          </w:p>
        </w:tc>
        <w:tc>
          <w:tcPr>
            <w:tcW w:w="761" w:type="dxa"/>
            <w:tcBorders>
              <w:top w:val="single" w:sz="4" w:space="0" w:color="auto"/>
              <w:bottom w:val="single" w:sz="12" w:space="0" w:color="auto"/>
            </w:tcBorders>
            <w:shd w:val="clear" w:color="000000" w:fill="auto"/>
            <w:noWrap/>
            <w:vAlign w:val="bottom"/>
          </w:tcPr>
          <w:p w:rsidR="00570B62" w:rsidRPr="00817F5C" w:rsidRDefault="00BC4A1A" w:rsidP="00BC4A1A">
            <w:pPr>
              <w:spacing w:before="80" w:after="80" w:line="200" w:lineRule="exact"/>
              <w:jc w:val="right"/>
              <w:rPr>
                <w:i/>
                <w:sz w:val="16"/>
                <w:szCs w:val="16"/>
                <w:lang w:val="fr-CH"/>
              </w:rPr>
            </w:pPr>
            <w:r>
              <w:rPr>
                <w:i/>
                <w:sz w:val="16"/>
                <w:szCs w:val="16"/>
                <w:lang w:val="fr-CH"/>
              </w:rPr>
              <w:t>04-05</w:t>
            </w:r>
          </w:p>
        </w:tc>
        <w:tc>
          <w:tcPr>
            <w:tcW w:w="761" w:type="dxa"/>
            <w:tcBorders>
              <w:top w:val="single" w:sz="4" w:space="0" w:color="auto"/>
              <w:bottom w:val="single" w:sz="12" w:space="0" w:color="auto"/>
            </w:tcBorders>
            <w:shd w:val="clear" w:color="000000" w:fill="auto"/>
            <w:noWrap/>
            <w:vAlign w:val="bottom"/>
          </w:tcPr>
          <w:p w:rsidR="00570B62" w:rsidRPr="00817F5C" w:rsidRDefault="00570B62" w:rsidP="00817F5C">
            <w:pPr>
              <w:spacing w:before="80" w:after="80" w:line="200" w:lineRule="exact"/>
              <w:jc w:val="right"/>
              <w:rPr>
                <w:i/>
                <w:sz w:val="16"/>
                <w:szCs w:val="16"/>
                <w:lang w:val="fr-CH"/>
              </w:rPr>
            </w:pPr>
            <w:r w:rsidRPr="00817F5C">
              <w:rPr>
                <w:i/>
                <w:sz w:val="16"/>
                <w:szCs w:val="16"/>
                <w:lang w:val="fr-CH"/>
              </w:rPr>
              <w:t>05-06</w:t>
            </w:r>
          </w:p>
        </w:tc>
        <w:tc>
          <w:tcPr>
            <w:tcW w:w="761" w:type="dxa"/>
            <w:tcBorders>
              <w:top w:val="single" w:sz="4" w:space="0" w:color="auto"/>
              <w:bottom w:val="single" w:sz="12" w:space="0" w:color="auto"/>
            </w:tcBorders>
            <w:shd w:val="clear" w:color="000000" w:fill="auto"/>
            <w:noWrap/>
            <w:vAlign w:val="bottom"/>
          </w:tcPr>
          <w:p w:rsidR="00570B62" w:rsidRPr="00817F5C" w:rsidRDefault="00570B62" w:rsidP="00817F5C">
            <w:pPr>
              <w:spacing w:before="80" w:after="80" w:line="200" w:lineRule="exact"/>
              <w:jc w:val="right"/>
              <w:rPr>
                <w:i/>
                <w:sz w:val="16"/>
                <w:szCs w:val="16"/>
                <w:lang w:val="fr-CH"/>
              </w:rPr>
            </w:pPr>
            <w:r w:rsidRPr="00817F5C">
              <w:rPr>
                <w:i/>
                <w:sz w:val="16"/>
                <w:szCs w:val="16"/>
                <w:lang w:val="fr-CH"/>
              </w:rPr>
              <w:t>06-07</w:t>
            </w:r>
          </w:p>
        </w:tc>
      </w:tr>
      <w:tr w:rsidR="00817F5C" w:rsidRPr="00817F5C" w:rsidTr="000A0E2E">
        <w:tc>
          <w:tcPr>
            <w:tcW w:w="3566" w:type="dxa"/>
            <w:tcBorders>
              <w:top w:val="single" w:sz="12" w:space="0" w:color="auto"/>
            </w:tcBorders>
            <w:shd w:val="clear" w:color="000000" w:fill="auto"/>
          </w:tcPr>
          <w:p w:rsidR="00570B62" w:rsidRPr="00817F5C" w:rsidRDefault="00570B62" w:rsidP="00817F5C">
            <w:pPr>
              <w:spacing w:before="40" w:after="40" w:line="220" w:lineRule="exact"/>
              <w:rPr>
                <w:sz w:val="18"/>
                <w:lang w:val="fr-CH"/>
              </w:rPr>
            </w:pPr>
            <w:r w:rsidRPr="00817F5C">
              <w:rPr>
                <w:sz w:val="18"/>
                <w:lang w:val="fr-CH"/>
              </w:rPr>
              <w:t>Saisine</w:t>
            </w:r>
          </w:p>
        </w:tc>
        <w:tc>
          <w:tcPr>
            <w:tcW w:w="760" w:type="dxa"/>
            <w:tcBorders>
              <w:top w:val="single" w:sz="12" w:space="0" w:color="auto"/>
            </w:tcBorders>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6.799</w:t>
            </w:r>
          </w:p>
        </w:tc>
        <w:tc>
          <w:tcPr>
            <w:tcW w:w="761" w:type="dxa"/>
            <w:tcBorders>
              <w:top w:val="single" w:sz="12" w:space="0" w:color="auto"/>
            </w:tcBorders>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6.277</w:t>
            </w:r>
          </w:p>
        </w:tc>
        <w:tc>
          <w:tcPr>
            <w:tcW w:w="761" w:type="dxa"/>
            <w:tcBorders>
              <w:top w:val="single" w:sz="12" w:space="0" w:color="auto"/>
            </w:tcBorders>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6.671</w:t>
            </w:r>
          </w:p>
        </w:tc>
        <w:tc>
          <w:tcPr>
            <w:tcW w:w="761" w:type="dxa"/>
            <w:tcBorders>
              <w:top w:val="single" w:sz="12" w:space="0" w:color="auto"/>
            </w:tcBorders>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7.252</w:t>
            </w:r>
          </w:p>
        </w:tc>
        <w:tc>
          <w:tcPr>
            <w:tcW w:w="761" w:type="dxa"/>
            <w:tcBorders>
              <w:top w:val="single" w:sz="12" w:space="0" w:color="auto"/>
            </w:tcBorders>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7.820</w:t>
            </w:r>
          </w:p>
        </w:tc>
      </w:tr>
      <w:tr w:rsidR="00817F5C" w:rsidRPr="00817F5C" w:rsidTr="000A0E2E">
        <w:tc>
          <w:tcPr>
            <w:tcW w:w="3566" w:type="dxa"/>
            <w:shd w:val="clear" w:color="000000" w:fill="auto"/>
          </w:tcPr>
          <w:p w:rsidR="00570B62" w:rsidRPr="00817F5C" w:rsidRDefault="00570B62" w:rsidP="00817F5C">
            <w:pPr>
              <w:spacing w:before="40" w:after="40" w:line="220" w:lineRule="exact"/>
              <w:rPr>
                <w:sz w:val="18"/>
                <w:lang w:val="fr-CH"/>
              </w:rPr>
            </w:pPr>
            <w:r w:rsidRPr="00817F5C">
              <w:rPr>
                <w:sz w:val="18"/>
                <w:lang w:val="fr-CH"/>
              </w:rPr>
              <w:t>P.V examinés</w:t>
            </w:r>
          </w:p>
        </w:tc>
        <w:tc>
          <w:tcPr>
            <w:tcW w:w="760" w:type="dxa"/>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3.905</w:t>
            </w:r>
          </w:p>
        </w:tc>
        <w:tc>
          <w:tcPr>
            <w:tcW w:w="761" w:type="dxa"/>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3.792</w:t>
            </w:r>
          </w:p>
        </w:tc>
        <w:tc>
          <w:tcPr>
            <w:tcW w:w="761" w:type="dxa"/>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4.486</w:t>
            </w:r>
          </w:p>
        </w:tc>
        <w:tc>
          <w:tcPr>
            <w:tcW w:w="761" w:type="dxa"/>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5.192</w:t>
            </w:r>
          </w:p>
        </w:tc>
        <w:tc>
          <w:tcPr>
            <w:tcW w:w="761" w:type="dxa"/>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5.750</w:t>
            </w:r>
          </w:p>
        </w:tc>
      </w:tr>
      <w:tr w:rsidR="00817F5C" w:rsidRPr="00817F5C" w:rsidTr="000A0E2E">
        <w:tc>
          <w:tcPr>
            <w:tcW w:w="3566" w:type="dxa"/>
            <w:shd w:val="clear" w:color="000000" w:fill="auto"/>
          </w:tcPr>
          <w:p w:rsidR="00570B62" w:rsidRPr="00817F5C" w:rsidRDefault="00570B62" w:rsidP="00817F5C">
            <w:pPr>
              <w:spacing w:before="40" w:after="40" w:line="220" w:lineRule="exact"/>
              <w:rPr>
                <w:sz w:val="18"/>
                <w:lang w:val="fr-CH"/>
              </w:rPr>
            </w:pPr>
            <w:r w:rsidRPr="00817F5C">
              <w:rPr>
                <w:sz w:val="18"/>
                <w:lang w:val="fr-CH"/>
              </w:rPr>
              <w:t>Classement sans suite ou désistement</w:t>
            </w:r>
          </w:p>
        </w:tc>
        <w:tc>
          <w:tcPr>
            <w:tcW w:w="760" w:type="dxa"/>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1.558</w:t>
            </w:r>
          </w:p>
        </w:tc>
        <w:tc>
          <w:tcPr>
            <w:tcW w:w="761" w:type="dxa"/>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1.857</w:t>
            </w:r>
          </w:p>
        </w:tc>
        <w:tc>
          <w:tcPr>
            <w:tcW w:w="761" w:type="dxa"/>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1.652</w:t>
            </w:r>
          </w:p>
        </w:tc>
        <w:tc>
          <w:tcPr>
            <w:tcW w:w="761" w:type="dxa"/>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2.021</w:t>
            </w:r>
          </w:p>
        </w:tc>
        <w:tc>
          <w:tcPr>
            <w:tcW w:w="761" w:type="dxa"/>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2.204</w:t>
            </w:r>
          </w:p>
        </w:tc>
      </w:tr>
      <w:tr w:rsidR="00817F5C" w:rsidRPr="00817F5C" w:rsidTr="000A0E2E">
        <w:tc>
          <w:tcPr>
            <w:tcW w:w="3566" w:type="dxa"/>
            <w:shd w:val="clear" w:color="000000" w:fill="auto"/>
          </w:tcPr>
          <w:p w:rsidR="00570B62" w:rsidRPr="00817F5C" w:rsidRDefault="00570B62" w:rsidP="00817F5C">
            <w:pPr>
              <w:spacing w:before="40" w:after="40" w:line="220" w:lineRule="exact"/>
              <w:rPr>
                <w:sz w:val="18"/>
                <w:lang w:val="fr-CH"/>
              </w:rPr>
            </w:pPr>
            <w:r w:rsidRPr="00817F5C">
              <w:rPr>
                <w:sz w:val="18"/>
                <w:lang w:val="fr-CH"/>
              </w:rPr>
              <w:t>Renvoi devant le juge cantonal</w:t>
            </w:r>
          </w:p>
        </w:tc>
        <w:tc>
          <w:tcPr>
            <w:tcW w:w="760" w:type="dxa"/>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353</w:t>
            </w:r>
          </w:p>
        </w:tc>
        <w:tc>
          <w:tcPr>
            <w:tcW w:w="761" w:type="dxa"/>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243</w:t>
            </w:r>
          </w:p>
        </w:tc>
        <w:tc>
          <w:tcPr>
            <w:tcW w:w="761" w:type="dxa"/>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284</w:t>
            </w:r>
          </w:p>
        </w:tc>
        <w:tc>
          <w:tcPr>
            <w:tcW w:w="761" w:type="dxa"/>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504</w:t>
            </w:r>
          </w:p>
        </w:tc>
        <w:tc>
          <w:tcPr>
            <w:tcW w:w="761" w:type="dxa"/>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318</w:t>
            </w:r>
          </w:p>
        </w:tc>
      </w:tr>
      <w:tr w:rsidR="00817F5C" w:rsidRPr="00817F5C" w:rsidTr="000A0E2E">
        <w:tc>
          <w:tcPr>
            <w:tcW w:w="3566" w:type="dxa"/>
            <w:shd w:val="clear" w:color="000000" w:fill="auto"/>
          </w:tcPr>
          <w:p w:rsidR="00570B62" w:rsidRPr="00817F5C" w:rsidRDefault="00570B62" w:rsidP="00817F5C">
            <w:pPr>
              <w:spacing w:before="40" w:after="40" w:line="220" w:lineRule="exact"/>
              <w:rPr>
                <w:sz w:val="18"/>
                <w:lang w:val="fr-CH"/>
              </w:rPr>
            </w:pPr>
            <w:r w:rsidRPr="00817F5C">
              <w:rPr>
                <w:sz w:val="18"/>
                <w:lang w:val="fr-CH"/>
              </w:rPr>
              <w:t>Renvoi devant le tribunal correctionnel</w:t>
            </w:r>
          </w:p>
        </w:tc>
        <w:tc>
          <w:tcPr>
            <w:tcW w:w="760" w:type="dxa"/>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1.589</w:t>
            </w:r>
          </w:p>
        </w:tc>
        <w:tc>
          <w:tcPr>
            <w:tcW w:w="761" w:type="dxa"/>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1.972</w:t>
            </w:r>
          </w:p>
        </w:tc>
        <w:tc>
          <w:tcPr>
            <w:tcW w:w="761" w:type="dxa"/>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2.091</w:t>
            </w:r>
          </w:p>
        </w:tc>
        <w:tc>
          <w:tcPr>
            <w:tcW w:w="761" w:type="dxa"/>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1.710</w:t>
            </w:r>
          </w:p>
        </w:tc>
        <w:tc>
          <w:tcPr>
            <w:tcW w:w="761" w:type="dxa"/>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2.217</w:t>
            </w:r>
          </w:p>
        </w:tc>
      </w:tr>
      <w:tr w:rsidR="00817F5C" w:rsidRPr="00817F5C" w:rsidTr="001C0F49">
        <w:tc>
          <w:tcPr>
            <w:tcW w:w="3566" w:type="dxa"/>
            <w:tcBorders>
              <w:bottom w:val="nil"/>
            </w:tcBorders>
            <w:shd w:val="clear" w:color="000000" w:fill="auto"/>
          </w:tcPr>
          <w:p w:rsidR="00570B62" w:rsidRPr="00817F5C" w:rsidRDefault="00570B62" w:rsidP="00817F5C">
            <w:pPr>
              <w:spacing w:before="40" w:after="40" w:line="220" w:lineRule="exact"/>
              <w:rPr>
                <w:sz w:val="18"/>
                <w:lang w:val="fr-CH"/>
              </w:rPr>
            </w:pPr>
            <w:r w:rsidRPr="00817F5C">
              <w:rPr>
                <w:sz w:val="18"/>
                <w:lang w:val="fr-CH"/>
              </w:rPr>
              <w:t>Ouverture d</w:t>
            </w:r>
            <w:r w:rsidR="00961388" w:rsidRPr="00817F5C">
              <w:rPr>
                <w:sz w:val="18"/>
                <w:lang w:val="fr-CH"/>
              </w:rPr>
              <w:t>’</w:t>
            </w:r>
            <w:r w:rsidRPr="00817F5C">
              <w:rPr>
                <w:sz w:val="18"/>
                <w:lang w:val="fr-CH"/>
              </w:rPr>
              <w:t>instruction</w:t>
            </w:r>
          </w:p>
        </w:tc>
        <w:tc>
          <w:tcPr>
            <w:tcW w:w="760" w:type="dxa"/>
            <w:tcBorders>
              <w:bottom w:val="nil"/>
            </w:tcBorders>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7</w:t>
            </w:r>
          </w:p>
        </w:tc>
        <w:tc>
          <w:tcPr>
            <w:tcW w:w="761" w:type="dxa"/>
            <w:tcBorders>
              <w:bottom w:val="nil"/>
            </w:tcBorders>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9</w:t>
            </w:r>
          </w:p>
        </w:tc>
        <w:tc>
          <w:tcPr>
            <w:tcW w:w="761" w:type="dxa"/>
            <w:tcBorders>
              <w:bottom w:val="nil"/>
            </w:tcBorders>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54</w:t>
            </w:r>
          </w:p>
        </w:tc>
        <w:tc>
          <w:tcPr>
            <w:tcW w:w="761" w:type="dxa"/>
            <w:tcBorders>
              <w:bottom w:val="nil"/>
            </w:tcBorders>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131</w:t>
            </w:r>
          </w:p>
        </w:tc>
        <w:tc>
          <w:tcPr>
            <w:tcW w:w="761" w:type="dxa"/>
            <w:tcBorders>
              <w:bottom w:val="nil"/>
            </w:tcBorders>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45</w:t>
            </w:r>
          </w:p>
        </w:tc>
      </w:tr>
      <w:tr w:rsidR="00817F5C" w:rsidRPr="00817F5C" w:rsidTr="001C0F49">
        <w:tc>
          <w:tcPr>
            <w:tcW w:w="3566" w:type="dxa"/>
            <w:tcBorders>
              <w:top w:val="nil"/>
              <w:bottom w:val="single" w:sz="12" w:space="0" w:color="auto"/>
            </w:tcBorders>
            <w:shd w:val="clear" w:color="000000" w:fill="auto"/>
          </w:tcPr>
          <w:p w:rsidR="00570B62" w:rsidRPr="00817F5C" w:rsidRDefault="00570B62" w:rsidP="00817F5C">
            <w:pPr>
              <w:spacing w:before="40" w:after="40" w:line="220" w:lineRule="exact"/>
              <w:rPr>
                <w:sz w:val="18"/>
                <w:lang w:val="fr-CH"/>
              </w:rPr>
            </w:pPr>
            <w:r w:rsidRPr="00817F5C">
              <w:rPr>
                <w:sz w:val="18"/>
                <w:lang w:val="fr-CH"/>
              </w:rPr>
              <w:t>Classement pour d</w:t>
            </w:r>
            <w:r w:rsidR="00961388" w:rsidRPr="00817F5C">
              <w:rPr>
                <w:sz w:val="18"/>
                <w:lang w:val="fr-CH"/>
              </w:rPr>
              <w:t>’</w:t>
            </w:r>
            <w:r w:rsidRPr="00817F5C">
              <w:rPr>
                <w:sz w:val="18"/>
                <w:lang w:val="fr-CH"/>
              </w:rPr>
              <w:t>autres motifs</w:t>
            </w:r>
          </w:p>
        </w:tc>
        <w:tc>
          <w:tcPr>
            <w:tcW w:w="760" w:type="dxa"/>
            <w:tcBorders>
              <w:top w:val="nil"/>
              <w:bottom w:val="single" w:sz="12" w:space="0" w:color="auto"/>
            </w:tcBorders>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398</w:t>
            </w:r>
          </w:p>
        </w:tc>
        <w:tc>
          <w:tcPr>
            <w:tcW w:w="761" w:type="dxa"/>
            <w:tcBorders>
              <w:top w:val="nil"/>
              <w:bottom w:val="single" w:sz="12" w:space="0" w:color="auto"/>
            </w:tcBorders>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500</w:t>
            </w:r>
          </w:p>
        </w:tc>
        <w:tc>
          <w:tcPr>
            <w:tcW w:w="761" w:type="dxa"/>
            <w:tcBorders>
              <w:top w:val="nil"/>
              <w:bottom w:val="single" w:sz="12" w:space="0" w:color="auto"/>
            </w:tcBorders>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405</w:t>
            </w:r>
          </w:p>
        </w:tc>
        <w:tc>
          <w:tcPr>
            <w:tcW w:w="761" w:type="dxa"/>
            <w:tcBorders>
              <w:top w:val="nil"/>
              <w:bottom w:val="single" w:sz="12" w:space="0" w:color="auto"/>
            </w:tcBorders>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826</w:t>
            </w:r>
          </w:p>
        </w:tc>
        <w:tc>
          <w:tcPr>
            <w:tcW w:w="761" w:type="dxa"/>
            <w:tcBorders>
              <w:top w:val="nil"/>
              <w:bottom w:val="single" w:sz="12" w:space="0" w:color="auto"/>
            </w:tcBorders>
            <w:shd w:val="clear" w:color="000000" w:fill="auto"/>
            <w:noWrap/>
            <w:vAlign w:val="bottom"/>
          </w:tcPr>
          <w:p w:rsidR="00570B62" w:rsidRPr="00817F5C" w:rsidRDefault="00570B62" w:rsidP="00817F5C">
            <w:pPr>
              <w:spacing w:before="40" w:after="40" w:line="220" w:lineRule="exact"/>
              <w:jc w:val="right"/>
              <w:rPr>
                <w:sz w:val="18"/>
                <w:lang w:val="fr-CH"/>
              </w:rPr>
            </w:pPr>
            <w:r w:rsidRPr="00817F5C">
              <w:rPr>
                <w:sz w:val="18"/>
                <w:lang w:val="fr-CH"/>
              </w:rPr>
              <w:t>966</w:t>
            </w:r>
          </w:p>
        </w:tc>
      </w:tr>
    </w:tbl>
    <w:p w:rsidR="00570B62" w:rsidRPr="00961388" w:rsidRDefault="00570B62" w:rsidP="00817F5C">
      <w:pPr>
        <w:pStyle w:val="SingleTxtG"/>
        <w:spacing w:before="240"/>
        <w:rPr>
          <w:lang w:val="fr-CH"/>
        </w:rPr>
      </w:pPr>
      <w:r w:rsidRPr="00961388">
        <w:rPr>
          <w:lang w:val="fr-CH"/>
        </w:rPr>
        <w:t>84.</w:t>
      </w:r>
      <w:r w:rsidRPr="00961388">
        <w:rPr>
          <w:lang w:val="fr-CH"/>
        </w:rPr>
        <w:tab/>
        <w:t>Statistiques concernant la violence conjugale à l</w:t>
      </w:r>
      <w:r w:rsidR="00961388">
        <w:rPr>
          <w:lang w:val="fr-CH"/>
        </w:rPr>
        <w:t>’</w:t>
      </w:r>
      <w:r w:rsidRPr="00961388">
        <w:rPr>
          <w:lang w:val="fr-CH"/>
        </w:rPr>
        <w:t>égard des femmes</w:t>
      </w:r>
      <w:r w:rsidR="00961388">
        <w:rPr>
          <w:lang w:val="fr-CH"/>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466"/>
        <w:gridCol w:w="3904"/>
      </w:tblGrid>
      <w:tr w:rsidR="00570B62" w:rsidRPr="00BC4A1A" w:rsidTr="00BC4A1A">
        <w:trPr>
          <w:tblHeader/>
        </w:trPr>
        <w:tc>
          <w:tcPr>
            <w:tcW w:w="3466" w:type="dxa"/>
            <w:tcBorders>
              <w:top w:val="single" w:sz="4" w:space="0" w:color="auto"/>
              <w:bottom w:val="single" w:sz="12" w:space="0" w:color="auto"/>
            </w:tcBorders>
            <w:shd w:val="clear" w:color="auto" w:fill="auto"/>
            <w:vAlign w:val="bottom"/>
          </w:tcPr>
          <w:p w:rsidR="00570B62" w:rsidRPr="00BC4A1A" w:rsidRDefault="00570B62" w:rsidP="00BC4A1A">
            <w:pPr>
              <w:spacing w:before="80" w:after="80" w:line="200" w:lineRule="exact"/>
              <w:rPr>
                <w:i/>
                <w:iCs/>
                <w:sz w:val="16"/>
                <w:lang w:val="fr-CH"/>
              </w:rPr>
            </w:pPr>
            <w:r w:rsidRPr="00BC4A1A">
              <w:rPr>
                <w:i/>
                <w:iCs/>
                <w:sz w:val="16"/>
                <w:lang w:val="fr-CH"/>
              </w:rPr>
              <w:t>Année</w:t>
            </w:r>
          </w:p>
        </w:tc>
        <w:tc>
          <w:tcPr>
            <w:tcW w:w="3904" w:type="dxa"/>
            <w:tcBorders>
              <w:top w:val="single" w:sz="4" w:space="0" w:color="auto"/>
              <w:bottom w:val="single" w:sz="12" w:space="0" w:color="auto"/>
            </w:tcBorders>
            <w:shd w:val="clear" w:color="auto" w:fill="auto"/>
            <w:vAlign w:val="bottom"/>
          </w:tcPr>
          <w:p w:rsidR="00570B62" w:rsidRPr="00BC4A1A" w:rsidRDefault="00570B62" w:rsidP="00BC4A1A">
            <w:pPr>
              <w:spacing w:before="80" w:after="80" w:line="200" w:lineRule="exact"/>
              <w:jc w:val="right"/>
              <w:rPr>
                <w:i/>
                <w:iCs/>
                <w:sz w:val="16"/>
                <w:lang w:val="fr-CH"/>
              </w:rPr>
            </w:pPr>
            <w:r w:rsidRPr="00BC4A1A">
              <w:rPr>
                <w:i/>
                <w:iCs/>
                <w:sz w:val="16"/>
                <w:lang w:val="fr-CH"/>
              </w:rPr>
              <w:t>Nombre de détenus incarcérés</w:t>
            </w:r>
          </w:p>
        </w:tc>
      </w:tr>
      <w:tr w:rsidR="00570B62" w:rsidRPr="00BC4A1A" w:rsidTr="00BC4A1A">
        <w:tc>
          <w:tcPr>
            <w:tcW w:w="3466" w:type="dxa"/>
            <w:tcBorders>
              <w:top w:val="single" w:sz="12" w:space="0" w:color="auto"/>
            </w:tcBorders>
            <w:shd w:val="clear" w:color="auto" w:fill="auto"/>
          </w:tcPr>
          <w:p w:rsidR="00570B62" w:rsidRPr="00BC4A1A" w:rsidRDefault="00570B62" w:rsidP="00BC4A1A">
            <w:pPr>
              <w:spacing w:before="40" w:after="40" w:line="220" w:lineRule="exact"/>
              <w:rPr>
                <w:sz w:val="18"/>
                <w:lang w:val="fr-CH"/>
              </w:rPr>
            </w:pPr>
            <w:r w:rsidRPr="00BC4A1A">
              <w:rPr>
                <w:sz w:val="18"/>
                <w:lang w:val="fr-CH"/>
              </w:rPr>
              <w:t>2008</w:t>
            </w:r>
          </w:p>
        </w:tc>
        <w:tc>
          <w:tcPr>
            <w:tcW w:w="3904" w:type="dxa"/>
            <w:tcBorders>
              <w:top w:val="single" w:sz="12" w:space="0" w:color="auto"/>
            </w:tcBorders>
            <w:shd w:val="clear" w:color="auto" w:fill="auto"/>
            <w:vAlign w:val="bottom"/>
          </w:tcPr>
          <w:p w:rsidR="00570B62" w:rsidRPr="00BC4A1A" w:rsidRDefault="00570B62" w:rsidP="00BC4A1A">
            <w:pPr>
              <w:spacing w:before="40" w:after="40" w:line="220" w:lineRule="exact"/>
              <w:jc w:val="right"/>
              <w:rPr>
                <w:sz w:val="18"/>
                <w:lang w:val="fr-CH"/>
              </w:rPr>
            </w:pPr>
            <w:r w:rsidRPr="00BC4A1A">
              <w:rPr>
                <w:sz w:val="18"/>
                <w:lang w:val="fr-CH"/>
              </w:rPr>
              <w:t>56</w:t>
            </w:r>
          </w:p>
        </w:tc>
      </w:tr>
      <w:tr w:rsidR="00570B62" w:rsidRPr="00BC4A1A" w:rsidTr="00BC4A1A">
        <w:tc>
          <w:tcPr>
            <w:tcW w:w="3466" w:type="dxa"/>
            <w:shd w:val="clear" w:color="auto" w:fill="auto"/>
          </w:tcPr>
          <w:p w:rsidR="00570B62" w:rsidRPr="00BC4A1A" w:rsidRDefault="00570B62" w:rsidP="00BC4A1A">
            <w:pPr>
              <w:spacing w:before="40" w:after="40" w:line="220" w:lineRule="exact"/>
              <w:rPr>
                <w:sz w:val="18"/>
                <w:lang w:val="fr-CH"/>
              </w:rPr>
            </w:pPr>
            <w:r w:rsidRPr="00BC4A1A">
              <w:rPr>
                <w:sz w:val="18"/>
                <w:lang w:val="fr-CH"/>
              </w:rPr>
              <w:t>2009</w:t>
            </w:r>
          </w:p>
        </w:tc>
        <w:tc>
          <w:tcPr>
            <w:tcW w:w="3904" w:type="dxa"/>
            <w:shd w:val="clear" w:color="auto" w:fill="auto"/>
            <w:vAlign w:val="bottom"/>
          </w:tcPr>
          <w:p w:rsidR="00570B62" w:rsidRPr="00BC4A1A" w:rsidRDefault="00570B62" w:rsidP="00BC4A1A">
            <w:pPr>
              <w:spacing w:before="40" w:after="40" w:line="220" w:lineRule="exact"/>
              <w:jc w:val="right"/>
              <w:rPr>
                <w:i/>
                <w:iCs/>
                <w:sz w:val="18"/>
                <w:lang w:val="fr-CH"/>
              </w:rPr>
            </w:pPr>
            <w:r w:rsidRPr="00BC4A1A">
              <w:rPr>
                <w:sz w:val="18"/>
                <w:lang w:val="fr-CH"/>
              </w:rPr>
              <w:t>62</w:t>
            </w:r>
          </w:p>
        </w:tc>
      </w:tr>
    </w:tbl>
    <w:p w:rsidR="00570B62" w:rsidRPr="00961388" w:rsidRDefault="00570B62" w:rsidP="00BC4A1A">
      <w:pPr>
        <w:pStyle w:val="SingleTxtG"/>
        <w:spacing w:before="240"/>
        <w:rPr>
          <w:lang w:val="fr-CH"/>
        </w:rPr>
      </w:pPr>
      <w:r w:rsidRPr="00961388">
        <w:rPr>
          <w:lang w:val="fr-CH"/>
        </w:rPr>
        <w:t>85.</w:t>
      </w:r>
      <w:r w:rsidRPr="00961388">
        <w:rPr>
          <w:lang w:val="fr-CH"/>
        </w:rPr>
        <w:tab/>
        <w:t>*</w:t>
      </w:r>
      <w:r w:rsidR="00283379">
        <w:rPr>
          <w:lang w:val="fr-CH"/>
        </w:rPr>
        <w:t xml:space="preserve"> </w:t>
      </w:r>
      <w:r w:rsidRPr="00961388">
        <w:rPr>
          <w:lang w:val="fr-CH"/>
        </w:rPr>
        <w:t>Crimes relatifs à l</w:t>
      </w:r>
      <w:r w:rsidR="00961388">
        <w:rPr>
          <w:lang w:val="fr-CH"/>
        </w:rPr>
        <w:t>’</w:t>
      </w:r>
      <w:r w:rsidRPr="00961388">
        <w:rPr>
          <w:lang w:val="fr-CH"/>
        </w:rPr>
        <w:t>attentat à la pudeur commis sur les femmes.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466"/>
        <w:gridCol w:w="3904"/>
      </w:tblGrid>
      <w:tr w:rsidR="00570B62" w:rsidRPr="00BC4A1A" w:rsidTr="00BC4A1A">
        <w:trPr>
          <w:tblHeader/>
        </w:trPr>
        <w:tc>
          <w:tcPr>
            <w:tcW w:w="3466" w:type="dxa"/>
            <w:tcBorders>
              <w:top w:val="single" w:sz="4" w:space="0" w:color="auto"/>
              <w:bottom w:val="single" w:sz="12" w:space="0" w:color="auto"/>
            </w:tcBorders>
            <w:shd w:val="clear" w:color="auto" w:fill="auto"/>
            <w:vAlign w:val="bottom"/>
          </w:tcPr>
          <w:p w:rsidR="00570B62" w:rsidRPr="00BC4A1A" w:rsidRDefault="00570B62" w:rsidP="00BC4A1A">
            <w:pPr>
              <w:spacing w:before="80" w:after="80" w:line="200" w:lineRule="exact"/>
              <w:rPr>
                <w:i/>
                <w:iCs/>
                <w:sz w:val="16"/>
                <w:lang w:val="fr-CH"/>
              </w:rPr>
            </w:pPr>
            <w:r w:rsidRPr="00BC4A1A">
              <w:rPr>
                <w:i/>
                <w:iCs/>
                <w:sz w:val="16"/>
                <w:lang w:val="fr-CH"/>
              </w:rPr>
              <w:t>Année</w:t>
            </w:r>
          </w:p>
        </w:tc>
        <w:tc>
          <w:tcPr>
            <w:tcW w:w="3904" w:type="dxa"/>
            <w:tcBorders>
              <w:top w:val="single" w:sz="4" w:space="0" w:color="auto"/>
              <w:bottom w:val="single" w:sz="12" w:space="0" w:color="auto"/>
            </w:tcBorders>
            <w:shd w:val="clear" w:color="auto" w:fill="auto"/>
            <w:vAlign w:val="bottom"/>
          </w:tcPr>
          <w:p w:rsidR="00570B62" w:rsidRPr="00BC4A1A" w:rsidRDefault="00570B62" w:rsidP="00BC4A1A">
            <w:pPr>
              <w:spacing w:before="80" w:after="80" w:line="200" w:lineRule="exact"/>
              <w:jc w:val="right"/>
              <w:rPr>
                <w:i/>
                <w:iCs/>
                <w:sz w:val="16"/>
                <w:lang w:val="fr-CH"/>
              </w:rPr>
            </w:pPr>
            <w:r w:rsidRPr="00BC4A1A">
              <w:rPr>
                <w:i/>
                <w:sz w:val="16"/>
                <w:lang w:val="fr-CH"/>
              </w:rPr>
              <w:t>Nombre de détenus incarcérés</w:t>
            </w:r>
          </w:p>
        </w:tc>
      </w:tr>
      <w:tr w:rsidR="00570B62" w:rsidRPr="00BC4A1A" w:rsidTr="00BC4A1A">
        <w:tc>
          <w:tcPr>
            <w:tcW w:w="3466" w:type="dxa"/>
            <w:tcBorders>
              <w:top w:val="single" w:sz="12" w:space="0" w:color="auto"/>
            </w:tcBorders>
            <w:shd w:val="clear" w:color="auto" w:fill="auto"/>
          </w:tcPr>
          <w:p w:rsidR="00570B62" w:rsidRPr="00BC4A1A" w:rsidRDefault="00570B62" w:rsidP="00BC4A1A">
            <w:pPr>
              <w:spacing w:before="40" w:after="40" w:line="220" w:lineRule="exact"/>
              <w:rPr>
                <w:sz w:val="18"/>
                <w:lang w:val="fr-CH"/>
              </w:rPr>
            </w:pPr>
            <w:r w:rsidRPr="00BC4A1A">
              <w:rPr>
                <w:sz w:val="18"/>
                <w:lang w:val="fr-CH"/>
              </w:rPr>
              <w:t>2008</w:t>
            </w:r>
          </w:p>
        </w:tc>
        <w:tc>
          <w:tcPr>
            <w:tcW w:w="3904" w:type="dxa"/>
            <w:tcBorders>
              <w:top w:val="single" w:sz="12" w:space="0" w:color="auto"/>
            </w:tcBorders>
            <w:shd w:val="clear" w:color="auto" w:fill="auto"/>
            <w:vAlign w:val="bottom"/>
          </w:tcPr>
          <w:p w:rsidR="00570B62" w:rsidRPr="00BC4A1A" w:rsidRDefault="00570B62" w:rsidP="00BC4A1A">
            <w:pPr>
              <w:spacing w:before="40" w:after="40" w:line="220" w:lineRule="exact"/>
              <w:jc w:val="right"/>
              <w:rPr>
                <w:sz w:val="18"/>
                <w:lang w:val="fr-CH"/>
              </w:rPr>
            </w:pPr>
            <w:r w:rsidRPr="00BC4A1A">
              <w:rPr>
                <w:sz w:val="18"/>
                <w:lang w:val="fr-CH"/>
              </w:rPr>
              <w:t>233</w:t>
            </w:r>
          </w:p>
        </w:tc>
      </w:tr>
      <w:tr w:rsidR="00570B62" w:rsidRPr="00BC4A1A" w:rsidTr="00BC4A1A">
        <w:tc>
          <w:tcPr>
            <w:tcW w:w="3466" w:type="dxa"/>
            <w:shd w:val="clear" w:color="auto" w:fill="auto"/>
          </w:tcPr>
          <w:p w:rsidR="00570B62" w:rsidRPr="00BC4A1A" w:rsidRDefault="00570B62" w:rsidP="00BC4A1A">
            <w:pPr>
              <w:spacing w:before="40" w:after="40" w:line="220" w:lineRule="exact"/>
              <w:rPr>
                <w:sz w:val="18"/>
                <w:lang w:val="fr-CH"/>
              </w:rPr>
            </w:pPr>
            <w:r w:rsidRPr="00BC4A1A">
              <w:rPr>
                <w:sz w:val="18"/>
                <w:lang w:val="fr-CH"/>
              </w:rPr>
              <w:t>2009</w:t>
            </w:r>
          </w:p>
        </w:tc>
        <w:tc>
          <w:tcPr>
            <w:tcW w:w="3904" w:type="dxa"/>
            <w:shd w:val="clear" w:color="auto" w:fill="auto"/>
            <w:vAlign w:val="bottom"/>
          </w:tcPr>
          <w:p w:rsidR="00570B62" w:rsidRPr="00BC4A1A" w:rsidRDefault="00570B62" w:rsidP="00BC4A1A">
            <w:pPr>
              <w:spacing w:before="40" w:after="40" w:line="220" w:lineRule="exact"/>
              <w:jc w:val="right"/>
              <w:rPr>
                <w:sz w:val="18"/>
                <w:lang w:val="fr-CH"/>
              </w:rPr>
            </w:pPr>
            <w:r w:rsidRPr="00BC4A1A">
              <w:rPr>
                <w:sz w:val="18"/>
                <w:lang w:val="fr-CH"/>
              </w:rPr>
              <w:t>263</w:t>
            </w:r>
          </w:p>
        </w:tc>
      </w:tr>
    </w:tbl>
    <w:p w:rsidR="00570B62" w:rsidRPr="00961388" w:rsidRDefault="00570B62" w:rsidP="00BC4A1A">
      <w:pPr>
        <w:pStyle w:val="SingleTxtG"/>
        <w:spacing w:before="240"/>
        <w:rPr>
          <w:lang w:val="fr-CH"/>
        </w:rPr>
      </w:pPr>
      <w:r w:rsidRPr="00961388">
        <w:rPr>
          <w:lang w:val="fr-CH"/>
        </w:rPr>
        <w:t>86.</w:t>
      </w:r>
      <w:r w:rsidRPr="00961388">
        <w:rPr>
          <w:lang w:val="fr-CH"/>
        </w:rPr>
        <w:tab/>
        <w:t>*</w:t>
      </w:r>
      <w:r w:rsidR="00283379">
        <w:rPr>
          <w:lang w:val="fr-CH"/>
        </w:rPr>
        <w:t xml:space="preserve"> </w:t>
      </w:r>
      <w:r w:rsidRPr="00961388">
        <w:rPr>
          <w:lang w:val="fr-CH"/>
        </w:rPr>
        <w:t>Crimes relatifs au viol commis avec violence.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466"/>
        <w:gridCol w:w="3904"/>
      </w:tblGrid>
      <w:tr w:rsidR="00570B62" w:rsidRPr="00BC4A1A" w:rsidTr="00BC4A1A">
        <w:trPr>
          <w:tblHeader/>
        </w:trPr>
        <w:tc>
          <w:tcPr>
            <w:tcW w:w="3466" w:type="dxa"/>
            <w:tcBorders>
              <w:top w:val="single" w:sz="4" w:space="0" w:color="auto"/>
              <w:bottom w:val="single" w:sz="12" w:space="0" w:color="auto"/>
            </w:tcBorders>
            <w:shd w:val="clear" w:color="auto" w:fill="auto"/>
            <w:vAlign w:val="bottom"/>
          </w:tcPr>
          <w:p w:rsidR="00570B62" w:rsidRPr="00BC4A1A" w:rsidRDefault="00570B62" w:rsidP="00BC4A1A">
            <w:pPr>
              <w:spacing w:before="80" w:after="80" w:line="200" w:lineRule="exact"/>
              <w:rPr>
                <w:i/>
                <w:iCs/>
                <w:sz w:val="16"/>
                <w:lang w:val="fr-CH"/>
              </w:rPr>
            </w:pPr>
            <w:r w:rsidRPr="00BC4A1A">
              <w:rPr>
                <w:i/>
                <w:iCs/>
                <w:sz w:val="16"/>
                <w:lang w:val="fr-CH"/>
              </w:rPr>
              <w:t>Année</w:t>
            </w:r>
          </w:p>
        </w:tc>
        <w:tc>
          <w:tcPr>
            <w:tcW w:w="3904" w:type="dxa"/>
            <w:tcBorders>
              <w:top w:val="single" w:sz="4" w:space="0" w:color="auto"/>
              <w:bottom w:val="single" w:sz="12" w:space="0" w:color="auto"/>
            </w:tcBorders>
            <w:shd w:val="clear" w:color="auto" w:fill="auto"/>
            <w:vAlign w:val="bottom"/>
          </w:tcPr>
          <w:p w:rsidR="00570B62" w:rsidRPr="00BC4A1A" w:rsidRDefault="00570B62" w:rsidP="00BC4A1A">
            <w:pPr>
              <w:spacing w:before="80" w:after="80" w:line="200" w:lineRule="exact"/>
              <w:jc w:val="right"/>
              <w:rPr>
                <w:i/>
                <w:iCs/>
                <w:sz w:val="16"/>
                <w:lang w:val="fr-CH"/>
              </w:rPr>
            </w:pPr>
            <w:r w:rsidRPr="00BC4A1A">
              <w:rPr>
                <w:i/>
                <w:iCs/>
                <w:sz w:val="16"/>
                <w:lang w:val="fr-CH"/>
              </w:rPr>
              <w:t xml:space="preserve">Nombre de </w:t>
            </w:r>
            <w:r w:rsidRPr="00BC4A1A">
              <w:rPr>
                <w:i/>
                <w:sz w:val="16"/>
                <w:lang w:val="fr-CH"/>
              </w:rPr>
              <w:t>détenus</w:t>
            </w:r>
            <w:r w:rsidRPr="00BC4A1A">
              <w:rPr>
                <w:i/>
                <w:iCs/>
                <w:sz w:val="16"/>
                <w:lang w:val="fr-CH"/>
              </w:rPr>
              <w:t xml:space="preserve"> incarcérés</w:t>
            </w:r>
          </w:p>
        </w:tc>
      </w:tr>
      <w:tr w:rsidR="00570B62" w:rsidRPr="00BC4A1A" w:rsidTr="00BC4A1A">
        <w:tc>
          <w:tcPr>
            <w:tcW w:w="3466" w:type="dxa"/>
            <w:tcBorders>
              <w:top w:val="single" w:sz="12" w:space="0" w:color="auto"/>
            </w:tcBorders>
            <w:shd w:val="clear" w:color="auto" w:fill="auto"/>
          </w:tcPr>
          <w:p w:rsidR="00570B62" w:rsidRPr="00BC4A1A" w:rsidRDefault="00570B62" w:rsidP="00BC4A1A">
            <w:pPr>
              <w:spacing w:before="40" w:after="40" w:line="220" w:lineRule="exact"/>
              <w:rPr>
                <w:sz w:val="18"/>
                <w:lang w:val="fr-CH"/>
              </w:rPr>
            </w:pPr>
            <w:r w:rsidRPr="00BC4A1A">
              <w:rPr>
                <w:sz w:val="18"/>
                <w:lang w:val="fr-CH"/>
              </w:rPr>
              <w:t>2008</w:t>
            </w:r>
          </w:p>
        </w:tc>
        <w:tc>
          <w:tcPr>
            <w:tcW w:w="3904" w:type="dxa"/>
            <w:tcBorders>
              <w:top w:val="single" w:sz="12" w:space="0" w:color="auto"/>
            </w:tcBorders>
            <w:shd w:val="clear" w:color="auto" w:fill="auto"/>
            <w:vAlign w:val="bottom"/>
          </w:tcPr>
          <w:p w:rsidR="00570B62" w:rsidRPr="00BC4A1A" w:rsidRDefault="00570B62" w:rsidP="00BC4A1A">
            <w:pPr>
              <w:spacing w:before="40" w:after="40" w:line="220" w:lineRule="exact"/>
              <w:jc w:val="right"/>
              <w:rPr>
                <w:sz w:val="18"/>
                <w:lang w:val="fr-CH"/>
              </w:rPr>
            </w:pPr>
            <w:r w:rsidRPr="00BC4A1A">
              <w:rPr>
                <w:sz w:val="18"/>
                <w:lang w:val="fr-CH"/>
              </w:rPr>
              <w:t>672</w:t>
            </w:r>
          </w:p>
        </w:tc>
      </w:tr>
      <w:tr w:rsidR="00570B62" w:rsidRPr="00BC4A1A" w:rsidTr="00BC4A1A">
        <w:tc>
          <w:tcPr>
            <w:tcW w:w="3466" w:type="dxa"/>
            <w:shd w:val="clear" w:color="auto" w:fill="auto"/>
          </w:tcPr>
          <w:p w:rsidR="00570B62" w:rsidRPr="00BC4A1A" w:rsidRDefault="00570B62" w:rsidP="00BC4A1A">
            <w:pPr>
              <w:spacing w:before="40" w:after="40" w:line="220" w:lineRule="exact"/>
              <w:rPr>
                <w:sz w:val="18"/>
                <w:lang w:val="fr-CH"/>
              </w:rPr>
            </w:pPr>
            <w:r w:rsidRPr="00BC4A1A">
              <w:rPr>
                <w:sz w:val="18"/>
                <w:lang w:val="fr-CH"/>
              </w:rPr>
              <w:t>2009</w:t>
            </w:r>
          </w:p>
        </w:tc>
        <w:tc>
          <w:tcPr>
            <w:tcW w:w="3904" w:type="dxa"/>
            <w:shd w:val="clear" w:color="auto" w:fill="auto"/>
            <w:vAlign w:val="bottom"/>
          </w:tcPr>
          <w:p w:rsidR="00570B62" w:rsidRPr="00BC4A1A" w:rsidRDefault="00570B62" w:rsidP="00BC4A1A">
            <w:pPr>
              <w:spacing w:before="40" w:after="40" w:line="220" w:lineRule="exact"/>
              <w:jc w:val="right"/>
              <w:rPr>
                <w:sz w:val="18"/>
                <w:lang w:val="fr-CH"/>
              </w:rPr>
            </w:pPr>
            <w:r w:rsidRPr="00BC4A1A">
              <w:rPr>
                <w:sz w:val="18"/>
                <w:lang w:val="fr-CH"/>
              </w:rPr>
              <w:t>710</w:t>
            </w:r>
          </w:p>
        </w:tc>
      </w:tr>
    </w:tbl>
    <w:p w:rsidR="00570B62" w:rsidRPr="00961388" w:rsidRDefault="00570B62" w:rsidP="00BC4A1A">
      <w:pPr>
        <w:pStyle w:val="SingleTxtG"/>
        <w:spacing w:before="240"/>
        <w:rPr>
          <w:lang w:val="fr-CH"/>
        </w:rPr>
      </w:pPr>
      <w:r w:rsidRPr="00961388">
        <w:rPr>
          <w:lang w:val="fr-CH"/>
        </w:rPr>
        <w:t>87.</w:t>
      </w:r>
      <w:r w:rsidRPr="00961388">
        <w:rPr>
          <w:lang w:val="fr-CH"/>
        </w:rPr>
        <w:tab/>
        <w:t>Statistiques concernant le nombre d</w:t>
      </w:r>
      <w:r w:rsidR="00961388">
        <w:rPr>
          <w:lang w:val="fr-CH"/>
        </w:rPr>
        <w:t>’</w:t>
      </w:r>
      <w:r w:rsidRPr="00961388">
        <w:rPr>
          <w:lang w:val="fr-CH"/>
        </w:rPr>
        <w:t>auteurs de crimes de violences conjugales qui ont bénéficié d</w:t>
      </w:r>
      <w:r w:rsidR="00961388">
        <w:rPr>
          <w:lang w:val="fr-CH"/>
        </w:rPr>
        <w:t>’</w:t>
      </w:r>
      <w:r w:rsidRPr="00961388">
        <w:rPr>
          <w:lang w:val="fr-CH"/>
        </w:rPr>
        <w:t>un arrêt d</w:t>
      </w:r>
      <w:r w:rsidR="00961388">
        <w:rPr>
          <w:lang w:val="fr-CH"/>
        </w:rPr>
        <w:t>’</w:t>
      </w:r>
      <w:r w:rsidRPr="00961388">
        <w:rPr>
          <w:lang w:val="fr-CH"/>
        </w:rPr>
        <w:t>exécution de la peine par le procès du désistement du conjoint victime</w:t>
      </w:r>
      <w:r w:rsidR="00961388">
        <w:rPr>
          <w:lang w:val="fr-CH"/>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466"/>
        <w:gridCol w:w="3904"/>
      </w:tblGrid>
      <w:tr w:rsidR="00570B62" w:rsidRPr="00BC4A1A" w:rsidTr="00BC4A1A">
        <w:trPr>
          <w:tblHeader/>
        </w:trPr>
        <w:tc>
          <w:tcPr>
            <w:tcW w:w="3466" w:type="dxa"/>
            <w:tcBorders>
              <w:top w:val="single" w:sz="4" w:space="0" w:color="auto"/>
              <w:bottom w:val="single" w:sz="12" w:space="0" w:color="auto"/>
            </w:tcBorders>
            <w:shd w:val="clear" w:color="auto" w:fill="auto"/>
            <w:vAlign w:val="bottom"/>
          </w:tcPr>
          <w:p w:rsidR="00570B62" w:rsidRPr="00BC4A1A" w:rsidRDefault="00570B62" w:rsidP="00BC4A1A">
            <w:pPr>
              <w:keepNext/>
              <w:spacing w:before="80" w:after="80" w:line="200" w:lineRule="exact"/>
              <w:rPr>
                <w:i/>
                <w:iCs/>
                <w:sz w:val="16"/>
                <w:lang w:val="fr-CH"/>
              </w:rPr>
            </w:pPr>
            <w:r w:rsidRPr="00BC4A1A">
              <w:rPr>
                <w:i/>
                <w:iCs/>
                <w:sz w:val="16"/>
                <w:lang w:val="fr-CH"/>
              </w:rPr>
              <w:t>Année</w:t>
            </w:r>
          </w:p>
        </w:tc>
        <w:tc>
          <w:tcPr>
            <w:tcW w:w="3904" w:type="dxa"/>
            <w:tcBorders>
              <w:top w:val="single" w:sz="4" w:space="0" w:color="auto"/>
              <w:bottom w:val="single" w:sz="12" w:space="0" w:color="auto"/>
            </w:tcBorders>
            <w:shd w:val="clear" w:color="auto" w:fill="auto"/>
            <w:vAlign w:val="bottom"/>
          </w:tcPr>
          <w:p w:rsidR="00570B62" w:rsidRPr="00BC4A1A" w:rsidRDefault="00570B62" w:rsidP="00BC4A1A">
            <w:pPr>
              <w:spacing w:before="80" w:after="80" w:line="200" w:lineRule="exact"/>
              <w:jc w:val="right"/>
              <w:rPr>
                <w:i/>
                <w:iCs/>
                <w:sz w:val="16"/>
                <w:lang w:val="fr-CH"/>
              </w:rPr>
            </w:pPr>
            <w:r w:rsidRPr="00BC4A1A">
              <w:rPr>
                <w:i/>
                <w:sz w:val="16"/>
                <w:lang w:val="fr-CH"/>
              </w:rPr>
              <w:t>Nombre de détenus ayant bénéficié d</w:t>
            </w:r>
            <w:r w:rsidR="00961388" w:rsidRPr="00BC4A1A">
              <w:rPr>
                <w:i/>
                <w:sz w:val="16"/>
                <w:lang w:val="fr-CH"/>
              </w:rPr>
              <w:t>’</w:t>
            </w:r>
            <w:r w:rsidRPr="00BC4A1A">
              <w:rPr>
                <w:i/>
                <w:sz w:val="16"/>
                <w:lang w:val="fr-CH"/>
              </w:rPr>
              <w:t>un arrêt d</w:t>
            </w:r>
            <w:r w:rsidR="00961388" w:rsidRPr="00BC4A1A">
              <w:rPr>
                <w:i/>
                <w:sz w:val="16"/>
                <w:lang w:val="fr-CH"/>
              </w:rPr>
              <w:t>’</w:t>
            </w:r>
            <w:r w:rsidRPr="00BC4A1A">
              <w:rPr>
                <w:i/>
                <w:sz w:val="16"/>
                <w:lang w:val="fr-CH"/>
              </w:rPr>
              <w:t>exécution</w:t>
            </w:r>
          </w:p>
        </w:tc>
      </w:tr>
      <w:tr w:rsidR="00570B62" w:rsidRPr="00BC4A1A" w:rsidTr="00BC4A1A">
        <w:tc>
          <w:tcPr>
            <w:tcW w:w="3466" w:type="dxa"/>
            <w:tcBorders>
              <w:top w:val="single" w:sz="12" w:space="0" w:color="auto"/>
            </w:tcBorders>
            <w:shd w:val="clear" w:color="auto" w:fill="auto"/>
          </w:tcPr>
          <w:p w:rsidR="00570B62" w:rsidRPr="00BC4A1A" w:rsidRDefault="00570B62" w:rsidP="00BC4A1A">
            <w:pPr>
              <w:keepNext/>
              <w:spacing w:before="40" w:after="40" w:line="220" w:lineRule="exact"/>
              <w:rPr>
                <w:i/>
                <w:iCs/>
                <w:sz w:val="18"/>
                <w:lang w:val="fr-CH"/>
              </w:rPr>
            </w:pPr>
            <w:r w:rsidRPr="00BC4A1A">
              <w:rPr>
                <w:sz w:val="18"/>
                <w:lang w:val="fr-CH"/>
              </w:rPr>
              <w:t>2008</w:t>
            </w:r>
          </w:p>
        </w:tc>
        <w:tc>
          <w:tcPr>
            <w:tcW w:w="3904" w:type="dxa"/>
            <w:tcBorders>
              <w:top w:val="single" w:sz="12" w:space="0" w:color="auto"/>
            </w:tcBorders>
            <w:shd w:val="clear" w:color="auto" w:fill="auto"/>
            <w:vAlign w:val="bottom"/>
          </w:tcPr>
          <w:p w:rsidR="00570B62" w:rsidRPr="00BC4A1A" w:rsidRDefault="00BC4A1A" w:rsidP="00BC4A1A">
            <w:pPr>
              <w:spacing w:before="40" w:after="40" w:line="220" w:lineRule="exact"/>
              <w:jc w:val="right"/>
              <w:rPr>
                <w:sz w:val="18"/>
                <w:lang w:val="fr-CH"/>
              </w:rPr>
            </w:pPr>
            <w:r w:rsidRPr="00BC4A1A">
              <w:rPr>
                <w:sz w:val="18"/>
                <w:lang w:val="fr-CH"/>
              </w:rPr>
              <w:t>03</w:t>
            </w:r>
          </w:p>
        </w:tc>
      </w:tr>
      <w:tr w:rsidR="00570B62" w:rsidRPr="00BC4A1A" w:rsidTr="00BC4A1A">
        <w:tc>
          <w:tcPr>
            <w:tcW w:w="3466" w:type="dxa"/>
            <w:shd w:val="clear" w:color="auto" w:fill="auto"/>
          </w:tcPr>
          <w:p w:rsidR="00570B62" w:rsidRPr="00BC4A1A" w:rsidRDefault="00570B62" w:rsidP="00BC4A1A">
            <w:pPr>
              <w:spacing w:before="40" w:after="40" w:line="220" w:lineRule="exact"/>
              <w:rPr>
                <w:i/>
                <w:iCs/>
                <w:sz w:val="18"/>
                <w:lang w:val="fr-CH"/>
              </w:rPr>
            </w:pPr>
            <w:r w:rsidRPr="00BC4A1A">
              <w:rPr>
                <w:sz w:val="18"/>
                <w:lang w:val="fr-CH"/>
              </w:rPr>
              <w:t>2009</w:t>
            </w:r>
          </w:p>
        </w:tc>
        <w:tc>
          <w:tcPr>
            <w:tcW w:w="3904" w:type="dxa"/>
            <w:shd w:val="clear" w:color="auto" w:fill="auto"/>
            <w:vAlign w:val="bottom"/>
          </w:tcPr>
          <w:p w:rsidR="00570B62" w:rsidRPr="00BC4A1A" w:rsidRDefault="00570B62" w:rsidP="00BC4A1A">
            <w:pPr>
              <w:spacing w:before="40" w:after="40" w:line="220" w:lineRule="exact"/>
              <w:jc w:val="right"/>
              <w:rPr>
                <w:sz w:val="18"/>
                <w:lang w:val="fr-CH"/>
              </w:rPr>
            </w:pPr>
            <w:r w:rsidRPr="00BC4A1A">
              <w:rPr>
                <w:sz w:val="18"/>
                <w:lang w:val="fr-CH"/>
              </w:rPr>
              <w:t>08</w:t>
            </w:r>
          </w:p>
        </w:tc>
      </w:tr>
    </w:tbl>
    <w:p w:rsidR="00570B62" w:rsidRPr="00961388" w:rsidRDefault="00570B62" w:rsidP="00BC4A1A">
      <w:pPr>
        <w:pStyle w:val="SingleTxtG"/>
        <w:spacing w:before="240"/>
        <w:rPr>
          <w:lang w:val="fr-CH"/>
        </w:rPr>
      </w:pPr>
      <w:r w:rsidRPr="00961388">
        <w:rPr>
          <w:lang w:val="fr-CH"/>
        </w:rPr>
        <w:t>88.</w:t>
      </w:r>
      <w:r w:rsidRPr="00961388">
        <w:rPr>
          <w:lang w:val="fr-CH"/>
        </w:rPr>
        <w:tab/>
        <w:t>Peines prononcées à l</w:t>
      </w:r>
      <w:r w:rsidR="00961388">
        <w:rPr>
          <w:lang w:val="fr-CH"/>
        </w:rPr>
        <w:t>’</w:t>
      </w:r>
      <w:r w:rsidRPr="00961388">
        <w:rPr>
          <w:lang w:val="fr-CH"/>
        </w:rPr>
        <w:t>encontre des auteurs de violences</w:t>
      </w:r>
      <w:r w:rsidR="00961388">
        <w:rPr>
          <w:lang w:val="fr-CH"/>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00"/>
        <w:gridCol w:w="3770"/>
      </w:tblGrid>
      <w:tr w:rsidR="00570B62" w:rsidRPr="00BC4A1A" w:rsidTr="00BC4A1A">
        <w:trPr>
          <w:tblHeader/>
        </w:trPr>
        <w:tc>
          <w:tcPr>
            <w:tcW w:w="2977" w:type="dxa"/>
            <w:tcBorders>
              <w:top w:val="single" w:sz="4" w:space="0" w:color="auto"/>
              <w:bottom w:val="single" w:sz="12" w:space="0" w:color="auto"/>
            </w:tcBorders>
            <w:shd w:val="clear" w:color="auto" w:fill="auto"/>
            <w:vAlign w:val="bottom"/>
          </w:tcPr>
          <w:p w:rsidR="00570B62" w:rsidRPr="000A0E2E" w:rsidRDefault="00570B62" w:rsidP="000A0E2E">
            <w:pPr>
              <w:spacing w:before="80" w:after="80" w:line="200" w:lineRule="exact"/>
              <w:ind w:right="113"/>
              <w:rPr>
                <w:i/>
                <w:iCs/>
                <w:sz w:val="16"/>
                <w:lang w:val="fr-CH"/>
              </w:rPr>
            </w:pPr>
            <w:r w:rsidRPr="000A0E2E">
              <w:rPr>
                <w:i/>
                <w:sz w:val="16"/>
                <w:lang w:val="fr-CH"/>
              </w:rPr>
              <w:t>Nature du crime</w:t>
            </w:r>
            <w:r w:rsidRPr="000A0E2E">
              <w:rPr>
                <w:i/>
                <w:iCs/>
                <w:sz w:val="16"/>
                <w:lang w:val="fr-CH"/>
              </w:rPr>
              <w:t xml:space="preserve"> </w:t>
            </w:r>
          </w:p>
        </w:tc>
        <w:tc>
          <w:tcPr>
            <w:tcW w:w="3118" w:type="dxa"/>
            <w:tcBorders>
              <w:top w:val="single" w:sz="4" w:space="0" w:color="auto"/>
              <w:bottom w:val="single" w:sz="12" w:space="0" w:color="auto"/>
            </w:tcBorders>
            <w:shd w:val="clear" w:color="auto" w:fill="auto"/>
            <w:vAlign w:val="bottom"/>
          </w:tcPr>
          <w:p w:rsidR="00570B62" w:rsidRPr="000A0E2E" w:rsidRDefault="00570B62" w:rsidP="000A0E2E">
            <w:pPr>
              <w:spacing w:before="80" w:after="80" w:line="200" w:lineRule="exact"/>
              <w:ind w:right="113"/>
              <w:rPr>
                <w:i/>
                <w:iCs/>
                <w:sz w:val="16"/>
                <w:lang w:val="fr-CH"/>
              </w:rPr>
            </w:pPr>
            <w:r w:rsidRPr="000A0E2E">
              <w:rPr>
                <w:i/>
                <w:sz w:val="16"/>
                <w:lang w:val="fr-CH"/>
              </w:rPr>
              <w:t>Peines prononcées</w:t>
            </w:r>
            <w:r w:rsidRPr="000A0E2E">
              <w:rPr>
                <w:i/>
                <w:iCs/>
                <w:sz w:val="16"/>
                <w:lang w:val="fr-CH"/>
              </w:rPr>
              <w:t xml:space="preserve"> </w:t>
            </w:r>
          </w:p>
        </w:tc>
      </w:tr>
      <w:tr w:rsidR="00570B62" w:rsidRPr="00BC4A1A" w:rsidTr="00BC4A1A">
        <w:tc>
          <w:tcPr>
            <w:tcW w:w="2977" w:type="dxa"/>
            <w:tcBorders>
              <w:top w:val="single" w:sz="12" w:space="0" w:color="auto"/>
            </w:tcBorders>
            <w:shd w:val="clear" w:color="auto" w:fill="auto"/>
          </w:tcPr>
          <w:p w:rsidR="00570B62" w:rsidRPr="000A0E2E" w:rsidRDefault="00570B62" w:rsidP="000A0E2E">
            <w:pPr>
              <w:spacing w:before="40" w:after="120"/>
              <w:ind w:right="113"/>
              <w:rPr>
                <w:i/>
                <w:iCs/>
                <w:lang w:val="fr-CH"/>
              </w:rPr>
            </w:pPr>
            <w:r w:rsidRPr="000A0E2E">
              <w:rPr>
                <w:lang w:val="fr-CH"/>
              </w:rPr>
              <w:t>Violence conjugale</w:t>
            </w:r>
          </w:p>
        </w:tc>
        <w:tc>
          <w:tcPr>
            <w:tcW w:w="3118" w:type="dxa"/>
            <w:tcBorders>
              <w:top w:val="single" w:sz="12" w:space="0" w:color="auto"/>
            </w:tcBorders>
            <w:shd w:val="clear" w:color="auto" w:fill="auto"/>
          </w:tcPr>
          <w:p w:rsidR="00570B62" w:rsidRPr="000A0E2E" w:rsidRDefault="00570B62" w:rsidP="000A0E2E">
            <w:pPr>
              <w:spacing w:before="40" w:after="120"/>
              <w:ind w:right="113"/>
              <w:rPr>
                <w:i/>
                <w:iCs/>
                <w:lang w:val="fr-CH"/>
              </w:rPr>
            </w:pPr>
            <w:r w:rsidRPr="000A0E2E">
              <w:rPr>
                <w:lang w:val="fr-CH"/>
              </w:rPr>
              <w:t>Entre 2 mois et un an de prison</w:t>
            </w:r>
            <w:r w:rsidRPr="000A0E2E">
              <w:rPr>
                <w:i/>
                <w:iCs/>
                <w:lang w:val="fr-CH"/>
              </w:rPr>
              <w:t xml:space="preserve"> </w:t>
            </w:r>
          </w:p>
        </w:tc>
      </w:tr>
      <w:tr w:rsidR="00570B62" w:rsidRPr="00BC4A1A" w:rsidTr="00BC4A1A">
        <w:trPr>
          <w:trHeight w:val="340"/>
        </w:trPr>
        <w:tc>
          <w:tcPr>
            <w:tcW w:w="2977" w:type="dxa"/>
            <w:shd w:val="clear" w:color="auto" w:fill="auto"/>
          </w:tcPr>
          <w:p w:rsidR="00570B62" w:rsidRPr="000A0E2E" w:rsidRDefault="00570B62" w:rsidP="000A0E2E">
            <w:pPr>
              <w:spacing w:before="40" w:after="120"/>
              <w:ind w:right="113"/>
              <w:rPr>
                <w:i/>
                <w:iCs/>
                <w:lang w:val="fr-CH"/>
              </w:rPr>
            </w:pPr>
            <w:r w:rsidRPr="000A0E2E">
              <w:rPr>
                <w:lang w:val="fr-CH"/>
              </w:rPr>
              <w:t>Attentat à la pudeur commis sur les femmes.</w:t>
            </w:r>
          </w:p>
        </w:tc>
        <w:tc>
          <w:tcPr>
            <w:tcW w:w="3118" w:type="dxa"/>
            <w:shd w:val="clear" w:color="auto" w:fill="auto"/>
          </w:tcPr>
          <w:p w:rsidR="00570B62" w:rsidRPr="000A0E2E" w:rsidRDefault="00570B62" w:rsidP="000A0E2E">
            <w:pPr>
              <w:spacing w:before="40" w:after="120"/>
              <w:ind w:right="113"/>
              <w:rPr>
                <w:i/>
                <w:iCs/>
                <w:lang w:val="fr-CH"/>
              </w:rPr>
            </w:pPr>
            <w:r w:rsidRPr="000A0E2E">
              <w:rPr>
                <w:lang w:val="fr-CH"/>
              </w:rPr>
              <w:t>Entre 4 ans et 20 ans de prison</w:t>
            </w:r>
          </w:p>
        </w:tc>
      </w:tr>
      <w:tr w:rsidR="00570B62" w:rsidRPr="00BC4A1A" w:rsidTr="00BC4A1A">
        <w:tc>
          <w:tcPr>
            <w:tcW w:w="2977" w:type="dxa"/>
            <w:shd w:val="clear" w:color="auto" w:fill="auto"/>
          </w:tcPr>
          <w:p w:rsidR="00570B62" w:rsidRPr="000A0E2E" w:rsidRDefault="00570B62" w:rsidP="000A0E2E">
            <w:pPr>
              <w:spacing w:before="40" w:after="120"/>
              <w:ind w:right="113"/>
              <w:rPr>
                <w:i/>
                <w:iCs/>
                <w:lang w:val="fr-CH"/>
              </w:rPr>
            </w:pPr>
            <w:r w:rsidRPr="000A0E2E">
              <w:rPr>
                <w:lang w:val="fr-CH"/>
              </w:rPr>
              <w:t>Viol commis avec violence</w:t>
            </w:r>
          </w:p>
        </w:tc>
        <w:tc>
          <w:tcPr>
            <w:tcW w:w="3118" w:type="dxa"/>
            <w:shd w:val="clear" w:color="auto" w:fill="auto"/>
          </w:tcPr>
          <w:p w:rsidR="00570B62" w:rsidRPr="000A0E2E" w:rsidRDefault="00570B62" w:rsidP="000A0E2E">
            <w:pPr>
              <w:spacing w:before="40" w:after="120"/>
              <w:ind w:right="113"/>
              <w:rPr>
                <w:i/>
                <w:iCs/>
                <w:lang w:val="fr-CH"/>
              </w:rPr>
            </w:pPr>
            <w:r w:rsidRPr="000A0E2E">
              <w:rPr>
                <w:lang w:val="fr-CH"/>
              </w:rPr>
              <w:t>Entre 5 ans et l</w:t>
            </w:r>
            <w:r w:rsidR="00961388" w:rsidRPr="000A0E2E">
              <w:rPr>
                <w:lang w:val="fr-CH"/>
              </w:rPr>
              <w:t>’</w:t>
            </w:r>
            <w:r w:rsidRPr="000A0E2E">
              <w:rPr>
                <w:lang w:val="fr-CH"/>
              </w:rPr>
              <w:t>emprisonnement à vie</w:t>
            </w:r>
          </w:p>
        </w:tc>
      </w:tr>
    </w:tbl>
    <w:p w:rsidR="00570B62" w:rsidRPr="00961388" w:rsidRDefault="00570B62" w:rsidP="0080196F">
      <w:pPr>
        <w:spacing w:before="240" w:after="240"/>
        <w:rPr>
          <w:i/>
          <w:iCs/>
          <w:lang w:val="fr-CH"/>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83"/>
        <w:gridCol w:w="3087"/>
      </w:tblGrid>
      <w:tr w:rsidR="00570B62" w:rsidRPr="00BC4A1A" w:rsidTr="00283379">
        <w:tblPrEx>
          <w:tblCellMar>
            <w:top w:w="0" w:type="dxa"/>
            <w:bottom w:w="0" w:type="dxa"/>
          </w:tblCellMar>
        </w:tblPrEx>
        <w:trPr>
          <w:tblHeader/>
        </w:trPr>
        <w:tc>
          <w:tcPr>
            <w:tcW w:w="7370" w:type="dxa"/>
            <w:gridSpan w:val="2"/>
            <w:tcBorders>
              <w:top w:val="single" w:sz="4" w:space="0" w:color="auto"/>
              <w:bottom w:val="single" w:sz="4" w:space="0" w:color="auto"/>
            </w:tcBorders>
            <w:shd w:val="clear" w:color="auto" w:fill="auto"/>
            <w:vAlign w:val="bottom"/>
          </w:tcPr>
          <w:p w:rsidR="00570B62" w:rsidRPr="0080196F" w:rsidRDefault="00570B62" w:rsidP="0080196F">
            <w:pPr>
              <w:spacing w:before="80" w:after="80" w:line="200" w:lineRule="exact"/>
              <w:ind w:right="113"/>
              <w:rPr>
                <w:i/>
                <w:sz w:val="16"/>
                <w:lang w:val="fr-CH"/>
              </w:rPr>
            </w:pPr>
            <w:r w:rsidRPr="000A0E2E">
              <w:rPr>
                <w:i/>
                <w:sz w:val="16"/>
                <w:lang w:val="fr-CH"/>
              </w:rPr>
              <w:t xml:space="preserve">Nombre (par durée </w:t>
            </w:r>
            <w:r w:rsidR="00BC4A1A" w:rsidRPr="000A0E2E">
              <w:rPr>
                <w:i/>
                <w:sz w:val="16"/>
                <w:lang w:val="fr-CH"/>
              </w:rPr>
              <w:t>d’emprisonnement)</w:t>
            </w:r>
            <w:r w:rsidRPr="000A0E2E">
              <w:rPr>
                <w:i/>
                <w:sz w:val="16"/>
                <w:lang w:val="fr-CH"/>
              </w:rPr>
              <w:t xml:space="preserve"> de personnes jugées pour des infractions sexuelles</w:t>
            </w:r>
          </w:p>
        </w:tc>
      </w:tr>
      <w:tr w:rsidR="00CB4FE8" w:rsidRPr="00BC4A1A" w:rsidTr="00283379">
        <w:tblPrEx>
          <w:tblCellMar>
            <w:top w:w="0" w:type="dxa"/>
            <w:bottom w:w="0" w:type="dxa"/>
          </w:tblCellMar>
        </w:tblPrEx>
        <w:trPr>
          <w:tblHeader/>
        </w:trPr>
        <w:tc>
          <w:tcPr>
            <w:tcW w:w="7370" w:type="dxa"/>
            <w:gridSpan w:val="2"/>
            <w:tcBorders>
              <w:top w:val="single" w:sz="4" w:space="0" w:color="auto"/>
              <w:bottom w:val="single" w:sz="4" w:space="0" w:color="auto"/>
            </w:tcBorders>
            <w:shd w:val="clear" w:color="auto" w:fill="auto"/>
            <w:vAlign w:val="bottom"/>
          </w:tcPr>
          <w:p w:rsidR="00CB4FE8" w:rsidRPr="000A0E2E" w:rsidRDefault="00CB4FE8" w:rsidP="0080196F">
            <w:pPr>
              <w:spacing w:before="80" w:after="80" w:line="200" w:lineRule="exact"/>
              <w:ind w:right="113"/>
              <w:rPr>
                <w:i/>
                <w:sz w:val="16"/>
                <w:lang w:val="fr-CH"/>
              </w:rPr>
            </w:pPr>
            <w:r w:rsidRPr="00CB4FE8">
              <w:rPr>
                <w:i/>
                <w:sz w:val="16"/>
                <w:lang w:val="fr-CH"/>
              </w:rPr>
              <w:t>(Femmes victimes)</w:t>
            </w:r>
          </w:p>
        </w:tc>
      </w:tr>
      <w:tr w:rsidR="0084673D" w:rsidRPr="00BC4A1A" w:rsidTr="00283379">
        <w:tblPrEx>
          <w:tblCellMar>
            <w:top w:w="0" w:type="dxa"/>
            <w:bottom w:w="0" w:type="dxa"/>
          </w:tblCellMar>
        </w:tblPrEx>
        <w:trPr>
          <w:tblHeader/>
        </w:trPr>
        <w:tc>
          <w:tcPr>
            <w:tcW w:w="7370" w:type="dxa"/>
            <w:gridSpan w:val="2"/>
            <w:tcBorders>
              <w:top w:val="single" w:sz="4" w:space="0" w:color="auto"/>
              <w:bottom w:val="single" w:sz="4" w:space="0" w:color="auto"/>
            </w:tcBorders>
            <w:shd w:val="clear" w:color="auto" w:fill="auto"/>
            <w:vAlign w:val="bottom"/>
          </w:tcPr>
          <w:p w:rsidR="0084673D" w:rsidRPr="000A0E2E" w:rsidRDefault="00CB4FE8" w:rsidP="0080196F">
            <w:pPr>
              <w:spacing w:before="80" w:after="80" w:line="200" w:lineRule="exact"/>
              <w:ind w:right="113"/>
              <w:rPr>
                <w:i/>
                <w:sz w:val="16"/>
                <w:lang w:val="fr-CH"/>
              </w:rPr>
            </w:pPr>
            <w:r w:rsidRPr="00CB4FE8">
              <w:rPr>
                <w:i/>
                <w:sz w:val="16"/>
                <w:lang w:val="fr-CH"/>
              </w:rPr>
              <w:t>Année judiciaire 2008-2009</w:t>
            </w:r>
          </w:p>
        </w:tc>
      </w:tr>
      <w:tr w:rsidR="00570B62" w:rsidRPr="00BC4A1A" w:rsidTr="00283379">
        <w:tblPrEx>
          <w:tblCellMar>
            <w:top w:w="0" w:type="dxa"/>
            <w:bottom w:w="0" w:type="dxa"/>
          </w:tblCellMar>
        </w:tblPrEx>
        <w:tc>
          <w:tcPr>
            <w:tcW w:w="4283" w:type="dxa"/>
            <w:tcBorders>
              <w:top w:val="single" w:sz="4" w:space="0" w:color="auto"/>
              <w:bottom w:val="single" w:sz="12" w:space="0" w:color="auto"/>
            </w:tcBorders>
            <w:shd w:val="clear" w:color="auto" w:fill="auto"/>
          </w:tcPr>
          <w:p w:rsidR="00570B62" w:rsidRPr="00CB4FE8" w:rsidRDefault="00570B62" w:rsidP="00CB4FE8">
            <w:pPr>
              <w:spacing w:before="80" w:after="80" w:line="200" w:lineRule="exact"/>
              <w:ind w:right="113"/>
              <w:rPr>
                <w:i/>
                <w:sz w:val="16"/>
                <w:lang w:val="fr-CH"/>
              </w:rPr>
            </w:pPr>
            <w:r w:rsidRPr="00CB4FE8">
              <w:rPr>
                <w:i/>
                <w:sz w:val="16"/>
                <w:lang w:val="fr-CH"/>
              </w:rPr>
              <w:t>Durée d</w:t>
            </w:r>
            <w:r w:rsidR="00961388" w:rsidRPr="00CB4FE8">
              <w:rPr>
                <w:i/>
                <w:sz w:val="16"/>
                <w:lang w:val="fr-CH"/>
              </w:rPr>
              <w:t>’</w:t>
            </w:r>
            <w:r w:rsidRPr="00CB4FE8">
              <w:rPr>
                <w:i/>
                <w:sz w:val="16"/>
                <w:lang w:val="fr-CH"/>
              </w:rPr>
              <w:t>emprisonnement</w:t>
            </w:r>
          </w:p>
        </w:tc>
        <w:tc>
          <w:tcPr>
            <w:tcW w:w="3087" w:type="dxa"/>
            <w:tcBorders>
              <w:top w:val="single" w:sz="4" w:space="0" w:color="auto"/>
              <w:bottom w:val="single" w:sz="12" w:space="0" w:color="auto"/>
            </w:tcBorders>
            <w:shd w:val="clear" w:color="auto" w:fill="auto"/>
          </w:tcPr>
          <w:p w:rsidR="00570B62" w:rsidRPr="00CB4FE8" w:rsidRDefault="00570B62" w:rsidP="00921E98">
            <w:pPr>
              <w:spacing w:before="80" w:after="80" w:line="200" w:lineRule="exact"/>
              <w:jc w:val="right"/>
              <w:rPr>
                <w:i/>
                <w:sz w:val="16"/>
                <w:lang w:val="fr-CH"/>
              </w:rPr>
            </w:pPr>
            <w:r w:rsidRPr="00CB4FE8">
              <w:rPr>
                <w:i/>
                <w:sz w:val="16"/>
                <w:lang w:val="fr-CH"/>
              </w:rPr>
              <w:t>Nombre</w:t>
            </w:r>
          </w:p>
        </w:tc>
      </w:tr>
      <w:tr w:rsidR="00570B62" w:rsidRPr="00BC4A1A" w:rsidTr="00C179E4">
        <w:tblPrEx>
          <w:tblCellMar>
            <w:top w:w="0" w:type="dxa"/>
            <w:bottom w:w="0" w:type="dxa"/>
          </w:tblCellMar>
        </w:tblPrEx>
        <w:tc>
          <w:tcPr>
            <w:tcW w:w="4283" w:type="dxa"/>
            <w:tcBorders>
              <w:top w:val="single" w:sz="12" w:space="0" w:color="auto"/>
            </w:tcBorders>
            <w:shd w:val="clear" w:color="auto" w:fill="auto"/>
          </w:tcPr>
          <w:p w:rsidR="00570B62" w:rsidRPr="0084673D" w:rsidRDefault="00570B62" w:rsidP="00C179E4">
            <w:pPr>
              <w:spacing w:before="40" w:after="40" w:line="220" w:lineRule="exact"/>
              <w:rPr>
                <w:i/>
                <w:iCs/>
                <w:lang w:val="fr-CH"/>
              </w:rPr>
            </w:pPr>
            <w:r w:rsidRPr="0084673D">
              <w:rPr>
                <w:lang w:val="fr-CH"/>
              </w:rPr>
              <w:t>Moins d</w:t>
            </w:r>
            <w:r w:rsidR="00961388" w:rsidRPr="0084673D">
              <w:rPr>
                <w:lang w:val="fr-CH"/>
              </w:rPr>
              <w:t>’</w:t>
            </w:r>
            <w:r w:rsidRPr="0084673D">
              <w:rPr>
                <w:lang w:val="fr-CH"/>
              </w:rPr>
              <w:t>un mois</w:t>
            </w:r>
          </w:p>
        </w:tc>
        <w:tc>
          <w:tcPr>
            <w:tcW w:w="3087" w:type="dxa"/>
            <w:tcBorders>
              <w:top w:val="single" w:sz="12" w:space="0" w:color="auto"/>
            </w:tcBorders>
            <w:shd w:val="clear" w:color="auto" w:fill="auto"/>
          </w:tcPr>
          <w:p w:rsidR="00570B62" w:rsidRPr="00E03002" w:rsidRDefault="00570B62" w:rsidP="00C179E4">
            <w:pPr>
              <w:spacing w:before="40" w:after="40" w:line="220" w:lineRule="exact"/>
              <w:jc w:val="right"/>
              <w:rPr>
                <w:iCs/>
                <w:lang w:val="fr-CH"/>
              </w:rPr>
            </w:pPr>
            <w:r w:rsidRPr="00E03002">
              <w:rPr>
                <w:iCs/>
                <w:lang w:val="fr-CH"/>
              </w:rPr>
              <w:t>4</w:t>
            </w:r>
          </w:p>
        </w:tc>
      </w:tr>
      <w:tr w:rsidR="00570B62" w:rsidRPr="00BC4A1A" w:rsidTr="00C179E4">
        <w:tblPrEx>
          <w:tblCellMar>
            <w:top w:w="0" w:type="dxa"/>
            <w:bottom w:w="0" w:type="dxa"/>
          </w:tblCellMar>
        </w:tblPrEx>
        <w:tc>
          <w:tcPr>
            <w:tcW w:w="4283" w:type="dxa"/>
            <w:shd w:val="clear" w:color="auto" w:fill="auto"/>
          </w:tcPr>
          <w:p w:rsidR="00570B62" w:rsidRPr="0084673D" w:rsidRDefault="00570B62" w:rsidP="00C179E4">
            <w:pPr>
              <w:spacing w:before="40" w:after="40" w:line="220" w:lineRule="exact"/>
              <w:rPr>
                <w:i/>
                <w:iCs/>
                <w:lang w:val="fr-CH"/>
              </w:rPr>
            </w:pPr>
            <w:r w:rsidRPr="0084673D">
              <w:rPr>
                <w:lang w:val="fr-CH"/>
              </w:rPr>
              <w:t>D</w:t>
            </w:r>
            <w:r w:rsidR="00961388" w:rsidRPr="0084673D">
              <w:rPr>
                <w:lang w:val="fr-CH"/>
              </w:rPr>
              <w:t>’</w:t>
            </w:r>
            <w:r w:rsidRPr="0084673D">
              <w:rPr>
                <w:lang w:val="fr-CH"/>
              </w:rPr>
              <w:t>un mois à moins d</w:t>
            </w:r>
            <w:r w:rsidR="00961388" w:rsidRPr="0084673D">
              <w:rPr>
                <w:lang w:val="fr-CH"/>
              </w:rPr>
              <w:t>’</w:t>
            </w:r>
            <w:r w:rsidRPr="0084673D">
              <w:rPr>
                <w:lang w:val="fr-CH"/>
              </w:rPr>
              <w:t>un an</w:t>
            </w:r>
          </w:p>
        </w:tc>
        <w:tc>
          <w:tcPr>
            <w:tcW w:w="3087" w:type="dxa"/>
            <w:shd w:val="clear" w:color="auto" w:fill="auto"/>
          </w:tcPr>
          <w:p w:rsidR="00570B62" w:rsidRPr="00E03002" w:rsidRDefault="00570B62" w:rsidP="00C179E4">
            <w:pPr>
              <w:spacing w:before="40" w:after="40" w:line="220" w:lineRule="exact"/>
              <w:jc w:val="right"/>
              <w:rPr>
                <w:iCs/>
                <w:lang w:val="fr-CH"/>
              </w:rPr>
            </w:pPr>
            <w:r w:rsidRPr="00E03002">
              <w:rPr>
                <w:iCs/>
                <w:lang w:val="fr-CH"/>
              </w:rPr>
              <w:t>215</w:t>
            </w:r>
          </w:p>
        </w:tc>
      </w:tr>
      <w:tr w:rsidR="00570B62" w:rsidRPr="00BC4A1A" w:rsidTr="00C179E4">
        <w:tblPrEx>
          <w:tblCellMar>
            <w:top w:w="0" w:type="dxa"/>
            <w:bottom w:w="0" w:type="dxa"/>
          </w:tblCellMar>
        </w:tblPrEx>
        <w:tc>
          <w:tcPr>
            <w:tcW w:w="4283" w:type="dxa"/>
            <w:tcBorders>
              <w:bottom w:val="nil"/>
            </w:tcBorders>
            <w:shd w:val="clear" w:color="auto" w:fill="auto"/>
          </w:tcPr>
          <w:p w:rsidR="00570B62" w:rsidRPr="0084673D" w:rsidRDefault="00570B62" w:rsidP="00C179E4">
            <w:pPr>
              <w:spacing w:before="40" w:after="40" w:line="220" w:lineRule="exact"/>
              <w:rPr>
                <w:i/>
                <w:iCs/>
                <w:lang w:val="fr-CH"/>
              </w:rPr>
            </w:pPr>
            <w:r w:rsidRPr="0084673D">
              <w:rPr>
                <w:lang w:val="fr-CH"/>
              </w:rPr>
              <w:t>D</w:t>
            </w:r>
            <w:r w:rsidR="00961388" w:rsidRPr="0084673D">
              <w:rPr>
                <w:lang w:val="fr-CH"/>
              </w:rPr>
              <w:t>’</w:t>
            </w:r>
            <w:r w:rsidRPr="0084673D">
              <w:rPr>
                <w:lang w:val="fr-CH"/>
              </w:rPr>
              <w:t>un an à moins de 5</w:t>
            </w:r>
            <w:r w:rsidR="0080196F">
              <w:rPr>
                <w:lang w:val="fr-CH"/>
              </w:rPr>
              <w:t xml:space="preserve"> </w:t>
            </w:r>
            <w:r w:rsidRPr="0084673D">
              <w:rPr>
                <w:lang w:val="fr-CH"/>
              </w:rPr>
              <w:t>ans</w:t>
            </w:r>
          </w:p>
        </w:tc>
        <w:tc>
          <w:tcPr>
            <w:tcW w:w="3087" w:type="dxa"/>
            <w:tcBorders>
              <w:bottom w:val="nil"/>
            </w:tcBorders>
            <w:shd w:val="clear" w:color="auto" w:fill="auto"/>
          </w:tcPr>
          <w:p w:rsidR="00570B62" w:rsidRPr="00E03002" w:rsidRDefault="00570B62" w:rsidP="00C179E4">
            <w:pPr>
              <w:spacing w:before="40" w:after="40" w:line="220" w:lineRule="exact"/>
              <w:jc w:val="right"/>
              <w:rPr>
                <w:iCs/>
                <w:lang w:val="fr-CH"/>
              </w:rPr>
            </w:pPr>
            <w:r w:rsidRPr="00E03002">
              <w:rPr>
                <w:iCs/>
                <w:lang w:val="fr-CH"/>
              </w:rPr>
              <w:t>117</w:t>
            </w:r>
          </w:p>
        </w:tc>
      </w:tr>
      <w:tr w:rsidR="00570B62" w:rsidRPr="00BC4A1A" w:rsidTr="00C179E4">
        <w:tblPrEx>
          <w:tblCellMar>
            <w:top w:w="0" w:type="dxa"/>
            <w:bottom w:w="0" w:type="dxa"/>
          </w:tblCellMar>
        </w:tblPrEx>
        <w:tc>
          <w:tcPr>
            <w:tcW w:w="4283" w:type="dxa"/>
            <w:tcBorders>
              <w:top w:val="nil"/>
              <w:bottom w:val="single" w:sz="4" w:space="0" w:color="auto"/>
            </w:tcBorders>
            <w:shd w:val="clear" w:color="auto" w:fill="auto"/>
          </w:tcPr>
          <w:p w:rsidR="00570B62" w:rsidRPr="0084673D" w:rsidRDefault="00570B62" w:rsidP="00C179E4">
            <w:pPr>
              <w:spacing w:before="40" w:after="40" w:line="220" w:lineRule="exact"/>
              <w:rPr>
                <w:i/>
                <w:iCs/>
                <w:lang w:val="fr-CH"/>
              </w:rPr>
            </w:pPr>
            <w:r w:rsidRPr="0084673D">
              <w:rPr>
                <w:lang w:val="fr-CH"/>
              </w:rPr>
              <w:t>Plus de 5</w:t>
            </w:r>
            <w:r w:rsidR="0080196F">
              <w:rPr>
                <w:lang w:val="fr-CH"/>
              </w:rPr>
              <w:t xml:space="preserve"> </w:t>
            </w:r>
            <w:r w:rsidRPr="0084673D">
              <w:rPr>
                <w:lang w:val="fr-CH"/>
              </w:rPr>
              <w:t>ans</w:t>
            </w:r>
          </w:p>
        </w:tc>
        <w:tc>
          <w:tcPr>
            <w:tcW w:w="3087" w:type="dxa"/>
            <w:tcBorders>
              <w:top w:val="nil"/>
              <w:bottom w:val="single" w:sz="4" w:space="0" w:color="auto"/>
            </w:tcBorders>
            <w:shd w:val="clear" w:color="auto" w:fill="auto"/>
          </w:tcPr>
          <w:p w:rsidR="00570B62" w:rsidRPr="00E03002" w:rsidRDefault="00570B62" w:rsidP="00C179E4">
            <w:pPr>
              <w:spacing w:before="40" w:after="40" w:line="220" w:lineRule="exact"/>
              <w:jc w:val="right"/>
              <w:rPr>
                <w:iCs/>
                <w:lang w:val="fr-CH"/>
              </w:rPr>
            </w:pPr>
            <w:r w:rsidRPr="00E03002">
              <w:rPr>
                <w:iCs/>
                <w:lang w:val="fr-CH"/>
              </w:rPr>
              <w:t>43</w:t>
            </w:r>
          </w:p>
        </w:tc>
      </w:tr>
      <w:tr w:rsidR="00570B62" w:rsidRPr="00D54A69" w:rsidTr="00C179E4">
        <w:tblPrEx>
          <w:tblCellMar>
            <w:top w:w="0" w:type="dxa"/>
            <w:bottom w:w="0" w:type="dxa"/>
          </w:tblCellMar>
        </w:tblPrEx>
        <w:tc>
          <w:tcPr>
            <w:tcW w:w="4283" w:type="dxa"/>
            <w:tcBorders>
              <w:top w:val="single" w:sz="4" w:space="0" w:color="auto"/>
              <w:bottom w:val="single" w:sz="12" w:space="0" w:color="auto"/>
            </w:tcBorders>
            <w:shd w:val="clear" w:color="auto" w:fill="auto"/>
          </w:tcPr>
          <w:p w:rsidR="00570B62" w:rsidRPr="00C179E4" w:rsidRDefault="00570B62" w:rsidP="00C179E4">
            <w:pPr>
              <w:spacing w:before="40" w:after="40" w:line="220" w:lineRule="exact"/>
              <w:ind w:firstLine="284"/>
              <w:rPr>
                <w:b/>
                <w:lang w:val="fr-CH"/>
              </w:rPr>
            </w:pPr>
            <w:r w:rsidRPr="00D54A69">
              <w:rPr>
                <w:b/>
                <w:lang w:val="fr-CH"/>
              </w:rPr>
              <w:t>Total</w:t>
            </w:r>
          </w:p>
        </w:tc>
        <w:tc>
          <w:tcPr>
            <w:tcW w:w="3087" w:type="dxa"/>
            <w:tcBorders>
              <w:top w:val="single" w:sz="4" w:space="0" w:color="auto"/>
              <w:bottom w:val="single" w:sz="12" w:space="0" w:color="auto"/>
            </w:tcBorders>
            <w:shd w:val="clear" w:color="auto" w:fill="auto"/>
          </w:tcPr>
          <w:p w:rsidR="00570B62" w:rsidRPr="00C179E4" w:rsidRDefault="00570B62" w:rsidP="00C179E4">
            <w:pPr>
              <w:spacing w:before="40" w:after="40" w:line="220" w:lineRule="exact"/>
              <w:jc w:val="right"/>
              <w:rPr>
                <w:b/>
                <w:lang w:val="fr-CH"/>
              </w:rPr>
            </w:pPr>
            <w:r w:rsidRPr="00C179E4">
              <w:rPr>
                <w:b/>
                <w:lang w:val="fr-CH"/>
              </w:rPr>
              <w:t>379</w:t>
            </w:r>
          </w:p>
        </w:tc>
      </w:tr>
    </w:tbl>
    <w:p w:rsidR="00570B62" w:rsidRPr="00910D7D" w:rsidRDefault="00570B62" w:rsidP="00BC4A1A">
      <w:pPr>
        <w:pStyle w:val="SingleTxtG"/>
        <w:spacing w:before="240" w:after="240"/>
        <w:rPr>
          <w:b/>
          <w:lang w:val="fr-CH"/>
        </w:rPr>
      </w:pPr>
      <w:r w:rsidRPr="00961388">
        <w:rPr>
          <w:lang w:val="fr-CH"/>
        </w:rPr>
        <w:t>89.</w:t>
      </w:r>
      <w:r w:rsidRPr="00961388">
        <w:rPr>
          <w:lang w:val="fr-CH"/>
        </w:rPr>
        <w:tab/>
      </w:r>
      <w:r w:rsidRPr="00910D7D">
        <w:rPr>
          <w:b/>
          <w:lang w:val="fr-CH"/>
        </w:rPr>
        <w:t>Nombre d</w:t>
      </w:r>
      <w:r w:rsidR="00961388" w:rsidRPr="00910D7D">
        <w:rPr>
          <w:b/>
          <w:lang w:val="fr-CH"/>
        </w:rPr>
        <w:t>’</w:t>
      </w:r>
      <w:r w:rsidRPr="00910D7D">
        <w:rPr>
          <w:b/>
          <w:lang w:val="fr-CH"/>
        </w:rPr>
        <w:t>affaires de violence conjugale à l</w:t>
      </w:r>
      <w:r w:rsidR="00961388" w:rsidRPr="00910D7D">
        <w:rPr>
          <w:b/>
          <w:lang w:val="fr-CH"/>
        </w:rPr>
        <w:t>’</w:t>
      </w:r>
      <w:r w:rsidRPr="00910D7D">
        <w:rPr>
          <w:b/>
          <w:lang w:val="fr-CH"/>
        </w:rPr>
        <w:t>égard de l</w:t>
      </w:r>
      <w:r w:rsidR="00961388" w:rsidRPr="00910D7D">
        <w:rPr>
          <w:b/>
          <w:lang w:val="fr-CH"/>
        </w:rPr>
        <w:t>’</w:t>
      </w:r>
      <w:r w:rsidRPr="00910D7D">
        <w:rPr>
          <w:b/>
          <w:lang w:val="fr-CH"/>
        </w:rPr>
        <w:t>épouse ex</w:t>
      </w:r>
      <w:r w:rsidR="000A0E2E">
        <w:rPr>
          <w:b/>
          <w:lang w:val="fr-CH"/>
        </w:rPr>
        <w:t>aminées. Année judiciaire 2008-</w:t>
      </w:r>
      <w:r w:rsidRPr="00910D7D">
        <w:rPr>
          <w:b/>
          <w:lang w:val="fr-CH"/>
        </w:rPr>
        <w:t>2009</w:t>
      </w:r>
      <w:r w:rsidR="00961388" w:rsidRPr="00910D7D">
        <w:rPr>
          <w:b/>
          <w:lang w:val="fr-CH"/>
        </w:rPr>
        <w:t>:</w:t>
      </w:r>
      <w:r w:rsidRPr="00910D7D">
        <w:rPr>
          <w:b/>
          <w:lang w:val="fr-CH"/>
        </w:rPr>
        <w:t xml:space="preserve"> ministère public</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00"/>
        <w:gridCol w:w="1166"/>
        <w:gridCol w:w="1100"/>
        <w:gridCol w:w="1000"/>
        <w:gridCol w:w="1000"/>
        <w:gridCol w:w="1124"/>
        <w:gridCol w:w="980"/>
      </w:tblGrid>
      <w:tr w:rsidR="00570B62" w:rsidRPr="00BC4A1A" w:rsidTr="00921E98">
        <w:trPr>
          <w:tblHeader/>
        </w:trPr>
        <w:tc>
          <w:tcPr>
            <w:tcW w:w="7370" w:type="dxa"/>
            <w:gridSpan w:val="7"/>
            <w:tcBorders>
              <w:top w:val="single" w:sz="4" w:space="0" w:color="auto"/>
              <w:bottom w:val="single" w:sz="4" w:space="0" w:color="auto"/>
            </w:tcBorders>
            <w:shd w:val="clear" w:color="auto" w:fill="auto"/>
            <w:vAlign w:val="bottom"/>
          </w:tcPr>
          <w:p w:rsidR="00570B62" w:rsidRPr="00BC4A1A" w:rsidRDefault="00570B62" w:rsidP="00921E98">
            <w:pPr>
              <w:suppressAutoHyphens w:val="0"/>
              <w:spacing w:before="80" w:after="80" w:line="200" w:lineRule="exact"/>
              <w:ind w:right="113"/>
              <w:jc w:val="center"/>
              <w:rPr>
                <w:i/>
                <w:iCs/>
                <w:sz w:val="16"/>
                <w:lang w:val="fr-CH"/>
              </w:rPr>
            </w:pPr>
            <w:r w:rsidRPr="00BC4A1A">
              <w:rPr>
                <w:i/>
                <w:iCs/>
                <w:sz w:val="16"/>
                <w:lang w:val="fr-CH"/>
              </w:rPr>
              <w:t>Ministère public</w:t>
            </w:r>
          </w:p>
        </w:tc>
      </w:tr>
      <w:tr w:rsidR="00BC4A1A" w:rsidRPr="00BC4A1A" w:rsidTr="00921E98">
        <w:tc>
          <w:tcPr>
            <w:tcW w:w="1000" w:type="dxa"/>
            <w:tcBorders>
              <w:top w:val="single" w:sz="4" w:space="0" w:color="auto"/>
              <w:bottom w:val="single" w:sz="12" w:space="0" w:color="auto"/>
            </w:tcBorders>
            <w:shd w:val="clear" w:color="auto" w:fill="auto"/>
          </w:tcPr>
          <w:p w:rsidR="00570B62" w:rsidRPr="00921E98" w:rsidRDefault="00570B62" w:rsidP="00921E98">
            <w:pPr>
              <w:spacing w:before="80" w:after="80" w:line="200" w:lineRule="exact"/>
              <w:jc w:val="right"/>
              <w:rPr>
                <w:i/>
                <w:sz w:val="16"/>
                <w:lang w:val="fr-CH"/>
              </w:rPr>
            </w:pPr>
            <w:r w:rsidRPr="00921E98">
              <w:rPr>
                <w:i/>
                <w:sz w:val="16"/>
                <w:lang w:val="fr-CH"/>
              </w:rPr>
              <w:t>Affaires Enrôlées</w:t>
            </w:r>
          </w:p>
        </w:tc>
        <w:tc>
          <w:tcPr>
            <w:tcW w:w="1166" w:type="dxa"/>
            <w:tcBorders>
              <w:top w:val="single" w:sz="4" w:space="0" w:color="auto"/>
              <w:bottom w:val="single" w:sz="12" w:space="0" w:color="auto"/>
            </w:tcBorders>
            <w:shd w:val="clear" w:color="auto" w:fill="auto"/>
          </w:tcPr>
          <w:p w:rsidR="00570B62" w:rsidRPr="00921E98" w:rsidRDefault="00570B62" w:rsidP="00921E98">
            <w:pPr>
              <w:spacing w:before="80" w:after="80" w:line="200" w:lineRule="exact"/>
              <w:jc w:val="right"/>
              <w:rPr>
                <w:i/>
                <w:sz w:val="16"/>
                <w:lang w:val="fr-CH"/>
              </w:rPr>
            </w:pPr>
            <w:r w:rsidRPr="00921E98">
              <w:rPr>
                <w:i/>
                <w:sz w:val="16"/>
                <w:lang w:val="fr-CH"/>
              </w:rPr>
              <w:t xml:space="preserve">Procès-verbaux et plaintes examinées </w:t>
            </w:r>
          </w:p>
        </w:tc>
        <w:tc>
          <w:tcPr>
            <w:tcW w:w="1100" w:type="dxa"/>
            <w:tcBorders>
              <w:top w:val="single" w:sz="4" w:space="0" w:color="auto"/>
              <w:bottom w:val="single" w:sz="12" w:space="0" w:color="auto"/>
            </w:tcBorders>
            <w:shd w:val="clear" w:color="auto" w:fill="auto"/>
          </w:tcPr>
          <w:p w:rsidR="00570B62" w:rsidRPr="00921E98" w:rsidRDefault="00570B62" w:rsidP="00921E98">
            <w:pPr>
              <w:spacing w:before="80" w:after="80" w:line="200" w:lineRule="exact"/>
              <w:jc w:val="right"/>
              <w:rPr>
                <w:i/>
                <w:sz w:val="16"/>
                <w:lang w:val="fr-CH"/>
              </w:rPr>
            </w:pPr>
            <w:r w:rsidRPr="00921E98">
              <w:rPr>
                <w:i/>
                <w:sz w:val="16"/>
                <w:lang w:val="fr-CH"/>
              </w:rPr>
              <w:t xml:space="preserve">Classement </w:t>
            </w:r>
            <w:r w:rsidR="00C179E4">
              <w:rPr>
                <w:i/>
                <w:sz w:val="16"/>
                <w:lang w:val="fr-CH"/>
              </w:rPr>
              <w:br/>
            </w:r>
            <w:r w:rsidRPr="00921E98">
              <w:rPr>
                <w:i/>
                <w:sz w:val="16"/>
                <w:lang w:val="fr-CH"/>
              </w:rPr>
              <w:t xml:space="preserve">pour </w:t>
            </w:r>
            <w:r w:rsidR="00C179E4">
              <w:rPr>
                <w:i/>
                <w:sz w:val="16"/>
                <w:lang w:val="fr-CH"/>
              </w:rPr>
              <w:br/>
            </w:r>
            <w:r w:rsidRPr="00921E98">
              <w:rPr>
                <w:i/>
                <w:sz w:val="16"/>
                <w:lang w:val="fr-CH"/>
              </w:rPr>
              <w:t>désistement</w:t>
            </w:r>
          </w:p>
        </w:tc>
        <w:tc>
          <w:tcPr>
            <w:tcW w:w="1000" w:type="dxa"/>
            <w:tcBorders>
              <w:top w:val="single" w:sz="4" w:space="0" w:color="auto"/>
              <w:bottom w:val="single" w:sz="12" w:space="0" w:color="auto"/>
            </w:tcBorders>
            <w:shd w:val="clear" w:color="auto" w:fill="auto"/>
          </w:tcPr>
          <w:p w:rsidR="00570B62" w:rsidRPr="00921E98" w:rsidRDefault="00570B62" w:rsidP="00921E98">
            <w:pPr>
              <w:spacing w:before="80" w:after="80" w:line="200" w:lineRule="exact"/>
              <w:jc w:val="right"/>
              <w:rPr>
                <w:i/>
                <w:sz w:val="16"/>
                <w:lang w:val="fr-CH"/>
              </w:rPr>
            </w:pPr>
            <w:r w:rsidRPr="00921E98">
              <w:rPr>
                <w:i/>
                <w:sz w:val="16"/>
                <w:lang w:val="fr-CH"/>
              </w:rPr>
              <w:t xml:space="preserve">Classement pour </w:t>
            </w:r>
            <w:r w:rsidR="0080196F">
              <w:rPr>
                <w:i/>
                <w:sz w:val="16"/>
                <w:lang w:val="fr-CH"/>
              </w:rPr>
              <w:br/>
            </w:r>
            <w:r w:rsidRPr="00921E98">
              <w:rPr>
                <w:i/>
                <w:sz w:val="16"/>
                <w:lang w:val="fr-CH"/>
              </w:rPr>
              <w:t>d</w:t>
            </w:r>
            <w:r w:rsidR="00961388" w:rsidRPr="00921E98">
              <w:rPr>
                <w:i/>
                <w:sz w:val="16"/>
                <w:lang w:val="fr-CH"/>
              </w:rPr>
              <w:t>’</w:t>
            </w:r>
            <w:r w:rsidRPr="00921E98">
              <w:rPr>
                <w:i/>
                <w:sz w:val="16"/>
                <w:lang w:val="fr-CH"/>
              </w:rPr>
              <w:t xml:space="preserve">autres </w:t>
            </w:r>
            <w:r w:rsidR="0080196F">
              <w:rPr>
                <w:i/>
                <w:sz w:val="16"/>
                <w:lang w:val="fr-CH"/>
              </w:rPr>
              <w:br/>
            </w:r>
            <w:r w:rsidRPr="00921E98">
              <w:rPr>
                <w:i/>
                <w:sz w:val="16"/>
                <w:lang w:val="fr-CH"/>
              </w:rPr>
              <w:t xml:space="preserve">motifs </w:t>
            </w:r>
          </w:p>
        </w:tc>
        <w:tc>
          <w:tcPr>
            <w:tcW w:w="1000" w:type="dxa"/>
            <w:tcBorders>
              <w:top w:val="single" w:sz="4" w:space="0" w:color="auto"/>
              <w:bottom w:val="single" w:sz="12" w:space="0" w:color="auto"/>
            </w:tcBorders>
            <w:shd w:val="clear" w:color="auto" w:fill="auto"/>
          </w:tcPr>
          <w:p w:rsidR="00570B62" w:rsidRPr="00921E98" w:rsidRDefault="00570B62" w:rsidP="00921E98">
            <w:pPr>
              <w:spacing w:before="80" w:after="80" w:line="200" w:lineRule="exact"/>
              <w:jc w:val="right"/>
              <w:rPr>
                <w:i/>
                <w:sz w:val="16"/>
                <w:lang w:val="fr-CH"/>
              </w:rPr>
            </w:pPr>
            <w:r w:rsidRPr="00921E98">
              <w:rPr>
                <w:i/>
                <w:sz w:val="16"/>
                <w:lang w:val="fr-CH"/>
              </w:rPr>
              <w:t>Renvoi devant le tribunal cantonal</w:t>
            </w:r>
          </w:p>
        </w:tc>
        <w:tc>
          <w:tcPr>
            <w:tcW w:w="1124" w:type="dxa"/>
            <w:tcBorders>
              <w:top w:val="single" w:sz="4" w:space="0" w:color="auto"/>
              <w:bottom w:val="single" w:sz="12" w:space="0" w:color="auto"/>
            </w:tcBorders>
            <w:shd w:val="clear" w:color="auto" w:fill="auto"/>
          </w:tcPr>
          <w:p w:rsidR="00570B62" w:rsidRPr="00921E98" w:rsidRDefault="00570B62" w:rsidP="00921E98">
            <w:pPr>
              <w:spacing w:before="80" w:after="80" w:line="200" w:lineRule="exact"/>
              <w:jc w:val="right"/>
              <w:rPr>
                <w:i/>
                <w:sz w:val="16"/>
                <w:lang w:val="fr-CH"/>
              </w:rPr>
            </w:pPr>
            <w:r w:rsidRPr="00921E98">
              <w:rPr>
                <w:i/>
                <w:sz w:val="16"/>
                <w:lang w:val="fr-CH"/>
              </w:rPr>
              <w:t>Renvoi en correctionnelle</w:t>
            </w:r>
          </w:p>
        </w:tc>
        <w:tc>
          <w:tcPr>
            <w:tcW w:w="980" w:type="dxa"/>
            <w:tcBorders>
              <w:top w:val="single" w:sz="4" w:space="0" w:color="auto"/>
              <w:bottom w:val="single" w:sz="12" w:space="0" w:color="auto"/>
            </w:tcBorders>
            <w:shd w:val="clear" w:color="auto" w:fill="auto"/>
          </w:tcPr>
          <w:p w:rsidR="00570B62" w:rsidRPr="00921E98" w:rsidRDefault="00570B62" w:rsidP="00921E98">
            <w:pPr>
              <w:spacing w:before="80" w:after="80" w:line="200" w:lineRule="exact"/>
              <w:jc w:val="right"/>
              <w:rPr>
                <w:i/>
                <w:sz w:val="16"/>
                <w:lang w:val="fr-CH"/>
              </w:rPr>
            </w:pPr>
            <w:r w:rsidRPr="00921E98">
              <w:rPr>
                <w:i/>
                <w:sz w:val="16"/>
                <w:lang w:val="fr-CH"/>
              </w:rPr>
              <w:t>Ouverture d</w:t>
            </w:r>
            <w:r w:rsidR="00961388" w:rsidRPr="00921E98">
              <w:rPr>
                <w:i/>
                <w:sz w:val="16"/>
                <w:lang w:val="fr-CH"/>
              </w:rPr>
              <w:t>’</w:t>
            </w:r>
            <w:r w:rsidRPr="00921E98">
              <w:rPr>
                <w:i/>
                <w:sz w:val="16"/>
                <w:lang w:val="fr-CH"/>
              </w:rPr>
              <w:t>une information d</w:t>
            </w:r>
            <w:r w:rsidR="00961388" w:rsidRPr="00921E98">
              <w:rPr>
                <w:i/>
                <w:sz w:val="16"/>
                <w:lang w:val="fr-CH"/>
              </w:rPr>
              <w:t>’</w:t>
            </w:r>
            <w:r w:rsidRPr="00921E98">
              <w:rPr>
                <w:i/>
                <w:sz w:val="16"/>
                <w:lang w:val="fr-CH"/>
              </w:rPr>
              <w:t>instruction</w:t>
            </w:r>
          </w:p>
        </w:tc>
      </w:tr>
      <w:tr w:rsidR="00BC4A1A" w:rsidRPr="00BC4A1A" w:rsidTr="00921E98">
        <w:tc>
          <w:tcPr>
            <w:tcW w:w="1000" w:type="dxa"/>
            <w:tcBorders>
              <w:top w:val="single" w:sz="12" w:space="0" w:color="auto"/>
            </w:tcBorders>
            <w:shd w:val="clear" w:color="auto" w:fill="auto"/>
          </w:tcPr>
          <w:p w:rsidR="00570B62" w:rsidRPr="00F63C32" w:rsidRDefault="00570B62" w:rsidP="00F63C32">
            <w:pPr>
              <w:spacing w:before="40" w:after="40" w:line="220" w:lineRule="exact"/>
              <w:jc w:val="right"/>
              <w:rPr>
                <w:lang w:val="fr-CH"/>
              </w:rPr>
            </w:pPr>
            <w:r w:rsidRPr="00F63C32">
              <w:rPr>
                <w:lang w:val="fr-CH"/>
              </w:rPr>
              <w:t>6.509</w:t>
            </w:r>
          </w:p>
        </w:tc>
        <w:tc>
          <w:tcPr>
            <w:tcW w:w="1166" w:type="dxa"/>
            <w:tcBorders>
              <w:top w:val="single" w:sz="12" w:space="0" w:color="auto"/>
            </w:tcBorders>
            <w:shd w:val="clear" w:color="auto" w:fill="auto"/>
          </w:tcPr>
          <w:p w:rsidR="00570B62" w:rsidRPr="00F63C32" w:rsidRDefault="00570B62" w:rsidP="00F63C32">
            <w:pPr>
              <w:spacing w:before="40" w:after="40" w:line="220" w:lineRule="exact"/>
              <w:jc w:val="right"/>
              <w:rPr>
                <w:lang w:val="fr-CH"/>
              </w:rPr>
            </w:pPr>
            <w:r w:rsidRPr="00F63C32">
              <w:rPr>
                <w:lang w:val="fr-CH"/>
              </w:rPr>
              <w:t>4.339</w:t>
            </w:r>
          </w:p>
        </w:tc>
        <w:tc>
          <w:tcPr>
            <w:tcW w:w="1100" w:type="dxa"/>
            <w:tcBorders>
              <w:top w:val="single" w:sz="12" w:space="0" w:color="auto"/>
            </w:tcBorders>
            <w:shd w:val="clear" w:color="auto" w:fill="auto"/>
          </w:tcPr>
          <w:p w:rsidR="00570B62" w:rsidRPr="00F63C32" w:rsidRDefault="00570B62" w:rsidP="00F63C32">
            <w:pPr>
              <w:spacing w:before="40" w:after="40" w:line="220" w:lineRule="exact"/>
              <w:jc w:val="right"/>
              <w:rPr>
                <w:lang w:val="fr-CH"/>
              </w:rPr>
            </w:pPr>
            <w:r w:rsidRPr="00F63C32">
              <w:rPr>
                <w:lang w:val="fr-CH"/>
              </w:rPr>
              <w:t>1.517</w:t>
            </w:r>
          </w:p>
        </w:tc>
        <w:tc>
          <w:tcPr>
            <w:tcW w:w="1000" w:type="dxa"/>
            <w:tcBorders>
              <w:top w:val="single" w:sz="12" w:space="0" w:color="auto"/>
            </w:tcBorders>
            <w:shd w:val="clear" w:color="auto" w:fill="auto"/>
          </w:tcPr>
          <w:p w:rsidR="00570B62" w:rsidRPr="00F63C32" w:rsidRDefault="00570B62" w:rsidP="00F63C32">
            <w:pPr>
              <w:spacing w:before="40" w:after="40" w:line="220" w:lineRule="exact"/>
              <w:jc w:val="right"/>
              <w:rPr>
                <w:lang w:val="fr-CH"/>
              </w:rPr>
            </w:pPr>
            <w:r w:rsidRPr="00F63C32">
              <w:rPr>
                <w:lang w:val="fr-CH"/>
              </w:rPr>
              <w:t>874</w:t>
            </w:r>
          </w:p>
        </w:tc>
        <w:tc>
          <w:tcPr>
            <w:tcW w:w="1000" w:type="dxa"/>
            <w:tcBorders>
              <w:top w:val="single" w:sz="12" w:space="0" w:color="auto"/>
            </w:tcBorders>
            <w:shd w:val="clear" w:color="auto" w:fill="auto"/>
          </w:tcPr>
          <w:p w:rsidR="00570B62" w:rsidRPr="00F63C32" w:rsidRDefault="00570B62" w:rsidP="00F63C32">
            <w:pPr>
              <w:spacing w:before="40" w:after="40" w:line="220" w:lineRule="exact"/>
              <w:jc w:val="right"/>
              <w:rPr>
                <w:lang w:val="fr-CH"/>
              </w:rPr>
            </w:pPr>
            <w:r w:rsidRPr="00F63C32">
              <w:rPr>
                <w:lang w:val="fr-CH"/>
              </w:rPr>
              <w:t>242</w:t>
            </w:r>
          </w:p>
        </w:tc>
        <w:tc>
          <w:tcPr>
            <w:tcW w:w="1124" w:type="dxa"/>
            <w:tcBorders>
              <w:top w:val="single" w:sz="12" w:space="0" w:color="auto"/>
            </w:tcBorders>
            <w:shd w:val="clear" w:color="auto" w:fill="auto"/>
          </w:tcPr>
          <w:p w:rsidR="00570B62" w:rsidRPr="00F63C32" w:rsidRDefault="00570B62" w:rsidP="00F63C32">
            <w:pPr>
              <w:spacing w:before="40" w:after="40" w:line="220" w:lineRule="exact"/>
              <w:jc w:val="right"/>
              <w:rPr>
                <w:lang w:val="fr-CH"/>
              </w:rPr>
            </w:pPr>
            <w:r w:rsidRPr="00F63C32">
              <w:rPr>
                <w:lang w:val="fr-CH"/>
              </w:rPr>
              <w:t>1.697</w:t>
            </w:r>
          </w:p>
        </w:tc>
        <w:tc>
          <w:tcPr>
            <w:tcW w:w="980" w:type="dxa"/>
            <w:tcBorders>
              <w:top w:val="single" w:sz="12" w:space="0" w:color="auto"/>
            </w:tcBorders>
            <w:shd w:val="clear" w:color="auto" w:fill="auto"/>
          </w:tcPr>
          <w:p w:rsidR="00570B62" w:rsidRPr="00F63C32" w:rsidRDefault="00570B62" w:rsidP="00F63C32">
            <w:pPr>
              <w:spacing w:before="40" w:after="40" w:line="220" w:lineRule="exact"/>
              <w:jc w:val="right"/>
              <w:rPr>
                <w:lang w:val="fr-CH"/>
              </w:rPr>
            </w:pPr>
            <w:r w:rsidRPr="00F63C32">
              <w:rPr>
                <w:lang w:val="fr-CH"/>
              </w:rPr>
              <w:t>9</w:t>
            </w:r>
          </w:p>
        </w:tc>
      </w:tr>
    </w:tbl>
    <w:p w:rsidR="00570B62" w:rsidRPr="00910D7D" w:rsidRDefault="00570B62" w:rsidP="00BC4A1A">
      <w:pPr>
        <w:pStyle w:val="SingleTxtG"/>
        <w:spacing w:before="240" w:after="240"/>
        <w:rPr>
          <w:b/>
          <w:lang w:val="fr-CH"/>
        </w:rPr>
      </w:pPr>
      <w:r w:rsidRPr="00961388">
        <w:rPr>
          <w:lang w:val="fr-CH"/>
        </w:rPr>
        <w:t>90.</w:t>
      </w:r>
      <w:r w:rsidRPr="00961388">
        <w:rPr>
          <w:lang w:val="fr-CH"/>
        </w:rPr>
        <w:tab/>
      </w:r>
      <w:r w:rsidRPr="00910D7D">
        <w:rPr>
          <w:b/>
          <w:lang w:val="fr-CH"/>
        </w:rPr>
        <w:t>Nombre d</w:t>
      </w:r>
      <w:r w:rsidR="00961388" w:rsidRPr="00910D7D">
        <w:rPr>
          <w:b/>
          <w:lang w:val="fr-CH"/>
        </w:rPr>
        <w:t>’</w:t>
      </w:r>
      <w:r w:rsidRPr="00910D7D">
        <w:rPr>
          <w:b/>
          <w:lang w:val="fr-CH"/>
        </w:rPr>
        <w:t>affaires de violence conjugale à l</w:t>
      </w:r>
      <w:r w:rsidR="00961388" w:rsidRPr="00910D7D">
        <w:rPr>
          <w:b/>
          <w:lang w:val="fr-CH"/>
        </w:rPr>
        <w:t>’</w:t>
      </w:r>
      <w:r w:rsidRPr="00910D7D">
        <w:rPr>
          <w:b/>
          <w:lang w:val="fr-CH"/>
        </w:rPr>
        <w:t>égard de l</w:t>
      </w:r>
      <w:r w:rsidR="00961388" w:rsidRPr="00910D7D">
        <w:rPr>
          <w:b/>
          <w:lang w:val="fr-CH"/>
        </w:rPr>
        <w:t>’</w:t>
      </w:r>
      <w:r w:rsidRPr="00910D7D">
        <w:rPr>
          <w:b/>
          <w:lang w:val="fr-CH"/>
        </w:rPr>
        <w:t>épouse ex</w:t>
      </w:r>
      <w:r w:rsidR="000A0E2E">
        <w:rPr>
          <w:b/>
          <w:lang w:val="fr-CH"/>
        </w:rPr>
        <w:t>aminées. Année judiciaire 2008-</w:t>
      </w:r>
      <w:r w:rsidRPr="00910D7D">
        <w:rPr>
          <w:b/>
          <w:lang w:val="fr-CH"/>
        </w:rPr>
        <w:t>2009</w:t>
      </w:r>
      <w:r w:rsidR="00961388" w:rsidRPr="00910D7D">
        <w:rPr>
          <w:b/>
          <w:lang w:val="fr-CH"/>
        </w:rPr>
        <w:t>:</w:t>
      </w:r>
      <w:r w:rsidRPr="00910D7D">
        <w:rPr>
          <w:b/>
          <w:lang w:val="fr-CH"/>
        </w:rPr>
        <w:t xml:space="preserve"> instruction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570B62" w:rsidRPr="00BC4A1A" w:rsidTr="00C179E4">
        <w:trPr>
          <w:tblHeader/>
        </w:trPr>
        <w:tc>
          <w:tcPr>
            <w:tcW w:w="9213" w:type="dxa"/>
            <w:gridSpan w:val="5"/>
            <w:tcBorders>
              <w:top w:val="single" w:sz="4" w:space="0" w:color="auto"/>
              <w:bottom w:val="single" w:sz="4" w:space="0" w:color="auto"/>
            </w:tcBorders>
            <w:shd w:val="clear" w:color="auto" w:fill="auto"/>
            <w:vAlign w:val="bottom"/>
          </w:tcPr>
          <w:p w:rsidR="00570B62" w:rsidRPr="00BC4A1A" w:rsidRDefault="00570B62" w:rsidP="00E03002">
            <w:pPr>
              <w:suppressAutoHyphens w:val="0"/>
              <w:spacing w:before="80" w:after="80" w:line="200" w:lineRule="exact"/>
              <w:ind w:right="113"/>
              <w:jc w:val="center"/>
              <w:rPr>
                <w:i/>
                <w:iCs/>
                <w:sz w:val="16"/>
                <w:lang w:val="fr-CH"/>
              </w:rPr>
            </w:pPr>
            <w:r w:rsidRPr="00BC4A1A">
              <w:rPr>
                <w:i/>
                <w:iCs/>
                <w:sz w:val="16"/>
                <w:lang w:val="fr-CH"/>
              </w:rPr>
              <w:t>Instruction</w:t>
            </w:r>
          </w:p>
        </w:tc>
      </w:tr>
      <w:tr w:rsidR="00570B62" w:rsidRPr="00BC4A1A" w:rsidTr="00C179E4">
        <w:tc>
          <w:tcPr>
            <w:tcW w:w="9213" w:type="dxa"/>
            <w:gridSpan w:val="5"/>
            <w:tcBorders>
              <w:top w:val="single" w:sz="4" w:space="0" w:color="auto"/>
              <w:bottom w:val="single" w:sz="4" w:space="0" w:color="auto"/>
            </w:tcBorders>
            <w:shd w:val="clear" w:color="auto" w:fill="auto"/>
          </w:tcPr>
          <w:p w:rsidR="00570B62" w:rsidRPr="00E03002" w:rsidRDefault="00570B62" w:rsidP="00C179E4">
            <w:pPr>
              <w:keepNext/>
              <w:spacing w:before="80" w:after="80" w:line="200" w:lineRule="exact"/>
              <w:jc w:val="center"/>
              <w:rPr>
                <w:i/>
                <w:iCs/>
                <w:lang w:val="fr-CH"/>
              </w:rPr>
            </w:pPr>
            <w:r w:rsidRPr="00E03002">
              <w:rPr>
                <w:i/>
                <w:sz w:val="16"/>
                <w:lang w:val="fr-CH"/>
              </w:rPr>
              <w:t>Affaires examinées</w:t>
            </w:r>
          </w:p>
        </w:tc>
      </w:tr>
      <w:tr w:rsidR="00BC4A1A" w:rsidRPr="00BC4A1A" w:rsidTr="00C179E4">
        <w:tc>
          <w:tcPr>
            <w:tcW w:w="1842" w:type="dxa"/>
            <w:tcBorders>
              <w:top w:val="single" w:sz="4" w:space="0" w:color="auto"/>
              <w:bottom w:val="single" w:sz="12" w:space="0" w:color="auto"/>
            </w:tcBorders>
            <w:shd w:val="clear" w:color="auto" w:fill="auto"/>
          </w:tcPr>
          <w:p w:rsidR="00570B62" w:rsidRPr="00E03002" w:rsidRDefault="00570B62" w:rsidP="00E03002">
            <w:pPr>
              <w:spacing w:before="80" w:after="80" w:line="200" w:lineRule="exact"/>
              <w:jc w:val="right"/>
              <w:rPr>
                <w:i/>
                <w:sz w:val="16"/>
                <w:lang w:val="fr-CH"/>
              </w:rPr>
            </w:pPr>
            <w:r w:rsidRPr="00E03002">
              <w:rPr>
                <w:i/>
                <w:sz w:val="16"/>
                <w:lang w:val="fr-CH"/>
              </w:rPr>
              <w:t>Affaires Enrôlées</w:t>
            </w:r>
          </w:p>
        </w:tc>
        <w:tc>
          <w:tcPr>
            <w:tcW w:w="1842" w:type="dxa"/>
            <w:tcBorders>
              <w:top w:val="single" w:sz="4" w:space="0" w:color="auto"/>
              <w:bottom w:val="single" w:sz="12" w:space="0" w:color="auto"/>
            </w:tcBorders>
            <w:shd w:val="clear" w:color="auto" w:fill="auto"/>
          </w:tcPr>
          <w:p w:rsidR="00570B62" w:rsidRPr="00E03002" w:rsidRDefault="00570B62" w:rsidP="00E03002">
            <w:pPr>
              <w:spacing w:before="80" w:after="80" w:line="200" w:lineRule="exact"/>
              <w:jc w:val="right"/>
              <w:rPr>
                <w:i/>
                <w:sz w:val="16"/>
                <w:lang w:val="fr-CH"/>
              </w:rPr>
            </w:pPr>
            <w:r w:rsidRPr="00E03002">
              <w:rPr>
                <w:i/>
                <w:sz w:val="16"/>
                <w:lang w:val="fr-CH"/>
              </w:rPr>
              <w:t>Renvoi devant la Chambre criminelle</w:t>
            </w:r>
          </w:p>
        </w:tc>
        <w:tc>
          <w:tcPr>
            <w:tcW w:w="1843" w:type="dxa"/>
            <w:tcBorders>
              <w:top w:val="single" w:sz="4" w:space="0" w:color="auto"/>
              <w:bottom w:val="single" w:sz="12" w:space="0" w:color="auto"/>
            </w:tcBorders>
            <w:shd w:val="clear" w:color="auto" w:fill="auto"/>
          </w:tcPr>
          <w:p w:rsidR="00570B62" w:rsidRPr="00E03002" w:rsidRDefault="00570B62" w:rsidP="00E03002">
            <w:pPr>
              <w:spacing w:before="80" w:after="80" w:line="200" w:lineRule="exact"/>
              <w:jc w:val="right"/>
              <w:rPr>
                <w:i/>
                <w:sz w:val="16"/>
                <w:lang w:val="fr-CH"/>
              </w:rPr>
            </w:pPr>
            <w:r w:rsidRPr="00E03002">
              <w:rPr>
                <w:i/>
                <w:sz w:val="16"/>
                <w:lang w:val="fr-CH"/>
              </w:rPr>
              <w:t>Renvoi en correctionnelle</w:t>
            </w:r>
          </w:p>
        </w:tc>
        <w:tc>
          <w:tcPr>
            <w:tcW w:w="1843" w:type="dxa"/>
            <w:tcBorders>
              <w:top w:val="single" w:sz="4" w:space="0" w:color="auto"/>
              <w:bottom w:val="single" w:sz="12" w:space="0" w:color="auto"/>
            </w:tcBorders>
            <w:shd w:val="clear" w:color="auto" w:fill="auto"/>
          </w:tcPr>
          <w:p w:rsidR="00570B62" w:rsidRPr="00E03002" w:rsidRDefault="00570B62" w:rsidP="00E03002">
            <w:pPr>
              <w:spacing w:before="80" w:after="80" w:line="200" w:lineRule="exact"/>
              <w:jc w:val="right"/>
              <w:rPr>
                <w:i/>
                <w:sz w:val="16"/>
                <w:lang w:val="fr-CH"/>
              </w:rPr>
            </w:pPr>
            <w:r w:rsidRPr="00E03002">
              <w:rPr>
                <w:i/>
                <w:sz w:val="16"/>
                <w:lang w:val="fr-CH"/>
              </w:rPr>
              <w:t>Renvoi devant le tribunal cantonal</w:t>
            </w:r>
          </w:p>
        </w:tc>
        <w:tc>
          <w:tcPr>
            <w:tcW w:w="1843" w:type="dxa"/>
            <w:tcBorders>
              <w:top w:val="single" w:sz="4" w:space="0" w:color="auto"/>
              <w:bottom w:val="single" w:sz="12" w:space="0" w:color="auto"/>
            </w:tcBorders>
            <w:shd w:val="clear" w:color="auto" w:fill="auto"/>
          </w:tcPr>
          <w:p w:rsidR="00570B62" w:rsidRPr="00E03002" w:rsidRDefault="00570B62" w:rsidP="00E03002">
            <w:pPr>
              <w:spacing w:before="80" w:after="80" w:line="200" w:lineRule="exact"/>
              <w:jc w:val="right"/>
              <w:rPr>
                <w:i/>
                <w:sz w:val="16"/>
                <w:lang w:val="fr-CH"/>
              </w:rPr>
            </w:pPr>
            <w:r w:rsidRPr="00E03002">
              <w:rPr>
                <w:i/>
                <w:sz w:val="16"/>
                <w:lang w:val="fr-CH"/>
              </w:rPr>
              <w:t>Classement</w:t>
            </w:r>
          </w:p>
        </w:tc>
      </w:tr>
      <w:tr w:rsidR="00BC4A1A" w:rsidRPr="00BC4A1A" w:rsidTr="00C179E4">
        <w:tc>
          <w:tcPr>
            <w:tcW w:w="1842" w:type="dxa"/>
            <w:tcBorders>
              <w:top w:val="single" w:sz="12" w:space="0" w:color="auto"/>
            </w:tcBorders>
            <w:shd w:val="clear" w:color="auto" w:fill="auto"/>
          </w:tcPr>
          <w:p w:rsidR="00570B62" w:rsidRPr="00E03002" w:rsidRDefault="00570B62" w:rsidP="00E03002">
            <w:pPr>
              <w:spacing w:before="40" w:after="40" w:line="220" w:lineRule="exact"/>
              <w:jc w:val="right"/>
              <w:rPr>
                <w:lang w:val="fr-CH"/>
              </w:rPr>
            </w:pPr>
            <w:r w:rsidRPr="00E03002">
              <w:rPr>
                <w:lang w:val="fr-CH"/>
              </w:rPr>
              <w:t>4</w:t>
            </w:r>
          </w:p>
        </w:tc>
        <w:tc>
          <w:tcPr>
            <w:tcW w:w="1842" w:type="dxa"/>
            <w:tcBorders>
              <w:top w:val="single" w:sz="12" w:space="0" w:color="auto"/>
            </w:tcBorders>
            <w:shd w:val="clear" w:color="auto" w:fill="auto"/>
          </w:tcPr>
          <w:p w:rsidR="00570B62" w:rsidRPr="00E03002" w:rsidRDefault="00570B62" w:rsidP="00E03002">
            <w:pPr>
              <w:spacing w:before="40" w:after="40" w:line="220" w:lineRule="exact"/>
              <w:jc w:val="right"/>
              <w:rPr>
                <w:lang w:val="fr-CH"/>
              </w:rPr>
            </w:pPr>
            <w:r w:rsidRPr="00E03002">
              <w:rPr>
                <w:lang w:val="fr-CH"/>
              </w:rPr>
              <w:t>0</w:t>
            </w:r>
          </w:p>
        </w:tc>
        <w:tc>
          <w:tcPr>
            <w:tcW w:w="1843" w:type="dxa"/>
            <w:tcBorders>
              <w:top w:val="single" w:sz="12" w:space="0" w:color="auto"/>
            </w:tcBorders>
            <w:shd w:val="clear" w:color="auto" w:fill="auto"/>
          </w:tcPr>
          <w:p w:rsidR="00570B62" w:rsidRPr="00E03002" w:rsidRDefault="00570B62" w:rsidP="00E03002">
            <w:pPr>
              <w:spacing w:before="40" w:after="40" w:line="220" w:lineRule="exact"/>
              <w:jc w:val="right"/>
              <w:rPr>
                <w:lang w:val="fr-CH"/>
              </w:rPr>
            </w:pPr>
            <w:r w:rsidRPr="00E03002">
              <w:rPr>
                <w:lang w:val="fr-CH"/>
              </w:rPr>
              <w:t>2</w:t>
            </w:r>
          </w:p>
        </w:tc>
        <w:tc>
          <w:tcPr>
            <w:tcW w:w="1843" w:type="dxa"/>
            <w:tcBorders>
              <w:top w:val="single" w:sz="12" w:space="0" w:color="auto"/>
            </w:tcBorders>
            <w:shd w:val="clear" w:color="auto" w:fill="auto"/>
          </w:tcPr>
          <w:p w:rsidR="00570B62" w:rsidRPr="00E03002" w:rsidRDefault="00570B62" w:rsidP="00E03002">
            <w:pPr>
              <w:spacing w:before="40" w:after="40" w:line="220" w:lineRule="exact"/>
              <w:jc w:val="right"/>
              <w:rPr>
                <w:lang w:val="fr-CH"/>
              </w:rPr>
            </w:pPr>
            <w:r w:rsidRPr="00E03002">
              <w:rPr>
                <w:lang w:val="fr-CH"/>
              </w:rPr>
              <w:t>0</w:t>
            </w:r>
          </w:p>
        </w:tc>
        <w:tc>
          <w:tcPr>
            <w:tcW w:w="1843" w:type="dxa"/>
            <w:tcBorders>
              <w:top w:val="single" w:sz="12" w:space="0" w:color="auto"/>
            </w:tcBorders>
            <w:shd w:val="clear" w:color="auto" w:fill="auto"/>
          </w:tcPr>
          <w:p w:rsidR="00570B62" w:rsidRPr="00E03002" w:rsidRDefault="00570B62" w:rsidP="00E03002">
            <w:pPr>
              <w:spacing w:before="40" w:after="40" w:line="220" w:lineRule="exact"/>
              <w:jc w:val="right"/>
              <w:rPr>
                <w:lang w:val="fr-CH"/>
              </w:rPr>
            </w:pPr>
            <w:r w:rsidRPr="00E03002">
              <w:rPr>
                <w:lang w:val="fr-CH"/>
              </w:rPr>
              <w:t>4</w:t>
            </w:r>
          </w:p>
        </w:tc>
      </w:tr>
    </w:tbl>
    <w:p w:rsidR="00570B62" w:rsidRPr="00910D7D" w:rsidRDefault="00570B62" w:rsidP="00BC4A1A">
      <w:pPr>
        <w:pStyle w:val="SingleTxtG"/>
        <w:spacing w:before="240" w:after="240"/>
        <w:rPr>
          <w:b/>
          <w:lang w:val="fr-CH"/>
        </w:rPr>
      </w:pPr>
      <w:r w:rsidRPr="00961388">
        <w:rPr>
          <w:lang w:val="fr-CH"/>
        </w:rPr>
        <w:t>91.</w:t>
      </w:r>
      <w:r w:rsidRPr="00961388">
        <w:rPr>
          <w:lang w:val="fr-CH"/>
        </w:rPr>
        <w:tab/>
      </w:r>
      <w:r w:rsidRPr="00910D7D">
        <w:rPr>
          <w:b/>
          <w:lang w:val="fr-CH"/>
        </w:rPr>
        <w:t>Nombre d</w:t>
      </w:r>
      <w:r w:rsidR="00961388" w:rsidRPr="00910D7D">
        <w:rPr>
          <w:b/>
          <w:lang w:val="fr-CH"/>
        </w:rPr>
        <w:t>’</w:t>
      </w:r>
      <w:r w:rsidRPr="00910D7D">
        <w:rPr>
          <w:b/>
          <w:lang w:val="fr-CH"/>
        </w:rPr>
        <w:t>affaires de violence conjugale à l</w:t>
      </w:r>
      <w:r w:rsidR="00961388" w:rsidRPr="00910D7D">
        <w:rPr>
          <w:b/>
          <w:lang w:val="fr-CH"/>
        </w:rPr>
        <w:t>’</w:t>
      </w:r>
      <w:r w:rsidRPr="00910D7D">
        <w:rPr>
          <w:b/>
          <w:lang w:val="fr-CH"/>
        </w:rPr>
        <w:t>égard de l</w:t>
      </w:r>
      <w:r w:rsidR="00961388" w:rsidRPr="00910D7D">
        <w:rPr>
          <w:b/>
          <w:lang w:val="fr-CH"/>
        </w:rPr>
        <w:t>’</w:t>
      </w:r>
      <w:r w:rsidRPr="00910D7D">
        <w:rPr>
          <w:b/>
          <w:lang w:val="fr-CH"/>
        </w:rPr>
        <w:t>épouse examinées. Année judiciaire 2008-2009. cour d</w:t>
      </w:r>
      <w:r w:rsidR="00961388" w:rsidRPr="00910D7D">
        <w:rPr>
          <w:b/>
          <w:lang w:val="fr-CH"/>
        </w:rPr>
        <w:t>’</w:t>
      </w:r>
      <w:r w:rsidRPr="00910D7D">
        <w:rPr>
          <w:b/>
          <w:lang w:val="fr-CH"/>
        </w:rPr>
        <w:t xml:space="preserve">appel </w:t>
      </w:r>
      <w:r w:rsidR="00BC4A1A">
        <w:rPr>
          <w:b/>
          <w:lang w:val="fr-CH"/>
        </w:rPr>
        <w:t>−</w:t>
      </w:r>
      <w:r w:rsidRPr="00910D7D">
        <w:rPr>
          <w:b/>
          <w:lang w:val="fr-CH"/>
        </w:rPr>
        <w:t xml:space="preserve"> tribunal de première instance </w:t>
      </w:r>
      <w:r w:rsidR="00BC4A1A">
        <w:rPr>
          <w:b/>
          <w:lang w:val="fr-CH"/>
        </w:rPr>
        <w:t>−</w:t>
      </w:r>
      <w:r w:rsidRPr="00910D7D">
        <w:rPr>
          <w:b/>
          <w:lang w:val="fr-CH"/>
        </w:rPr>
        <w:t xml:space="preserve"> juridiction cantonale </w:t>
      </w:r>
    </w:p>
    <w:tbl>
      <w:tblPr>
        <w:tblW w:w="749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4A0" w:firstRow="1" w:lastRow="0" w:firstColumn="1" w:lastColumn="0" w:noHBand="0" w:noVBand="1"/>
      </w:tblPr>
      <w:tblGrid>
        <w:gridCol w:w="979"/>
        <w:gridCol w:w="708"/>
        <w:gridCol w:w="115"/>
        <w:gridCol w:w="864"/>
        <w:gridCol w:w="1365"/>
        <w:gridCol w:w="911"/>
        <w:gridCol w:w="862"/>
        <w:gridCol w:w="114"/>
        <w:gridCol w:w="719"/>
        <w:gridCol w:w="853"/>
      </w:tblGrid>
      <w:tr w:rsidR="0080196F" w:rsidRPr="00BC4A1A" w:rsidTr="0080196F">
        <w:trPr>
          <w:tblHeader/>
        </w:trPr>
        <w:tc>
          <w:tcPr>
            <w:tcW w:w="973" w:type="dxa"/>
            <w:vMerge w:val="restart"/>
            <w:tcBorders>
              <w:top w:val="single" w:sz="4" w:space="0" w:color="auto"/>
              <w:bottom w:val="single" w:sz="12" w:space="0" w:color="auto"/>
            </w:tcBorders>
            <w:shd w:val="clear" w:color="000000" w:fill="auto"/>
            <w:vAlign w:val="bottom"/>
          </w:tcPr>
          <w:p w:rsidR="0080196F" w:rsidRPr="00E03002" w:rsidRDefault="0080196F" w:rsidP="00E03002">
            <w:pPr>
              <w:spacing w:before="80" w:after="80" w:line="200" w:lineRule="exact"/>
              <w:jc w:val="right"/>
              <w:rPr>
                <w:i/>
                <w:sz w:val="16"/>
                <w:lang w:val="fr-CH"/>
              </w:rPr>
            </w:pPr>
            <w:r w:rsidRPr="00E03002">
              <w:rPr>
                <w:i/>
                <w:sz w:val="16"/>
                <w:lang w:val="fr-CH"/>
              </w:rPr>
              <w:t>Degré de juridiction</w:t>
            </w:r>
          </w:p>
        </w:tc>
        <w:tc>
          <w:tcPr>
            <w:tcW w:w="704" w:type="dxa"/>
            <w:vMerge w:val="restart"/>
            <w:tcBorders>
              <w:top w:val="single" w:sz="4" w:space="0" w:color="auto"/>
              <w:bottom w:val="single" w:sz="12" w:space="0" w:color="auto"/>
              <w:right w:val="nil"/>
            </w:tcBorders>
            <w:shd w:val="clear" w:color="000000" w:fill="auto"/>
            <w:vAlign w:val="bottom"/>
          </w:tcPr>
          <w:p w:rsidR="0080196F" w:rsidRPr="00E03002" w:rsidRDefault="0080196F" w:rsidP="00E03002">
            <w:pPr>
              <w:spacing w:before="80" w:after="80" w:line="200" w:lineRule="exact"/>
              <w:jc w:val="right"/>
              <w:rPr>
                <w:i/>
                <w:sz w:val="16"/>
                <w:lang w:val="fr-CH"/>
              </w:rPr>
            </w:pPr>
            <w:r w:rsidRPr="00E03002">
              <w:rPr>
                <w:i/>
                <w:sz w:val="16"/>
                <w:lang w:val="fr-CH"/>
              </w:rPr>
              <w:t>Affaires Enrôlées</w:t>
            </w:r>
          </w:p>
        </w:tc>
        <w:tc>
          <w:tcPr>
            <w:tcW w:w="114" w:type="dxa"/>
            <w:vMerge w:val="restart"/>
            <w:tcBorders>
              <w:top w:val="single" w:sz="4" w:space="0" w:color="auto"/>
              <w:left w:val="nil"/>
              <w:bottom w:val="single" w:sz="12" w:space="0" w:color="auto"/>
              <w:right w:val="nil"/>
            </w:tcBorders>
            <w:shd w:val="clear" w:color="000000" w:fill="auto"/>
            <w:vAlign w:val="bottom"/>
          </w:tcPr>
          <w:p w:rsidR="0080196F" w:rsidRPr="00E03002" w:rsidRDefault="0080196F" w:rsidP="00E03002">
            <w:pPr>
              <w:spacing w:before="80" w:after="80" w:line="200" w:lineRule="exact"/>
              <w:jc w:val="right"/>
              <w:rPr>
                <w:i/>
                <w:sz w:val="16"/>
                <w:lang w:val="fr-CH"/>
              </w:rPr>
            </w:pPr>
          </w:p>
        </w:tc>
        <w:tc>
          <w:tcPr>
            <w:tcW w:w="3977" w:type="dxa"/>
            <w:gridSpan w:val="4"/>
            <w:tcBorders>
              <w:top w:val="single" w:sz="4" w:space="0" w:color="auto"/>
              <w:left w:val="nil"/>
              <w:bottom w:val="single" w:sz="4" w:space="0" w:color="auto"/>
            </w:tcBorders>
            <w:shd w:val="clear" w:color="000000" w:fill="auto"/>
            <w:vAlign w:val="bottom"/>
          </w:tcPr>
          <w:p w:rsidR="0080196F" w:rsidRPr="00BC4A1A" w:rsidRDefault="0080196F" w:rsidP="00E03002">
            <w:pPr>
              <w:suppressAutoHyphens w:val="0"/>
              <w:spacing w:before="80" w:after="80" w:line="200" w:lineRule="exact"/>
              <w:ind w:right="113"/>
              <w:jc w:val="center"/>
              <w:rPr>
                <w:bCs/>
                <w:i/>
                <w:iCs/>
                <w:sz w:val="16"/>
                <w:lang w:val="fr-CH"/>
              </w:rPr>
            </w:pPr>
            <w:r w:rsidRPr="00BC4A1A">
              <w:rPr>
                <w:bCs/>
                <w:i/>
                <w:iCs/>
                <w:sz w:val="16"/>
                <w:lang w:val="fr-CH"/>
              </w:rPr>
              <w:t>Affaires examinées</w:t>
            </w:r>
          </w:p>
        </w:tc>
        <w:tc>
          <w:tcPr>
            <w:tcW w:w="113" w:type="dxa"/>
            <w:vMerge w:val="restart"/>
            <w:tcBorders>
              <w:top w:val="single" w:sz="4" w:space="0" w:color="auto"/>
              <w:bottom w:val="single" w:sz="12" w:space="0" w:color="auto"/>
              <w:right w:val="nil"/>
            </w:tcBorders>
            <w:shd w:val="clear" w:color="000000" w:fill="auto"/>
            <w:vAlign w:val="bottom"/>
          </w:tcPr>
          <w:p w:rsidR="0080196F" w:rsidRDefault="0080196F" w:rsidP="00E03002">
            <w:pPr>
              <w:spacing w:before="80" w:after="80" w:line="200" w:lineRule="exact"/>
              <w:jc w:val="right"/>
              <w:rPr>
                <w:i/>
                <w:sz w:val="16"/>
                <w:lang w:val="fr-CH"/>
              </w:rPr>
            </w:pPr>
          </w:p>
          <w:p w:rsidR="0080196F" w:rsidRPr="00E03002" w:rsidRDefault="0080196F" w:rsidP="0080196F">
            <w:pPr>
              <w:spacing w:before="80" w:after="80" w:line="200" w:lineRule="exact"/>
              <w:jc w:val="right"/>
              <w:rPr>
                <w:i/>
                <w:sz w:val="16"/>
                <w:lang w:val="fr-CH"/>
              </w:rPr>
            </w:pPr>
          </w:p>
        </w:tc>
        <w:tc>
          <w:tcPr>
            <w:tcW w:w="714" w:type="dxa"/>
            <w:vMerge w:val="restart"/>
            <w:tcBorders>
              <w:top w:val="single" w:sz="4" w:space="0" w:color="auto"/>
              <w:left w:val="nil"/>
              <w:bottom w:val="single" w:sz="12" w:space="0" w:color="auto"/>
            </w:tcBorders>
            <w:shd w:val="clear" w:color="000000" w:fill="auto"/>
            <w:vAlign w:val="bottom"/>
          </w:tcPr>
          <w:p w:rsidR="0080196F" w:rsidRDefault="0080196F" w:rsidP="00E03002">
            <w:pPr>
              <w:spacing w:before="80" w:after="80" w:line="200" w:lineRule="exact"/>
              <w:jc w:val="right"/>
              <w:rPr>
                <w:i/>
                <w:sz w:val="16"/>
                <w:lang w:val="fr-CH"/>
              </w:rPr>
            </w:pPr>
            <w:r w:rsidRPr="00E03002">
              <w:rPr>
                <w:i/>
                <w:sz w:val="16"/>
                <w:lang w:val="fr-CH"/>
              </w:rPr>
              <w:t xml:space="preserve">Affaires </w:t>
            </w:r>
          </w:p>
          <w:p w:rsidR="0080196F" w:rsidRPr="00E03002" w:rsidRDefault="0080196F" w:rsidP="00E03002">
            <w:pPr>
              <w:spacing w:before="80" w:after="80" w:line="200" w:lineRule="exact"/>
              <w:jc w:val="right"/>
              <w:rPr>
                <w:i/>
                <w:sz w:val="16"/>
                <w:lang w:val="fr-CH"/>
              </w:rPr>
            </w:pPr>
            <w:r w:rsidRPr="00E03002">
              <w:rPr>
                <w:i/>
                <w:sz w:val="16"/>
                <w:lang w:val="fr-CH"/>
              </w:rPr>
              <w:t>exécutées</w:t>
            </w:r>
          </w:p>
        </w:tc>
        <w:tc>
          <w:tcPr>
            <w:tcW w:w="848" w:type="dxa"/>
            <w:vMerge w:val="restart"/>
            <w:tcBorders>
              <w:top w:val="single" w:sz="4" w:space="0" w:color="auto"/>
              <w:bottom w:val="single" w:sz="12" w:space="0" w:color="auto"/>
            </w:tcBorders>
            <w:shd w:val="clear" w:color="000000" w:fill="auto"/>
            <w:vAlign w:val="bottom"/>
          </w:tcPr>
          <w:p w:rsidR="0080196F" w:rsidRPr="00E03002" w:rsidRDefault="0080196F" w:rsidP="00E03002">
            <w:pPr>
              <w:spacing w:before="80" w:after="80" w:line="200" w:lineRule="exact"/>
              <w:jc w:val="right"/>
              <w:rPr>
                <w:i/>
                <w:sz w:val="16"/>
                <w:lang w:val="fr-CH"/>
              </w:rPr>
            </w:pPr>
            <w:r w:rsidRPr="00E03002">
              <w:rPr>
                <w:i/>
                <w:sz w:val="16"/>
                <w:lang w:val="fr-CH"/>
              </w:rPr>
              <w:t>Arrêt de l’exécution pour désistement</w:t>
            </w:r>
          </w:p>
        </w:tc>
      </w:tr>
      <w:tr w:rsidR="0080196F" w:rsidRPr="00BC4A1A" w:rsidTr="0080196F">
        <w:trPr>
          <w:tblHeader/>
        </w:trPr>
        <w:tc>
          <w:tcPr>
            <w:tcW w:w="973" w:type="dxa"/>
            <w:vMerge/>
            <w:tcBorders>
              <w:top w:val="single" w:sz="12" w:space="0" w:color="auto"/>
              <w:bottom w:val="single" w:sz="12" w:space="0" w:color="auto"/>
            </w:tcBorders>
            <w:shd w:val="clear" w:color="000000" w:fill="auto"/>
            <w:vAlign w:val="bottom"/>
          </w:tcPr>
          <w:p w:rsidR="0080196F" w:rsidRPr="00BC4A1A" w:rsidRDefault="0080196F" w:rsidP="00BC4A1A">
            <w:pPr>
              <w:suppressAutoHyphens w:val="0"/>
              <w:spacing w:before="40" w:after="40" w:line="220" w:lineRule="exact"/>
              <w:ind w:right="113"/>
              <w:rPr>
                <w:b/>
                <w:bCs/>
                <w:i/>
                <w:iCs/>
                <w:sz w:val="18"/>
                <w:lang w:val="fr-CH"/>
              </w:rPr>
            </w:pPr>
          </w:p>
        </w:tc>
        <w:tc>
          <w:tcPr>
            <w:tcW w:w="704" w:type="dxa"/>
            <w:vMerge/>
            <w:tcBorders>
              <w:top w:val="single" w:sz="12" w:space="0" w:color="auto"/>
              <w:bottom w:val="single" w:sz="12" w:space="0" w:color="auto"/>
              <w:right w:val="nil"/>
            </w:tcBorders>
            <w:shd w:val="clear" w:color="000000" w:fill="auto"/>
            <w:vAlign w:val="bottom"/>
          </w:tcPr>
          <w:p w:rsidR="0080196F" w:rsidRPr="00BC4A1A" w:rsidRDefault="0080196F" w:rsidP="00BC4A1A">
            <w:pPr>
              <w:suppressAutoHyphens w:val="0"/>
              <w:spacing w:before="40" w:after="40" w:line="220" w:lineRule="exact"/>
              <w:ind w:right="113"/>
              <w:jc w:val="right"/>
              <w:rPr>
                <w:b/>
                <w:bCs/>
                <w:i/>
                <w:iCs/>
                <w:sz w:val="18"/>
                <w:lang w:val="fr-CH"/>
              </w:rPr>
            </w:pPr>
          </w:p>
        </w:tc>
        <w:tc>
          <w:tcPr>
            <w:tcW w:w="114" w:type="dxa"/>
            <w:vMerge/>
            <w:tcBorders>
              <w:top w:val="single" w:sz="12" w:space="0" w:color="auto"/>
              <w:left w:val="nil"/>
              <w:bottom w:val="single" w:sz="12" w:space="0" w:color="auto"/>
              <w:right w:val="nil"/>
            </w:tcBorders>
            <w:shd w:val="clear" w:color="000000" w:fill="auto"/>
            <w:vAlign w:val="bottom"/>
          </w:tcPr>
          <w:p w:rsidR="0080196F" w:rsidRPr="00BC4A1A" w:rsidRDefault="0080196F" w:rsidP="00BC4A1A">
            <w:pPr>
              <w:suppressAutoHyphens w:val="0"/>
              <w:spacing w:before="40" w:after="40" w:line="220" w:lineRule="exact"/>
              <w:ind w:right="113"/>
              <w:jc w:val="right"/>
              <w:rPr>
                <w:b/>
                <w:bCs/>
                <w:i/>
                <w:iCs/>
                <w:sz w:val="18"/>
                <w:lang w:val="fr-CH"/>
              </w:rPr>
            </w:pPr>
          </w:p>
        </w:tc>
        <w:tc>
          <w:tcPr>
            <w:tcW w:w="859" w:type="dxa"/>
            <w:tcBorders>
              <w:top w:val="single" w:sz="4" w:space="0" w:color="auto"/>
              <w:left w:val="nil"/>
              <w:bottom w:val="single" w:sz="12" w:space="0" w:color="auto"/>
            </w:tcBorders>
            <w:shd w:val="clear" w:color="000000" w:fill="auto"/>
            <w:vAlign w:val="bottom"/>
          </w:tcPr>
          <w:p w:rsidR="0080196F" w:rsidRPr="00E03002" w:rsidRDefault="0080196F" w:rsidP="00E03002">
            <w:pPr>
              <w:spacing w:before="80" w:after="80" w:line="200" w:lineRule="exact"/>
              <w:jc w:val="right"/>
              <w:rPr>
                <w:i/>
                <w:sz w:val="16"/>
                <w:lang w:val="fr-CH"/>
              </w:rPr>
            </w:pPr>
            <w:r w:rsidRPr="00E03002">
              <w:rPr>
                <w:i/>
                <w:sz w:val="16"/>
                <w:lang w:val="fr-CH"/>
              </w:rPr>
              <w:t>Arrêt du procès pour désistement</w:t>
            </w:r>
          </w:p>
        </w:tc>
        <w:tc>
          <w:tcPr>
            <w:tcW w:w="1356" w:type="dxa"/>
            <w:tcBorders>
              <w:top w:val="single" w:sz="4" w:space="0" w:color="auto"/>
              <w:bottom w:val="single" w:sz="12" w:space="0" w:color="auto"/>
            </w:tcBorders>
            <w:shd w:val="clear" w:color="000000" w:fill="auto"/>
            <w:vAlign w:val="bottom"/>
          </w:tcPr>
          <w:p w:rsidR="0080196F" w:rsidRPr="00E03002" w:rsidRDefault="0080196F" w:rsidP="00E03002">
            <w:pPr>
              <w:spacing w:before="80" w:after="80" w:line="200" w:lineRule="exact"/>
              <w:jc w:val="right"/>
              <w:rPr>
                <w:i/>
                <w:sz w:val="16"/>
                <w:lang w:val="fr-CH"/>
              </w:rPr>
            </w:pPr>
            <w:r w:rsidRPr="00E03002">
              <w:rPr>
                <w:i/>
                <w:sz w:val="16"/>
                <w:lang w:val="fr-CH"/>
              </w:rPr>
              <w:t>Dessaisissement pour incompétence</w:t>
            </w:r>
          </w:p>
        </w:tc>
        <w:tc>
          <w:tcPr>
            <w:tcW w:w="905" w:type="dxa"/>
            <w:tcBorders>
              <w:top w:val="single" w:sz="4" w:space="0" w:color="auto"/>
              <w:bottom w:val="single" w:sz="12" w:space="0" w:color="auto"/>
            </w:tcBorders>
            <w:shd w:val="clear" w:color="000000" w:fill="auto"/>
            <w:vAlign w:val="bottom"/>
          </w:tcPr>
          <w:p w:rsidR="0080196F" w:rsidRPr="00E03002" w:rsidRDefault="0080196F" w:rsidP="00E03002">
            <w:pPr>
              <w:spacing w:before="80" w:after="80" w:line="200" w:lineRule="exact"/>
              <w:jc w:val="right"/>
              <w:rPr>
                <w:i/>
                <w:sz w:val="16"/>
                <w:lang w:val="fr-CH"/>
              </w:rPr>
            </w:pPr>
            <w:r w:rsidRPr="00E03002">
              <w:rPr>
                <w:i/>
                <w:sz w:val="16"/>
                <w:lang w:val="fr-CH"/>
              </w:rPr>
              <w:t>Non-lieu</w:t>
            </w:r>
          </w:p>
        </w:tc>
        <w:tc>
          <w:tcPr>
            <w:tcW w:w="857" w:type="dxa"/>
            <w:tcBorders>
              <w:top w:val="single" w:sz="4" w:space="0" w:color="auto"/>
              <w:bottom w:val="single" w:sz="12" w:space="0" w:color="auto"/>
            </w:tcBorders>
            <w:shd w:val="clear" w:color="000000" w:fill="auto"/>
            <w:vAlign w:val="bottom"/>
          </w:tcPr>
          <w:p w:rsidR="0080196F" w:rsidRPr="00E03002" w:rsidRDefault="0080196F" w:rsidP="00E03002">
            <w:pPr>
              <w:spacing w:before="80" w:after="80" w:line="200" w:lineRule="exact"/>
              <w:jc w:val="right"/>
              <w:rPr>
                <w:i/>
                <w:sz w:val="16"/>
                <w:lang w:val="fr-CH"/>
              </w:rPr>
            </w:pPr>
            <w:r w:rsidRPr="00E03002">
              <w:rPr>
                <w:i/>
                <w:sz w:val="16"/>
                <w:lang w:val="fr-CH"/>
              </w:rPr>
              <w:t>Culpabilité</w:t>
            </w:r>
          </w:p>
        </w:tc>
        <w:tc>
          <w:tcPr>
            <w:tcW w:w="113" w:type="dxa"/>
            <w:vMerge/>
            <w:tcBorders>
              <w:top w:val="single" w:sz="12" w:space="0" w:color="auto"/>
              <w:bottom w:val="single" w:sz="12" w:space="0" w:color="auto"/>
              <w:right w:val="nil"/>
            </w:tcBorders>
            <w:shd w:val="clear" w:color="000000" w:fill="auto"/>
            <w:vAlign w:val="bottom"/>
          </w:tcPr>
          <w:p w:rsidR="0080196F" w:rsidRPr="00BC4A1A" w:rsidRDefault="0080196F" w:rsidP="00BC4A1A">
            <w:pPr>
              <w:suppressAutoHyphens w:val="0"/>
              <w:spacing w:before="40" w:after="40" w:line="220" w:lineRule="exact"/>
              <w:ind w:right="113"/>
              <w:jc w:val="right"/>
              <w:rPr>
                <w:b/>
                <w:bCs/>
                <w:i/>
                <w:iCs/>
                <w:sz w:val="18"/>
                <w:lang w:val="fr-CH"/>
              </w:rPr>
            </w:pPr>
          </w:p>
        </w:tc>
        <w:tc>
          <w:tcPr>
            <w:tcW w:w="714" w:type="dxa"/>
            <w:vMerge/>
            <w:tcBorders>
              <w:top w:val="single" w:sz="12" w:space="0" w:color="auto"/>
              <w:left w:val="nil"/>
              <w:bottom w:val="single" w:sz="12" w:space="0" w:color="auto"/>
            </w:tcBorders>
            <w:shd w:val="clear" w:color="000000" w:fill="auto"/>
            <w:vAlign w:val="bottom"/>
          </w:tcPr>
          <w:p w:rsidR="0080196F" w:rsidRPr="00BC4A1A" w:rsidRDefault="0080196F" w:rsidP="00BC4A1A">
            <w:pPr>
              <w:suppressAutoHyphens w:val="0"/>
              <w:spacing w:before="40" w:after="40" w:line="220" w:lineRule="exact"/>
              <w:ind w:right="113"/>
              <w:jc w:val="right"/>
              <w:rPr>
                <w:b/>
                <w:bCs/>
                <w:i/>
                <w:iCs/>
                <w:sz w:val="18"/>
                <w:lang w:val="fr-CH"/>
              </w:rPr>
            </w:pPr>
          </w:p>
        </w:tc>
        <w:tc>
          <w:tcPr>
            <w:tcW w:w="848" w:type="dxa"/>
            <w:vMerge/>
            <w:tcBorders>
              <w:top w:val="single" w:sz="12" w:space="0" w:color="auto"/>
              <w:bottom w:val="single" w:sz="12" w:space="0" w:color="auto"/>
            </w:tcBorders>
            <w:shd w:val="clear" w:color="000000" w:fill="auto"/>
            <w:vAlign w:val="bottom"/>
          </w:tcPr>
          <w:p w:rsidR="0080196F" w:rsidRPr="00BC4A1A" w:rsidRDefault="0080196F" w:rsidP="00BC4A1A">
            <w:pPr>
              <w:suppressAutoHyphens w:val="0"/>
              <w:spacing w:before="40" w:after="40" w:line="220" w:lineRule="exact"/>
              <w:ind w:right="113"/>
              <w:jc w:val="right"/>
              <w:rPr>
                <w:b/>
                <w:bCs/>
                <w:i/>
                <w:iCs/>
                <w:sz w:val="18"/>
                <w:lang w:val="fr-CH"/>
              </w:rPr>
            </w:pPr>
          </w:p>
        </w:tc>
      </w:tr>
      <w:tr w:rsidR="0080196F" w:rsidRPr="00BC4A1A" w:rsidTr="0080196F">
        <w:tc>
          <w:tcPr>
            <w:tcW w:w="973" w:type="dxa"/>
            <w:tcBorders>
              <w:top w:val="single" w:sz="12" w:space="0" w:color="auto"/>
            </w:tcBorders>
            <w:shd w:val="clear" w:color="000000" w:fill="auto"/>
          </w:tcPr>
          <w:p w:rsidR="0080196F" w:rsidRPr="00E03002" w:rsidRDefault="0080196F" w:rsidP="00E03002">
            <w:pPr>
              <w:spacing w:before="40" w:after="40" w:line="220" w:lineRule="exact"/>
              <w:rPr>
                <w:sz w:val="18"/>
                <w:lang w:val="fr-CH"/>
              </w:rPr>
            </w:pPr>
            <w:r w:rsidRPr="00E03002">
              <w:rPr>
                <w:sz w:val="18"/>
                <w:lang w:val="fr-CH"/>
              </w:rPr>
              <w:t>Cours d’appel</w:t>
            </w:r>
          </w:p>
        </w:tc>
        <w:tc>
          <w:tcPr>
            <w:tcW w:w="704" w:type="dxa"/>
            <w:tcBorders>
              <w:top w:val="single" w:sz="12" w:space="0" w:color="auto"/>
              <w:right w:val="nil"/>
            </w:tcBorders>
            <w:shd w:val="clear" w:color="000000" w:fill="auto"/>
            <w:vAlign w:val="bottom"/>
          </w:tcPr>
          <w:p w:rsidR="0080196F" w:rsidRPr="00E03002" w:rsidRDefault="0080196F" w:rsidP="00E03002">
            <w:pPr>
              <w:spacing w:before="40" w:after="40" w:line="220" w:lineRule="exact"/>
              <w:jc w:val="right"/>
              <w:rPr>
                <w:sz w:val="18"/>
                <w:lang w:val="fr-CH"/>
              </w:rPr>
            </w:pPr>
            <w:r w:rsidRPr="00E03002">
              <w:rPr>
                <w:sz w:val="18"/>
                <w:lang w:val="fr-CH"/>
              </w:rPr>
              <w:t>517</w:t>
            </w:r>
          </w:p>
        </w:tc>
        <w:tc>
          <w:tcPr>
            <w:tcW w:w="114" w:type="dxa"/>
            <w:tcBorders>
              <w:top w:val="single" w:sz="12" w:space="0" w:color="auto"/>
              <w:left w:val="nil"/>
              <w:bottom w:val="nil"/>
            </w:tcBorders>
            <w:shd w:val="clear" w:color="000000" w:fill="auto"/>
            <w:vAlign w:val="bottom"/>
          </w:tcPr>
          <w:p w:rsidR="0080196F" w:rsidRPr="00E03002" w:rsidRDefault="0080196F" w:rsidP="00E03002">
            <w:pPr>
              <w:spacing w:before="40" w:after="40" w:line="220" w:lineRule="exact"/>
              <w:jc w:val="right"/>
              <w:rPr>
                <w:sz w:val="18"/>
                <w:lang w:val="fr-CH"/>
              </w:rPr>
            </w:pPr>
          </w:p>
        </w:tc>
        <w:tc>
          <w:tcPr>
            <w:tcW w:w="859" w:type="dxa"/>
            <w:tcBorders>
              <w:top w:val="single" w:sz="12" w:space="0" w:color="auto"/>
            </w:tcBorders>
            <w:shd w:val="clear" w:color="000000" w:fill="auto"/>
            <w:vAlign w:val="bottom"/>
          </w:tcPr>
          <w:p w:rsidR="0080196F" w:rsidRPr="00E03002" w:rsidRDefault="0080196F" w:rsidP="00E03002">
            <w:pPr>
              <w:spacing w:before="40" w:after="40" w:line="220" w:lineRule="exact"/>
              <w:jc w:val="right"/>
              <w:rPr>
                <w:sz w:val="18"/>
                <w:lang w:val="fr-CH"/>
              </w:rPr>
            </w:pPr>
            <w:r w:rsidRPr="00E03002">
              <w:rPr>
                <w:sz w:val="18"/>
                <w:lang w:val="fr-CH"/>
              </w:rPr>
              <w:t>280</w:t>
            </w:r>
          </w:p>
        </w:tc>
        <w:tc>
          <w:tcPr>
            <w:tcW w:w="1356" w:type="dxa"/>
            <w:tcBorders>
              <w:top w:val="single" w:sz="12" w:space="0" w:color="auto"/>
            </w:tcBorders>
            <w:shd w:val="clear" w:color="000000" w:fill="auto"/>
            <w:vAlign w:val="bottom"/>
          </w:tcPr>
          <w:p w:rsidR="0080196F" w:rsidRPr="00E03002" w:rsidRDefault="0080196F" w:rsidP="00E03002">
            <w:pPr>
              <w:spacing w:before="40" w:after="40" w:line="220" w:lineRule="exact"/>
              <w:jc w:val="right"/>
              <w:rPr>
                <w:sz w:val="18"/>
                <w:lang w:val="fr-CH"/>
              </w:rPr>
            </w:pPr>
            <w:r w:rsidRPr="00E03002">
              <w:rPr>
                <w:sz w:val="18"/>
                <w:lang w:val="fr-CH"/>
              </w:rPr>
              <w:t>122</w:t>
            </w:r>
          </w:p>
        </w:tc>
        <w:tc>
          <w:tcPr>
            <w:tcW w:w="905" w:type="dxa"/>
            <w:tcBorders>
              <w:top w:val="single" w:sz="12" w:space="0" w:color="auto"/>
            </w:tcBorders>
            <w:shd w:val="clear" w:color="000000" w:fill="auto"/>
            <w:vAlign w:val="bottom"/>
          </w:tcPr>
          <w:p w:rsidR="0080196F" w:rsidRPr="00E03002" w:rsidRDefault="0080196F" w:rsidP="00E03002">
            <w:pPr>
              <w:spacing w:before="40" w:after="40" w:line="220" w:lineRule="exact"/>
              <w:jc w:val="right"/>
              <w:rPr>
                <w:sz w:val="18"/>
                <w:lang w:val="fr-CH"/>
              </w:rPr>
            </w:pPr>
            <w:r w:rsidRPr="00E03002">
              <w:rPr>
                <w:sz w:val="18"/>
                <w:lang w:val="fr-CH"/>
              </w:rPr>
              <w:t>2</w:t>
            </w:r>
          </w:p>
        </w:tc>
        <w:tc>
          <w:tcPr>
            <w:tcW w:w="857" w:type="dxa"/>
            <w:tcBorders>
              <w:top w:val="single" w:sz="12" w:space="0" w:color="auto"/>
            </w:tcBorders>
            <w:shd w:val="clear" w:color="000000" w:fill="auto"/>
            <w:vAlign w:val="bottom"/>
          </w:tcPr>
          <w:p w:rsidR="0080196F" w:rsidRPr="00E03002" w:rsidRDefault="0080196F" w:rsidP="00E03002">
            <w:pPr>
              <w:spacing w:before="40" w:after="40" w:line="220" w:lineRule="exact"/>
              <w:jc w:val="right"/>
              <w:rPr>
                <w:sz w:val="18"/>
                <w:lang w:val="fr-CH"/>
              </w:rPr>
            </w:pPr>
            <w:r w:rsidRPr="00E03002">
              <w:rPr>
                <w:sz w:val="18"/>
                <w:lang w:val="fr-CH"/>
              </w:rPr>
              <w:t>132</w:t>
            </w:r>
          </w:p>
        </w:tc>
        <w:tc>
          <w:tcPr>
            <w:tcW w:w="113" w:type="dxa"/>
            <w:tcBorders>
              <w:top w:val="single" w:sz="12" w:space="0" w:color="auto"/>
              <w:bottom w:val="nil"/>
              <w:right w:val="nil"/>
            </w:tcBorders>
            <w:shd w:val="clear" w:color="000000" w:fill="auto"/>
            <w:vAlign w:val="bottom"/>
          </w:tcPr>
          <w:p w:rsidR="0080196F" w:rsidRPr="00E03002" w:rsidRDefault="0080196F" w:rsidP="0080196F">
            <w:pPr>
              <w:spacing w:before="40" w:after="40" w:line="220" w:lineRule="exact"/>
              <w:jc w:val="right"/>
              <w:rPr>
                <w:sz w:val="18"/>
                <w:lang w:val="fr-CH"/>
              </w:rPr>
            </w:pPr>
          </w:p>
        </w:tc>
        <w:tc>
          <w:tcPr>
            <w:tcW w:w="714" w:type="dxa"/>
            <w:tcBorders>
              <w:top w:val="single" w:sz="12" w:space="0" w:color="auto"/>
              <w:left w:val="nil"/>
            </w:tcBorders>
            <w:shd w:val="clear" w:color="000000" w:fill="auto"/>
            <w:vAlign w:val="bottom"/>
          </w:tcPr>
          <w:p w:rsidR="0080196F" w:rsidRPr="00E03002" w:rsidRDefault="0080196F" w:rsidP="00E03002">
            <w:pPr>
              <w:spacing w:before="40" w:after="40" w:line="220" w:lineRule="exact"/>
              <w:jc w:val="right"/>
              <w:rPr>
                <w:sz w:val="18"/>
                <w:lang w:val="fr-CH"/>
              </w:rPr>
            </w:pPr>
            <w:r w:rsidRPr="00E03002">
              <w:rPr>
                <w:sz w:val="18"/>
                <w:lang w:val="fr-CH"/>
              </w:rPr>
              <w:t>127</w:t>
            </w:r>
          </w:p>
        </w:tc>
        <w:tc>
          <w:tcPr>
            <w:tcW w:w="848" w:type="dxa"/>
            <w:tcBorders>
              <w:top w:val="single" w:sz="12" w:space="0" w:color="auto"/>
            </w:tcBorders>
            <w:shd w:val="clear" w:color="000000" w:fill="auto"/>
            <w:vAlign w:val="bottom"/>
          </w:tcPr>
          <w:p w:rsidR="0080196F" w:rsidRPr="00E03002" w:rsidRDefault="0080196F" w:rsidP="00E03002">
            <w:pPr>
              <w:spacing w:before="40" w:after="40" w:line="220" w:lineRule="exact"/>
              <w:jc w:val="right"/>
              <w:rPr>
                <w:sz w:val="18"/>
                <w:lang w:val="fr-CH"/>
              </w:rPr>
            </w:pPr>
            <w:r w:rsidRPr="00E03002">
              <w:rPr>
                <w:sz w:val="18"/>
                <w:lang w:val="fr-CH"/>
              </w:rPr>
              <w:t>22</w:t>
            </w:r>
          </w:p>
        </w:tc>
      </w:tr>
      <w:tr w:rsidR="0080196F" w:rsidRPr="00BC4A1A" w:rsidTr="0080196F">
        <w:tc>
          <w:tcPr>
            <w:tcW w:w="973" w:type="dxa"/>
            <w:shd w:val="clear" w:color="000000" w:fill="auto"/>
          </w:tcPr>
          <w:p w:rsidR="0080196F" w:rsidRPr="00E03002" w:rsidRDefault="0080196F" w:rsidP="00E03002">
            <w:pPr>
              <w:spacing w:before="40" w:after="40" w:line="220" w:lineRule="exact"/>
              <w:rPr>
                <w:sz w:val="18"/>
                <w:lang w:val="fr-CH"/>
              </w:rPr>
            </w:pPr>
            <w:r w:rsidRPr="00E03002">
              <w:rPr>
                <w:sz w:val="18"/>
                <w:lang w:val="fr-CH"/>
              </w:rPr>
              <w:t xml:space="preserve">Tribunaux </w:t>
            </w:r>
            <w:r>
              <w:rPr>
                <w:sz w:val="18"/>
                <w:lang w:val="fr-CH"/>
              </w:rPr>
              <w:br/>
            </w:r>
            <w:r w:rsidRPr="00E03002">
              <w:rPr>
                <w:sz w:val="18"/>
                <w:lang w:val="fr-CH"/>
              </w:rPr>
              <w:t>de première instance</w:t>
            </w:r>
          </w:p>
        </w:tc>
        <w:tc>
          <w:tcPr>
            <w:tcW w:w="704" w:type="dxa"/>
            <w:tcBorders>
              <w:right w:val="nil"/>
            </w:tcBorders>
            <w:shd w:val="clear" w:color="000000" w:fill="auto"/>
            <w:vAlign w:val="bottom"/>
          </w:tcPr>
          <w:p w:rsidR="0080196F" w:rsidRPr="00E03002" w:rsidRDefault="0080196F" w:rsidP="00E03002">
            <w:pPr>
              <w:spacing w:before="40" w:after="40" w:line="220" w:lineRule="exact"/>
              <w:jc w:val="right"/>
              <w:rPr>
                <w:sz w:val="18"/>
                <w:lang w:val="fr-CH"/>
              </w:rPr>
            </w:pPr>
            <w:r w:rsidRPr="00E03002">
              <w:rPr>
                <w:sz w:val="18"/>
                <w:lang w:val="fr-CH"/>
              </w:rPr>
              <w:t>3.360</w:t>
            </w:r>
          </w:p>
        </w:tc>
        <w:tc>
          <w:tcPr>
            <w:tcW w:w="114" w:type="dxa"/>
            <w:tcBorders>
              <w:top w:val="nil"/>
              <w:left w:val="nil"/>
              <w:bottom w:val="nil"/>
            </w:tcBorders>
            <w:shd w:val="clear" w:color="000000" w:fill="auto"/>
            <w:vAlign w:val="bottom"/>
          </w:tcPr>
          <w:p w:rsidR="0080196F" w:rsidRPr="00E03002" w:rsidRDefault="0080196F" w:rsidP="00E03002">
            <w:pPr>
              <w:spacing w:before="40" w:after="40" w:line="220" w:lineRule="exact"/>
              <w:jc w:val="right"/>
              <w:rPr>
                <w:sz w:val="18"/>
                <w:lang w:val="fr-CH"/>
              </w:rPr>
            </w:pPr>
          </w:p>
        </w:tc>
        <w:tc>
          <w:tcPr>
            <w:tcW w:w="859" w:type="dxa"/>
            <w:shd w:val="clear" w:color="000000" w:fill="auto"/>
            <w:vAlign w:val="bottom"/>
          </w:tcPr>
          <w:p w:rsidR="0080196F" w:rsidRPr="00E03002" w:rsidRDefault="0080196F" w:rsidP="00E03002">
            <w:pPr>
              <w:spacing w:before="40" w:after="40" w:line="220" w:lineRule="exact"/>
              <w:jc w:val="right"/>
              <w:rPr>
                <w:sz w:val="18"/>
                <w:lang w:val="fr-CH"/>
              </w:rPr>
            </w:pPr>
            <w:r w:rsidRPr="00E03002">
              <w:rPr>
                <w:sz w:val="18"/>
                <w:lang w:val="fr-CH"/>
              </w:rPr>
              <w:t>1.802</w:t>
            </w:r>
          </w:p>
        </w:tc>
        <w:tc>
          <w:tcPr>
            <w:tcW w:w="1356" w:type="dxa"/>
            <w:shd w:val="clear" w:color="000000" w:fill="auto"/>
            <w:vAlign w:val="bottom"/>
          </w:tcPr>
          <w:p w:rsidR="0080196F" w:rsidRPr="00E03002" w:rsidRDefault="0080196F" w:rsidP="00E03002">
            <w:pPr>
              <w:spacing w:before="40" w:after="40" w:line="220" w:lineRule="exact"/>
              <w:jc w:val="right"/>
              <w:rPr>
                <w:sz w:val="18"/>
                <w:lang w:val="fr-CH"/>
              </w:rPr>
            </w:pPr>
            <w:r w:rsidRPr="00E03002">
              <w:rPr>
                <w:sz w:val="18"/>
                <w:lang w:val="fr-CH"/>
              </w:rPr>
              <w:t>344</w:t>
            </w:r>
          </w:p>
        </w:tc>
        <w:tc>
          <w:tcPr>
            <w:tcW w:w="905" w:type="dxa"/>
            <w:shd w:val="clear" w:color="000000" w:fill="auto"/>
            <w:vAlign w:val="bottom"/>
          </w:tcPr>
          <w:p w:rsidR="0080196F" w:rsidRPr="00E03002" w:rsidRDefault="0080196F" w:rsidP="00E03002">
            <w:pPr>
              <w:spacing w:before="40" w:after="40" w:line="220" w:lineRule="exact"/>
              <w:jc w:val="right"/>
              <w:rPr>
                <w:sz w:val="18"/>
                <w:lang w:val="fr-CH"/>
              </w:rPr>
            </w:pPr>
            <w:r w:rsidRPr="00E03002">
              <w:rPr>
                <w:sz w:val="18"/>
                <w:lang w:val="fr-CH"/>
              </w:rPr>
              <w:t>41</w:t>
            </w:r>
          </w:p>
        </w:tc>
        <w:tc>
          <w:tcPr>
            <w:tcW w:w="857" w:type="dxa"/>
            <w:shd w:val="clear" w:color="000000" w:fill="auto"/>
            <w:vAlign w:val="bottom"/>
          </w:tcPr>
          <w:p w:rsidR="0080196F" w:rsidRPr="00E03002" w:rsidRDefault="0080196F" w:rsidP="00E03002">
            <w:pPr>
              <w:spacing w:before="40" w:after="40" w:line="220" w:lineRule="exact"/>
              <w:jc w:val="right"/>
              <w:rPr>
                <w:sz w:val="18"/>
                <w:lang w:val="fr-CH"/>
              </w:rPr>
            </w:pPr>
            <w:r w:rsidRPr="00E03002">
              <w:rPr>
                <w:sz w:val="18"/>
                <w:lang w:val="fr-CH"/>
              </w:rPr>
              <w:t>882</w:t>
            </w:r>
          </w:p>
        </w:tc>
        <w:tc>
          <w:tcPr>
            <w:tcW w:w="113" w:type="dxa"/>
            <w:tcBorders>
              <w:top w:val="nil"/>
              <w:bottom w:val="nil"/>
              <w:right w:val="nil"/>
            </w:tcBorders>
            <w:shd w:val="clear" w:color="000000" w:fill="auto"/>
            <w:vAlign w:val="bottom"/>
          </w:tcPr>
          <w:p w:rsidR="0080196F" w:rsidRPr="00E03002" w:rsidRDefault="0080196F" w:rsidP="0080196F">
            <w:pPr>
              <w:spacing w:before="40" w:after="40" w:line="220" w:lineRule="exact"/>
              <w:jc w:val="right"/>
              <w:rPr>
                <w:sz w:val="18"/>
                <w:lang w:val="fr-CH"/>
              </w:rPr>
            </w:pPr>
          </w:p>
        </w:tc>
        <w:tc>
          <w:tcPr>
            <w:tcW w:w="714" w:type="dxa"/>
            <w:tcBorders>
              <w:left w:val="nil"/>
            </w:tcBorders>
            <w:shd w:val="clear" w:color="000000" w:fill="auto"/>
            <w:vAlign w:val="bottom"/>
          </w:tcPr>
          <w:p w:rsidR="0080196F" w:rsidRPr="00E03002" w:rsidRDefault="0080196F" w:rsidP="00E03002">
            <w:pPr>
              <w:spacing w:before="40" w:after="40" w:line="220" w:lineRule="exact"/>
              <w:jc w:val="right"/>
              <w:rPr>
                <w:sz w:val="18"/>
                <w:lang w:val="fr-CH"/>
              </w:rPr>
            </w:pPr>
            <w:r w:rsidRPr="00E03002">
              <w:rPr>
                <w:sz w:val="18"/>
                <w:lang w:val="fr-CH"/>
              </w:rPr>
              <w:t>70</w:t>
            </w:r>
          </w:p>
        </w:tc>
        <w:tc>
          <w:tcPr>
            <w:tcW w:w="848" w:type="dxa"/>
            <w:shd w:val="clear" w:color="000000" w:fill="auto"/>
            <w:vAlign w:val="bottom"/>
          </w:tcPr>
          <w:p w:rsidR="0080196F" w:rsidRPr="00E03002" w:rsidRDefault="0080196F" w:rsidP="00E03002">
            <w:pPr>
              <w:spacing w:before="40" w:after="40" w:line="220" w:lineRule="exact"/>
              <w:jc w:val="right"/>
              <w:rPr>
                <w:sz w:val="18"/>
                <w:lang w:val="fr-CH"/>
              </w:rPr>
            </w:pPr>
          </w:p>
        </w:tc>
      </w:tr>
      <w:tr w:rsidR="0080196F" w:rsidRPr="00BC4A1A" w:rsidTr="0080196F">
        <w:tc>
          <w:tcPr>
            <w:tcW w:w="973" w:type="dxa"/>
            <w:shd w:val="clear" w:color="000000" w:fill="auto"/>
          </w:tcPr>
          <w:p w:rsidR="0080196F" w:rsidRPr="00E03002" w:rsidRDefault="0080196F" w:rsidP="00E03002">
            <w:pPr>
              <w:spacing w:before="40" w:after="40" w:line="220" w:lineRule="exact"/>
              <w:rPr>
                <w:sz w:val="18"/>
                <w:lang w:val="fr-CH"/>
              </w:rPr>
            </w:pPr>
            <w:r w:rsidRPr="00E03002">
              <w:rPr>
                <w:sz w:val="18"/>
                <w:lang w:val="fr-CH"/>
              </w:rPr>
              <w:t>Juridictions cantonales</w:t>
            </w:r>
          </w:p>
        </w:tc>
        <w:tc>
          <w:tcPr>
            <w:tcW w:w="704" w:type="dxa"/>
            <w:tcBorders>
              <w:right w:val="nil"/>
            </w:tcBorders>
            <w:shd w:val="clear" w:color="000000" w:fill="auto"/>
            <w:vAlign w:val="bottom"/>
          </w:tcPr>
          <w:p w:rsidR="0080196F" w:rsidRPr="00E03002" w:rsidRDefault="0080196F" w:rsidP="00E03002">
            <w:pPr>
              <w:spacing w:before="40" w:after="40" w:line="220" w:lineRule="exact"/>
              <w:jc w:val="right"/>
              <w:rPr>
                <w:sz w:val="18"/>
                <w:lang w:val="fr-CH"/>
              </w:rPr>
            </w:pPr>
            <w:r w:rsidRPr="00E03002">
              <w:rPr>
                <w:sz w:val="18"/>
                <w:lang w:val="fr-CH"/>
              </w:rPr>
              <w:t>292</w:t>
            </w:r>
          </w:p>
        </w:tc>
        <w:tc>
          <w:tcPr>
            <w:tcW w:w="114" w:type="dxa"/>
            <w:tcBorders>
              <w:top w:val="nil"/>
              <w:left w:val="nil"/>
              <w:bottom w:val="single" w:sz="12" w:space="0" w:color="auto"/>
            </w:tcBorders>
            <w:shd w:val="clear" w:color="000000" w:fill="auto"/>
            <w:vAlign w:val="bottom"/>
          </w:tcPr>
          <w:p w:rsidR="0080196F" w:rsidRPr="00E03002" w:rsidRDefault="0080196F" w:rsidP="00E03002">
            <w:pPr>
              <w:spacing w:before="40" w:after="40" w:line="220" w:lineRule="exact"/>
              <w:jc w:val="right"/>
              <w:rPr>
                <w:sz w:val="18"/>
                <w:lang w:val="fr-CH"/>
              </w:rPr>
            </w:pPr>
          </w:p>
        </w:tc>
        <w:tc>
          <w:tcPr>
            <w:tcW w:w="859" w:type="dxa"/>
            <w:shd w:val="clear" w:color="000000" w:fill="auto"/>
            <w:vAlign w:val="bottom"/>
          </w:tcPr>
          <w:p w:rsidR="0080196F" w:rsidRPr="00E03002" w:rsidRDefault="0080196F" w:rsidP="00E03002">
            <w:pPr>
              <w:spacing w:before="40" w:after="40" w:line="220" w:lineRule="exact"/>
              <w:jc w:val="right"/>
              <w:rPr>
                <w:sz w:val="18"/>
                <w:lang w:val="fr-CH"/>
              </w:rPr>
            </w:pPr>
            <w:r w:rsidRPr="00E03002">
              <w:rPr>
                <w:sz w:val="18"/>
                <w:lang w:val="fr-CH"/>
              </w:rPr>
              <w:t>195</w:t>
            </w:r>
          </w:p>
        </w:tc>
        <w:tc>
          <w:tcPr>
            <w:tcW w:w="1356" w:type="dxa"/>
            <w:shd w:val="clear" w:color="000000" w:fill="auto"/>
            <w:vAlign w:val="bottom"/>
          </w:tcPr>
          <w:p w:rsidR="0080196F" w:rsidRPr="00E03002" w:rsidRDefault="0080196F" w:rsidP="00E03002">
            <w:pPr>
              <w:spacing w:before="40" w:after="40" w:line="220" w:lineRule="exact"/>
              <w:jc w:val="right"/>
              <w:rPr>
                <w:sz w:val="18"/>
                <w:lang w:val="fr-CH"/>
              </w:rPr>
            </w:pPr>
            <w:r w:rsidRPr="00E03002">
              <w:rPr>
                <w:sz w:val="18"/>
                <w:lang w:val="fr-CH"/>
              </w:rPr>
              <w:t>28</w:t>
            </w:r>
          </w:p>
        </w:tc>
        <w:tc>
          <w:tcPr>
            <w:tcW w:w="905" w:type="dxa"/>
            <w:shd w:val="clear" w:color="000000" w:fill="auto"/>
            <w:vAlign w:val="bottom"/>
          </w:tcPr>
          <w:p w:rsidR="0080196F" w:rsidRPr="00E03002" w:rsidRDefault="0080196F" w:rsidP="00E03002">
            <w:pPr>
              <w:spacing w:before="40" w:after="40" w:line="220" w:lineRule="exact"/>
              <w:jc w:val="right"/>
              <w:rPr>
                <w:sz w:val="18"/>
                <w:lang w:val="fr-CH"/>
              </w:rPr>
            </w:pPr>
            <w:r w:rsidRPr="00E03002">
              <w:rPr>
                <w:sz w:val="18"/>
                <w:lang w:val="fr-CH"/>
              </w:rPr>
              <w:t>4</w:t>
            </w:r>
          </w:p>
        </w:tc>
        <w:tc>
          <w:tcPr>
            <w:tcW w:w="857" w:type="dxa"/>
            <w:shd w:val="clear" w:color="000000" w:fill="auto"/>
            <w:vAlign w:val="bottom"/>
          </w:tcPr>
          <w:p w:rsidR="0080196F" w:rsidRPr="00E03002" w:rsidRDefault="0080196F" w:rsidP="00E03002">
            <w:pPr>
              <w:spacing w:before="40" w:after="40" w:line="220" w:lineRule="exact"/>
              <w:jc w:val="right"/>
              <w:rPr>
                <w:sz w:val="18"/>
                <w:lang w:val="fr-CH"/>
              </w:rPr>
            </w:pPr>
            <w:r w:rsidRPr="00E03002">
              <w:rPr>
                <w:sz w:val="18"/>
                <w:lang w:val="fr-CH"/>
              </w:rPr>
              <w:t>57</w:t>
            </w:r>
          </w:p>
        </w:tc>
        <w:tc>
          <w:tcPr>
            <w:tcW w:w="113" w:type="dxa"/>
            <w:tcBorders>
              <w:top w:val="nil"/>
              <w:bottom w:val="single" w:sz="12" w:space="0" w:color="auto"/>
              <w:right w:val="nil"/>
            </w:tcBorders>
            <w:shd w:val="clear" w:color="000000" w:fill="auto"/>
            <w:vAlign w:val="bottom"/>
          </w:tcPr>
          <w:p w:rsidR="0080196F" w:rsidRPr="00E03002" w:rsidRDefault="0080196F" w:rsidP="0080196F">
            <w:pPr>
              <w:spacing w:before="40" w:after="40" w:line="220" w:lineRule="exact"/>
              <w:jc w:val="right"/>
              <w:rPr>
                <w:sz w:val="18"/>
                <w:lang w:val="fr-CH"/>
              </w:rPr>
            </w:pPr>
          </w:p>
        </w:tc>
        <w:tc>
          <w:tcPr>
            <w:tcW w:w="714" w:type="dxa"/>
            <w:tcBorders>
              <w:left w:val="nil"/>
            </w:tcBorders>
            <w:shd w:val="clear" w:color="000000" w:fill="auto"/>
            <w:vAlign w:val="bottom"/>
          </w:tcPr>
          <w:p w:rsidR="0080196F" w:rsidRPr="00E03002" w:rsidRDefault="0080196F" w:rsidP="00E03002">
            <w:pPr>
              <w:spacing w:before="40" w:after="40" w:line="220" w:lineRule="exact"/>
              <w:jc w:val="right"/>
              <w:rPr>
                <w:sz w:val="18"/>
                <w:lang w:val="fr-CH"/>
              </w:rPr>
            </w:pPr>
            <w:r w:rsidRPr="00E03002">
              <w:rPr>
                <w:sz w:val="18"/>
                <w:lang w:val="fr-CH"/>
              </w:rPr>
              <w:t>39</w:t>
            </w:r>
          </w:p>
        </w:tc>
        <w:tc>
          <w:tcPr>
            <w:tcW w:w="848" w:type="dxa"/>
            <w:shd w:val="clear" w:color="000000" w:fill="auto"/>
            <w:vAlign w:val="bottom"/>
          </w:tcPr>
          <w:p w:rsidR="0080196F" w:rsidRPr="00E03002" w:rsidRDefault="0080196F" w:rsidP="00E03002">
            <w:pPr>
              <w:spacing w:before="40" w:after="40" w:line="220" w:lineRule="exact"/>
              <w:jc w:val="right"/>
              <w:rPr>
                <w:sz w:val="18"/>
                <w:lang w:val="fr-CH"/>
              </w:rPr>
            </w:pPr>
            <w:r w:rsidRPr="00E03002">
              <w:rPr>
                <w:sz w:val="18"/>
                <w:lang w:val="fr-CH"/>
              </w:rPr>
              <w:t>11</w:t>
            </w:r>
          </w:p>
        </w:tc>
      </w:tr>
    </w:tbl>
    <w:p w:rsidR="00570B62" w:rsidRPr="00961388" w:rsidRDefault="00910D7D" w:rsidP="00910D7D">
      <w:pPr>
        <w:pStyle w:val="H4G"/>
        <w:rPr>
          <w:rtl/>
          <w:lang w:val="fr-CH" w:bidi="ar-TN"/>
        </w:rPr>
      </w:pPr>
      <w:r>
        <w:rPr>
          <w:lang w:val="fr-CH"/>
        </w:rPr>
        <w:tab/>
        <w:t>4.</w:t>
      </w:r>
      <w:r>
        <w:rPr>
          <w:lang w:val="fr-CH"/>
        </w:rPr>
        <w:tab/>
      </w:r>
      <w:r w:rsidR="00570B62" w:rsidRPr="00961388">
        <w:rPr>
          <w:lang w:val="fr-CH"/>
        </w:rPr>
        <w:t>Renseignements sur les poursuites engagées, les condamnations et les peines prononcées à l</w:t>
      </w:r>
      <w:r w:rsidR="00961388">
        <w:rPr>
          <w:lang w:val="fr-CH"/>
        </w:rPr>
        <w:t>’</w:t>
      </w:r>
      <w:r w:rsidR="00570B62" w:rsidRPr="00961388">
        <w:rPr>
          <w:lang w:val="fr-CH"/>
        </w:rPr>
        <w:t>encontre des auteurs de violence</w:t>
      </w:r>
    </w:p>
    <w:p w:rsidR="00570B62" w:rsidRPr="00961388" w:rsidRDefault="00570B62" w:rsidP="00910D7D">
      <w:pPr>
        <w:pStyle w:val="SingleTxtG"/>
        <w:rPr>
          <w:lang w:val="fr-CH"/>
        </w:rPr>
      </w:pPr>
      <w:r w:rsidRPr="00961388">
        <w:rPr>
          <w:lang w:val="fr-CH"/>
        </w:rPr>
        <w:t>92.</w:t>
      </w:r>
      <w:r w:rsidRPr="00961388">
        <w:rPr>
          <w:lang w:val="fr-CH"/>
        </w:rPr>
        <w:tab/>
        <w:t>Le Code du statut personnel (CSP) promulgué en 1956 protège la femme contre toute forme de violence, lui garantit la pleine capacité de recours et met en place plusieurs possibilités de réparation. Les réformes adoptées en 1993 et portant amendement de certains articles du CSP et du Code pénal ont constitué une avancée réelle sur la voie de la lutte contre la violence.</w:t>
      </w:r>
    </w:p>
    <w:p w:rsidR="00570B62" w:rsidRPr="00961388" w:rsidRDefault="00570B62" w:rsidP="00910D7D">
      <w:pPr>
        <w:pStyle w:val="SingleTxtG"/>
        <w:rPr>
          <w:lang w:val="fr-CH"/>
        </w:rPr>
      </w:pPr>
      <w:r w:rsidRPr="00961388">
        <w:rPr>
          <w:lang w:val="fr-CH"/>
        </w:rPr>
        <w:t>93.</w:t>
      </w:r>
      <w:r w:rsidRPr="00961388">
        <w:rPr>
          <w:lang w:val="fr-CH"/>
        </w:rPr>
        <w:tab/>
        <w:t>L</w:t>
      </w:r>
      <w:r w:rsidR="00961388">
        <w:rPr>
          <w:lang w:val="fr-CH"/>
        </w:rPr>
        <w:t>’</w:t>
      </w:r>
      <w:r w:rsidRPr="00961388">
        <w:rPr>
          <w:lang w:val="fr-CH"/>
        </w:rPr>
        <w:t>ancien article 23 du CSP obligeait l</w:t>
      </w:r>
      <w:r w:rsidR="00961388">
        <w:rPr>
          <w:lang w:val="fr-CH"/>
        </w:rPr>
        <w:t>’</w:t>
      </w:r>
      <w:r w:rsidRPr="00961388">
        <w:rPr>
          <w:lang w:val="fr-CH"/>
        </w:rPr>
        <w:t xml:space="preserve">épouse à obéir à son mari et à </w:t>
      </w:r>
      <w:r w:rsidR="00961388">
        <w:rPr>
          <w:lang w:val="fr-CH"/>
        </w:rPr>
        <w:t>«</w:t>
      </w:r>
      <w:r w:rsidRPr="00961388">
        <w:rPr>
          <w:lang w:val="fr-CH"/>
        </w:rPr>
        <w:t>remplir ses devoirs conjugaux conformément aux usages et à la coutume</w:t>
      </w:r>
      <w:r w:rsidR="00961388">
        <w:rPr>
          <w:lang w:val="fr-CH"/>
        </w:rPr>
        <w:t xml:space="preserve">». Aux termes de la loi </w:t>
      </w:r>
      <w:r w:rsidR="00961388" w:rsidRPr="00961388">
        <w:rPr>
          <w:rFonts w:eastAsia="MS Mincho"/>
          <w:lang w:val="fr-CH"/>
        </w:rPr>
        <w:t>n</w:t>
      </w:r>
      <w:r w:rsidR="00961388" w:rsidRPr="00961388">
        <w:rPr>
          <w:rFonts w:eastAsia="MS Mincho"/>
          <w:vertAlign w:val="superscript"/>
          <w:lang w:val="fr-CH"/>
        </w:rPr>
        <w:t>o</w:t>
      </w:r>
      <w:r w:rsidR="00961388">
        <w:rPr>
          <w:lang w:val="fr-CH"/>
        </w:rPr>
        <w:t xml:space="preserve"> </w:t>
      </w:r>
      <w:r w:rsidRPr="00961388">
        <w:rPr>
          <w:lang w:val="fr-CH"/>
        </w:rPr>
        <w:t>93-74 du 12 juillet 1993, l</w:t>
      </w:r>
      <w:r w:rsidR="00961388">
        <w:rPr>
          <w:lang w:val="fr-CH"/>
        </w:rPr>
        <w:t>’</w:t>
      </w:r>
      <w:r w:rsidRPr="00961388">
        <w:rPr>
          <w:lang w:val="fr-CH"/>
        </w:rPr>
        <w:t xml:space="preserve">article 23 (nouveau) du CSP dispose que </w:t>
      </w:r>
      <w:r w:rsidR="00961388">
        <w:rPr>
          <w:lang w:val="fr-CH"/>
        </w:rPr>
        <w:t>«</w:t>
      </w:r>
      <w:r w:rsidRPr="00961388">
        <w:rPr>
          <w:lang w:val="fr-CH"/>
        </w:rPr>
        <w:t>chacun des époux doit traiter son conjoint avec bienveillance, vivre en bon rapport avec lui et éviter de lui porter préjudice</w:t>
      </w:r>
      <w:r w:rsidR="00961388">
        <w:rPr>
          <w:lang w:val="fr-CH"/>
        </w:rPr>
        <w:t>»</w:t>
      </w:r>
      <w:r w:rsidRPr="00961388">
        <w:rPr>
          <w:lang w:val="fr-CH"/>
        </w:rPr>
        <w:t>. Il instaure, à cet effet, de nouveaux rapports au sein du couple qui sont basés sur la complémentarité et l</w:t>
      </w:r>
      <w:r w:rsidR="00961388">
        <w:rPr>
          <w:lang w:val="fr-CH"/>
        </w:rPr>
        <w:t>’</w:t>
      </w:r>
      <w:r w:rsidRPr="00961388">
        <w:rPr>
          <w:lang w:val="fr-CH"/>
        </w:rPr>
        <w:t>indépendance. L</w:t>
      </w:r>
      <w:r w:rsidR="00961388">
        <w:rPr>
          <w:lang w:val="fr-CH"/>
        </w:rPr>
        <w:t>’</w:t>
      </w:r>
      <w:r w:rsidRPr="00961388">
        <w:rPr>
          <w:lang w:val="fr-CH"/>
        </w:rPr>
        <w:t>épouse n</w:t>
      </w:r>
      <w:r w:rsidR="00961388">
        <w:rPr>
          <w:lang w:val="fr-CH"/>
        </w:rPr>
        <w:t>’</w:t>
      </w:r>
      <w:r w:rsidRPr="00961388">
        <w:rPr>
          <w:lang w:val="fr-CH"/>
        </w:rPr>
        <w:t>est plus assimilée à la propriété du mari, mais elle acquiert le statut de personne juridique à part entière ayant les mêmes droits et devoirs que son conjoint.</w:t>
      </w:r>
    </w:p>
    <w:p w:rsidR="00570B62" w:rsidRPr="00961388" w:rsidRDefault="00570B62" w:rsidP="00910D7D">
      <w:pPr>
        <w:pStyle w:val="SingleTxtG"/>
        <w:rPr>
          <w:lang w:val="fr-CH"/>
        </w:rPr>
      </w:pPr>
      <w:r w:rsidRPr="00961388">
        <w:rPr>
          <w:lang w:val="fr-CH"/>
        </w:rPr>
        <w:t>94.</w:t>
      </w:r>
      <w:r w:rsidRPr="00961388">
        <w:rPr>
          <w:lang w:val="fr-CH"/>
        </w:rPr>
        <w:tab/>
        <w:t>L</w:t>
      </w:r>
      <w:r w:rsidR="00961388">
        <w:rPr>
          <w:lang w:val="fr-CH"/>
        </w:rPr>
        <w:t>’</w:t>
      </w:r>
      <w:r w:rsidRPr="00961388">
        <w:rPr>
          <w:lang w:val="fr-CH"/>
        </w:rPr>
        <w:t>article 31 du CSP accorde le droit à la femme victime elle-même (ou ses enfants) de voies de faits, avec coups et blessures, même légères, du père ou du mari, de demander le divorce sur la base du préjudice subi, d</w:t>
      </w:r>
      <w:r w:rsidR="00961388">
        <w:rPr>
          <w:lang w:val="fr-CH"/>
        </w:rPr>
        <w:t>’</w:t>
      </w:r>
      <w:r w:rsidRPr="00961388">
        <w:rPr>
          <w:lang w:val="fr-CH"/>
        </w:rPr>
        <w:t xml:space="preserve">obtenir pension alimentaire, résidence, garde et réparation, en numéraire, des préjudices moraux et matériels qui lui sont occasionnés par le mari. </w:t>
      </w:r>
    </w:p>
    <w:p w:rsidR="00570B62" w:rsidRPr="00961388" w:rsidRDefault="00570B62" w:rsidP="00910D7D">
      <w:pPr>
        <w:pStyle w:val="SingleTxtG"/>
        <w:rPr>
          <w:lang w:val="fr-CH"/>
        </w:rPr>
      </w:pPr>
      <w:r w:rsidRPr="00961388">
        <w:rPr>
          <w:lang w:val="fr-CH"/>
        </w:rPr>
        <w:t>95.</w:t>
      </w:r>
      <w:r w:rsidRPr="00961388">
        <w:rPr>
          <w:lang w:val="fr-CH"/>
        </w:rPr>
        <w:tab/>
        <w:t>En outre, et sur le plan pénal la violence conjugale est punie d</w:t>
      </w:r>
      <w:r w:rsidR="00961388">
        <w:rPr>
          <w:lang w:val="fr-CH"/>
        </w:rPr>
        <w:t>’</w:t>
      </w:r>
      <w:r w:rsidRPr="00961388">
        <w:rPr>
          <w:lang w:val="fr-CH"/>
        </w:rPr>
        <w:t>une peine de prison pouvant atteindre deux ans. La loi du 12 juillet 1994, portant modification de l</w:t>
      </w:r>
      <w:r w:rsidR="00961388">
        <w:rPr>
          <w:lang w:val="fr-CH"/>
        </w:rPr>
        <w:t>’</w:t>
      </w:r>
      <w:r w:rsidRPr="00961388">
        <w:rPr>
          <w:lang w:val="fr-CH"/>
        </w:rPr>
        <w:t>article 218 du Code pénal, considère le lien conjugal comme une circonstance aggravante qui justifie un alourdissement de la peine. L</w:t>
      </w:r>
      <w:r w:rsidR="00961388">
        <w:rPr>
          <w:lang w:val="fr-CH"/>
        </w:rPr>
        <w:t>’</w:t>
      </w:r>
      <w:r w:rsidRPr="00961388">
        <w:rPr>
          <w:lang w:val="fr-CH"/>
        </w:rPr>
        <w:t>article 218 (nouveau) du Code pénal dispose que «tout individu qui, volontairement, fait des blessures, porte des coups, ou commet toute autre violence ou voie de fait… est puni d</w:t>
      </w:r>
      <w:r w:rsidR="00961388">
        <w:rPr>
          <w:lang w:val="fr-CH"/>
        </w:rPr>
        <w:t>’</w:t>
      </w:r>
      <w:r w:rsidRPr="00961388">
        <w:rPr>
          <w:lang w:val="fr-CH"/>
        </w:rPr>
        <w:t>un emprisonnement d</w:t>
      </w:r>
      <w:r w:rsidR="00961388">
        <w:rPr>
          <w:lang w:val="fr-CH"/>
        </w:rPr>
        <w:t>’</w:t>
      </w:r>
      <w:r w:rsidRPr="00961388">
        <w:rPr>
          <w:lang w:val="fr-CH"/>
        </w:rPr>
        <w:t>un an et d</w:t>
      </w:r>
      <w:r w:rsidR="00961388">
        <w:rPr>
          <w:lang w:val="fr-CH"/>
        </w:rPr>
        <w:t>’</w:t>
      </w:r>
      <w:r w:rsidRPr="00961388">
        <w:rPr>
          <w:lang w:val="fr-CH"/>
        </w:rPr>
        <w:t>une amende de mille dinars. Si l</w:t>
      </w:r>
      <w:r w:rsidR="00961388">
        <w:rPr>
          <w:lang w:val="fr-CH"/>
        </w:rPr>
        <w:t>’</w:t>
      </w:r>
      <w:r w:rsidRPr="00961388">
        <w:rPr>
          <w:lang w:val="fr-CH"/>
        </w:rPr>
        <w:t>auteur de l</w:t>
      </w:r>
      <w:r w:rsidR="00961388">
        <w:rPr>
          <w:lang w:val="fr-CH"/>
        </w:rPr>
        <w:t>’</w:t>
      </w:r>
      <w:r w:rsidRPr="00961388">
        <w:rPr>
          <w:lang w:val="fr-CH"/>
        </w:rPr>
        <w:t>agression est un descendant ou conjoint de la victime, la peine est de deux ans d</w:t>
      </w:r>
      <w:r w:rsidR="00961388">
        <w:rPr>
          <w:lang w:val="fr-CH"/>
        </w:rPr>
        <w:t>’</w:t>
      </w:r>
      <w:r w:rsidRPr="00961388">
        <w:rPr>
          <w:lang w:val="fr-CH"/>
        </w:rPr>
        <w:t>emprisonnement et de deux mille dinars d</w:t>
      </w:r>
      <w:r w:rsidR="00961388">
        <w:rPr>
          <w:lang w:val="fr-CH"/>
        </w:rPr>
        <w:t>’</w:t>
      </w:r>
      <w:r w:rsidRPr="00961388">
        <w:rPr>
          <w:lang w:val="fr-CH"/>
        </w:rPr>
        <w:t>amende».</w:t>
      </w:r>
    </w:p>
    <w:p w:rsidR="00570B62" w:rsidRPr="00961388" w:rsidRDefault="00570B62" w:rsidP="00910D7D">
      <w:pPr>
        <w:pStyle w:val="SingleTxtG"/>
        <w:rPr>
          <w:lang w:val="fr-CH"/>
        </w:rPr>
      </w:pPr>
      <w:r w:rsidRPr="00961388">
        <w:rPr>
          <w:lang w:val="fr-CH"/>
        </w:rPr>
        <w:t>96.</w:t>
      </w:r>
      <w:r w:rsidRPr="00961388">
        <w:rPr>
          <w:lang w:val="fr-CH"/>
        </w:rPr>
        <w:tab/>
        <w:t>Concernant les types de sanctions prononcées, il s</w:t>
      </w:r>
      <w:r w:rsidR="00961388">
        <w:rPr>
          <w:lang w:val="fr-CH"/>
        </w:rPr>
        <w:t>’</w:t>
      </w:r>
      <w:r w:rsidRPr="00961388">
        <w:rPr>
          <w:lang w:val="fr-CH"/>
        </w:rPr>
        <w:t>agit de sanctions pécuniaires ou privatives de liberté selon la gravité des faits. Le droit à l</w:t>
      </w:r>
      <w:r w:rsidR="00961388">
        <w:rPr>
          <w:lang w:val="fr-CH"/>
        </w:rPr>
        <w:t>’</w:t>
      </w:r>
      <w:r w:rsidRPr="00961388">
        <w:rPr>
          <w:lang w:val="fr-CH"/>
        </w:rPr>
        <w:t>indemnité est reconnu. La réparation doit couvrir le préjudice subi. Il s</w:t>
      </w:r>
      <w:r w:rsidR="00961388">
        <w:rPr>
          <w:lang w:val="fr-CH"/>
        </w:rPr>
        <w:t>’</w:t>
      </w:r>
      <w:r w:rsidRPr="00961388">
        <w:rPr>
          <w:lang w:val="fr-CH"/>
        </w:rPr>
        <w:t>agit d</w:t>
      </w:r>
      <w:r w:rsidR="00961388">
        <w:rPr>
          <w:lang w:val="fr-CH"/>
        </w:rPr>
        <w:t>’</w:t>
      </w:r>
      <w:r w:rsidRPr="00961388">
        <w:rPr>
          <w:lang w:val="fr-CH"/>
        </w:rPr>
        <w:t>une réparation du préjudice corporel, moral et matériel.</w:t>
      </w:r>
    </w:p>
    <w:p w:rsidR="00570B62" w:rsidRPr="00961388" w:rsidRDefault="00910D7D" w:rsidP="00910D7D">
      <w:pPr>
        <w:pStyle w:val="H23G"/>
        <w:rPr>
          <w:lang w:val="fr-CH"/>
        </w:rPr>
      </w:pPr>
      <w:r>
        <w:rPr>
          <w:lang w:val="fr-CH"/>
        </w:rPr>
        <w:tab/>
      </w:r>
      <w:r>
        <w:rPr>
          <w:lang w:val="fr-CH"/>
        </w:rPr>
        <w:tab/>
      </w:r>
      <w:r w:rsidR="00570B62" w:rsidRPr="00961388">
        <w:rPr>
          <w:lang w:val="fr-CH"/>
        </w:rPr>
        <w:t>Réponse au paragraphe 12 de la liste de point</w:t>
      </w:r>
      <w:r>
        <w:rPr>
          <w:lang w:val="fr-CH"/>
        </w:rPr>
        <w:t>s à traiter</w:t>
      </w:r>
    </w:p>
    <w:p w:rsidR="00570B62" w:rsidRPr="00961388" w:rsidRDefault="00570B62" w:rsidP="00910D7D">
      <w:pPr>
        <w:pStyle w:val="SingleTxtG"/>
        <w:rPr>
          <w:lang w:val="fr-CH"/>
        </w:rPr>
      </w:pPr>
      <w:r w:rsidRPr="00961388">
        <w:rPr>
          <w:lang w:val="fr-CH"/>
        </w:rPr>
        <w:t>97.</w:t>
      </w:r>
      <w:r w:rsidRPr="00961388">
        <w:rPr>
          <w:lang w:val="fr-CH"/>
        </w:rPr>
        <w:tab/>
        <w:t>Le viol conjugal est, comme tout viol, incriminé par la loi tunisienne. Il tombe sous le coup des articles 227 et 227 bis du Code pénal. Il convient d</w:t>
      </w:r>
      <w:r w:rsidR="00961388">
        <w:rPr>
          <w:lang w:val="fr-CH"/>
        </w:rPr>
        <w:t>’</w:t>
      </w:r>
      <w:r w:rsidRPr="00961388">
        <w:rPr>
          <w:lang w:val="fr-CH"/>
        </w:rPr>
        <w:t>insister à cet égard que ces deux articles ne font jamais de la qualité d</w:t>
      </w:r>
      <w:r w:rsidR="00961388">
        <w:rPr>
          <w:lang w:val="fr-CH"/>
        </w:rPr>
        <w:t>’</w:t>
      </w:r>
      <w:r w:rsidRPr="00961388">
        <w:rPr>
          <w:lang w:val="fr-CH"/>
        </w:rPr>
        <w:t>époux une qualité qui confère une immunité contre les poursuites ni une circonstance atténuante pour l</w:t>
      </w:r>
      <w:r w:rsidR="00961388">
        <w:rPr>
          <w:lang w:val="fr-CH"/>
        </w:rPr>
        <w:t>’</w:t>
      </w:r>
      <w:r w:rsidRPr="00961388">
        <w:rPr>
          <w:lang w:val="fr-CH"/>
        </w:rPr>
        <w:t>agresseur. La loi s</w:t>
      </w:r>
      <w:r w:rsidR="00961388">
        <w:rPr>
          <w:lang w:val="fr-CH"/>
        </w:rPr>
        <w:t>’</w:t>
      </w:r>
      <w:r w:rsidRPr="00961388">
        <w:rPr>
          <w:lang w:val="fr-CH"/>
        </w:rPr>
        <w:t>applique donc à tous et il y a viol dès que le consentement de la femme fait défaut.</w:t>
      </w:r>
    </w:p>
    <w:p w:rsidR="00570B62" w:rsidRPr="00961388" w:rsidRDefault="00570B62" w:rsidP="00910D7D">
      <w:pPr>
        <w:pStyle w:val="SingleTxtG"/>
        <w:rPr>
          <w:lang w:val="fr-CH"/>
        </w:rPr>
      </w:pPr>
      <w:r w:rsidRPr="00961388">
        <w:rPr>
          <w:lang w:val="fr-CH"/>
        </w:rPr>
        <w:t>98.</w:t>
      </w:r>
      <w:r w:rsidRPr="00961388">
        <w:rPr>
          <w:lang w:val="fr-CH"/>
        </w:rPr>
        <w:tab/>
        <w:t>En pratique, il ne semble pas qu</w:t>
      </w:r>
      <w:r w:rsidR="00961388">
        <w:rPr>
          <w:lang w:val="fr-CH"/>
        </w:rPr>
        <w:t>’</w:t>
      </w:r>
      <w:r w:rsidRPr="00961388">
        <w:rPr>
          <w:lang w:val="fr-CH"/>
        </w:rPr>
        <w:t>il y a eu des plaintes pour viol conjugal. Plusieurs associations de protection des droits des femmes font des campagnes pour sensibiliser les femmes à leurs droits et disposent de cellules d</w:t>
      </w:r>
      <w:r w:rsidR="00961388">
        <w:rPr>
          <w:lang w:val="fr-CH"/>
        </w:rPr>
        <w:t>’</w:t>
      </w:r>
      <w:r w:rsidRPr="00961388">
        <w:rPr>
          <w:lang w:val="fr-CH"/>
        </w:rPr>
        <w:t>écoute et d</w:t>
      </w:r>
      <w:r w:rsidR="00961388">
        <w:rPr>
          <w:lang w:val="fr-CH"/>
        </w:rPr>
        <w:t>’</w:t>
      </w:r>
      <w:r w:rsidRPr="00961388">
        <w:rPr>
          <w:lang w:val="fr-CH"/>
        </w:rPr>
        <w:t>orientation pour les femmes victimes d</w:t>
      </w:r>
      <w:r w:rsidR="00961388">
        <w:rPr>
          <w:lang w:val="fr-CH"/>
        </w:rPr>
        <w:t>’</w:t>
      </w:r>
      <w:r w:rsidRPr="00961388">
        <w:rPr>
          <w:lang w:val="fr-CH"/>
        </w:rPr>
        <w:t xml:space="preserve">agression quel que soit leur nature. Les tribunaux ne manqueront donc pas à poursuivre et éventuellement de sanctionner les cas de viol conjugal qui leurs seraient signalés. </w:t>
      </w:r>
    </w:p>
    <w:p w:rsidR="00570B62" w:rsidRPr="00961388" w:rsidRDefault="00910D7D" w:rsidP="00910D7D">
      <w:pPr>
        <w:pStyle w:val="H23G"/>
        <w:rPr>
          <w:lang w:val="fr-CH"/>
        </w:rPr>
      </w:pPr>
      <w:r>
        <w:rPr>
          <w:lang w:val="fr-CH"/>
        </w:rPr>
        <w:tab/>
      </w:r>
      <w:r>
        <w:rPr>
          <w:lang w:val="fr-CH"/>
        </w:rPr>
        <w:tab/>
      </w:r>
      <w:r w:rsidR="00570B62" w:rsidRPr="00961388">
        <w:rPr>
          <w:lang w:val="fr-CH"/>
        </w:rPr>
        <w:t xml:space="preserve">Réponse au paragraphe 13 </w:t>
      </w:r>
      <w:r>
        <w:rPr>
          <w:lang w:val="fr-CH"/>
        </w:rPr>
        <w:t>de la liste de points à traiter</w:t>
      </w:r>
    </w:p>
    <w:p w:rsidR="00570B62" w:rsidRPr="00961388" w:rsidRDefault="00570B62" w:rsidP="00910D7D">
      <w:pPr>
        <w:pStyle w:val="SingleTxtG"/>
        <w:rPr>
          <w:lang w:val="fr-CH"/>
        </w:rPr>
      </w:pPr>
      <w:r w:rsidRPr="00961388">
        <w:rPr>
          <w:lang w:val="fr-CH"/>
        </w:rPr>
        <w:t>99.</w:t>
      </w:r>
      <w:r w:rsidRPr="00961388">
        <w:rPr>
          <w:lang w:val="fr-CH"/>
        </w:rPr>
        <w:tab/>
        <w:t>Pour mieux protéger les femmes contre toutes formes d</w:t>
      </w:r>
      <w:r w:rsidR="00961388">
        <w:rPr>
          <w:lang w:val="fr-CH"/>
        </w:rPr>
        <w:t>’</w:t>
      </w:r>
      <w:r w:rsidRPr="00961388">
        <w:rPr>
          <w:lang w:val="fr-CH"/>
        </w:rPr>
        <w:t>atteinte à la liberté par un comportement sexuel imposé, ou pratiques et gestes immoraux, le législateur tunisien a adopté, en 2004, une nouvelle loi amendant et complétant le Code Pénal relatif à la répression des atteintes aux bonnes mœurs ainsi qu</w:t>
      </w:r>
      <w:r w:rsidR="00961388">
        <w:rPr>
          <w:lang w:val="fr-CH"/>
        </w:rPr>
        <w:t>’</w:t>
      </w:r>
      <w:r w:rsidRPr="00961388">
        <w:rPr>
          <w:lang w:val="fr-CH"/>
        </w:rPr>
        <w:t>à l</w:t>
      </w:r>
      <w:r w:rsidR="00961388">
        <w:rPr>
          <w:lang w:val="fr-CH"/>
        </w:rPr>
        <w:t>’</w:t>
      </w:r>
      <w:r w:rsidRPr="00961388">
        <w:rPr>
          <w:lang w:val="fr-CH"/>
        </w:rPr>
        <w:t xml:space="preserve">harcèlement sexuel. </w:t>
      </w:r>
    </w:p>
    <w:p w:rsidR="00570B62" w:rsidRPr="00961388" w:rsidRDefault="00570B62" w:rsidP="00910D7D">
      <w:pPr>
        <w:pStyle w:val="SingleTxtG"/>
        <w:rPr>
          <w:lang w:val="fr-CH"/>
        </w:rPr>
      </w:pPr>
      <w:r w:rsidRPr="00961388">
        <w:rPr>
          <w:lang w:val="fr-CH"/>
        </w:rPr>
        <w:t>100.</w:t>
      </w:r>
      <w:r w:rsidRPr="00961388">
        <w:rPr>
          <w:lang w:val="fr-CH"/>
        </w:rPr>
        <w:tab/>
        <w:t>D</w:t>
      </w:r>
      <w:r w:rsidR="00961388">
        <w:rPr>
          <w:lang w:val="fr-CH"/>
        </w:rPr>
        <w:t>’</w:t>
      </w:r>
      <w:r w:rsidRPr="00961388">
        <w:rPr>
          <w:lang w:val="fr-CH"/>
        </w:rPr>
        <w:t>une portée considérable, la nouvelle loi vient mettre fin aux différentes pratiques touchant la dignité de la femme ou faisant outrage public à la pudeur par parole ou geste.</w:t>
      </w:r>
    </w:p>
    <w:p w:rsidR="00570B62" w:rsidRPr="00961388" w:rsidRDefault="00570B62" w:rsidP="00910D7D">
      <w:pPr>
        <w:pStyle w:val="SingleTxtG"/>
        <w:rPr>
          <w:lang w:val="fr-CH"/>
        </w:rPr>
      </w:pPr>
      <w:r w:rsidRPr="00961388">
        <w:rPr>
          <w:lang w:val="fr-CH"/>
        </w:rPr>
        <w:t>101.</w:t>
      </w:r>
      <w:r w:rsidRPr="00961388">
        <w:rPr>
          <w:lang w:val="fr-CH"/>
        </w:rPr>
        <w:tab/>
        <w:t>En vertu de cette loi, toute personne qui a outragé publiquement les bonnes mœurs par geste ou parole, sera punie de six mois de prison et d</w:t>
      </w:r>
      <w:r w:rsidR="00961388">
        <w:rPr>
          <w:lang w:val="fr-CH"/>
        </w:rPr>
        <w:t>’</w:t>
      </w:r>
      <w:r w:rsidRPr="00961388">
        <w:rPr>
          <w:lang w:val="fr-CH"/>
        </w:rPr>
        <w:t>une amende de l</w:t>
      </w:r>
      <w:r w:rsidR="00961388">
        <w:rPr>
          <w:lang w:val="fr-CH"/>
        </w:rPr>
        <w:t>’</w:t>
      </w:r>
      <w:r w:rsidRPr="00961388">
        <w:rPr>
          <w:lang w:val="fr-CH"/>
        </w:rPr>
        <w:t>ordre de mille dinars. Cette peine sera aussi appliquée à toute personne qui use publiquement des enregistrements ou des SMS à des fins perverses.</w:t>
      </w:r>
    </w:p>
    <w:p w:rsidR="00570B62" w:rsidRPr="00961388" w:rsidRDefault="00570B62" w:rsidP="00910D7D">
      <w:pPr>
        <w:pStyle w:val="SingleTxtG"/>
        <w:rPr>
          <w:lang w:val="fr-CH"/>
        </w:rPr>
      </w:pPr>
      <w:r w:rsidRPr="00961388">
        <w:rPr>
          <w:lang w:val="fr-CH"/>
        </w:rPr>
        <w:t>102.</w:t>
      </w:r>
      <w:r w:rsidRPr="00961388">
        <w:rPr>
          <w:lang w:val="fr-CH"/>
        </w:rPr>
        <w:tab/>
        <w:t>Cette loi a, pour principal objectif, de mettre un terme à toute tentative de harcèlement sexuel qui constitue une forme de violence à l</w:t>
      </w:r>
      <w:r w:rsidR="00961388">
        <w:rPr>
          <w:lang w:val="fr-CH"/>
        </w:rPr>
        <w:t>’</w:t>
      </w:r>
      <w:r w:rsidRPr="00961388">
        <w:rPr>
          <w:lang w:val="fr-CH"/>
        </w:rPr>
        <w:t>égard des femmes.</w:t>
      </w:r>
    </w:p>
    <w:p w:rsidR="00570B62" w:rsidRPr="00961388" w:rsidRDefault="00570B62" w:rsidP="00910D7D">
      <w:pPr>
        <w:pStyle w:val="SingleTxtG"/>
        <w:rPr>
          <w:lang w:val="fr-CH"/>
        </w:rPr>
      </w:pPr>
      <w:r w:rsidRPr="00961388">
        <w:rPr>
          <w:lang w:val="fr-CH"/>
        </w:rPr>
        <w:t>103.</w:t>
      </w:r>
      <w:r w:rsidRPr="00961388">
        <w:rPr>
          <w:lang w:val="fr-CH"/>
        </w:rPr>
        <w:tab/>
      </w:r>
      <w:r w:rsidR="00910D7D">
        <w:rPr>
          <w:lang w:val="fr-CH"/>
        </w:rPr>
        <w:t>À</w:t>
      </w:r>
      <w:r w:rsidRPr="00961388">
        <w:rPr>
          <w:lang w:val="fr-CH"/>
        </w:rPr>
        <w:t xml:space="preserve"> l</w:t>
      </w:r>
      <w:r w:rsidR="00961388">
        <w:rPr>
          <w:lang w:val="fr-CH"/>
        </w:rPr>
        <w:t>’</w:t>
      </w:r>
      <w:r w:rsidRPr="00961388">
        <w:rPr>
          <w:lang w:val="fr-CH"/>
        </w:rPr>
        <w:t>évidence, tout individu ayant harcelé sexuellement une femme par des gestes, paroles ou des signes continus, et qui touche à sa pudeur, sera puni d</w:t>
      </w:r>
      <w:r w:rsidR="00961388">
        <w:rPr>
          <w:lang w:val="fr-CH"/>
        </w:rPr>
        <w:t>’</w:t>
      </w:r>
      <w:r w:rsidRPr="00961388">
        <w:rPr>
          <w:lang w:val="fr-CH"/>
        </w:rPr>
        <w:t>une année de prison et d</w:t>
      </w:r>
      <w:r w:rsidR="00961388">
        <w:rPr>
          <w:lang w:val="fr-CH"/>
        </w:rPr>
        <w:t>’</w:t>
      </w:r>
      <w:r w:rsidRPr="00961388">
        <w:rPr>
          <w:lang w:val="fr-CH"/>
        </w:rPr>
        <w:t>une amende de l</w:t>
      </w:r>
      <w:r w:rsidR="00961388">
        <w:rPr>
          <w:lang w:val="fr-CH"/>
        </w:rPr>
        <w:t>’</w:t>
      </w:r>
      <w:r w:rsidRPr="00961388">
        <w:rPr>
          <w:lang w:val="fr-CH"/>
        </w:rPr>
        <w:t>ordre de trois mille dinars. Cette peine sera en fait doublée si la victime est un enfant ou une personne handicapée.</w:t>
      </w:r>
    </w:p>
    <w:p w:rsidR="00570B62" w:rsidRPr="00961388" w:rsidRDefault="00570B62" w:rsidP="00910D7D">
      <w:pPr>
        <w:pStyle w:val="SingleTxtG"/>
        <w:rPr>
          <w:lang w:val="fr-CH"/>
        </w:rPr>
      </w:pPr>
      <w:r w:rsidRPr="00961388">
        <w:rPr>
          <w:lang w:val="fr-CH"/>
        </w:rPr>
        <w:t>104.</w:t>
      </w:r>
      <w:r w:rsidRPr="00961388">
        <w:rPr>
          <w:lang w:val="fr-CH"/>
        </w:rPr>
        <w:tab/>
        <w:t>L</w:t>
      </w:r>
      <w:r w:rsidR="00961388">
        <w:rPr>
          <w:lang w:val="fr-CH"/>
        </w:rPr>
        <w:t>’</w:t>
      </w:r>
      <w:r w:rsidRPr="00961388">
        <w:rPr>
          <w:lang w:val="fr-CH"/>
        </w:rPr>
        <w:t xml:space="preserve">Article </w:t>
      </w:r>
      <w:bookmarkStart w:id="0" w:name="a226ter"/>
      <w:bookmarkEnd w:id="0"/>
      <w:r w:rsidRPr="00961388">
        <w:rPr>
          <w:lang w:val="fr-CH"/>
        </w:rPr>
        <w:t>226 ter du Code pénal punit, en effet, d</w:t>
      </w:r>
      <w:r w:rsidR="00961388">
        <w:rPr>
          <w:lang w:val="fr-CH"/>
        </w:rPr>
        <w:t>’</w:t>
      </w:r>
      <w:r w:rsidRPr="00961388">
        <w:rPr>
          <w:lang w:val="fr-CH"/>
        </w:rPr>
        <w:t>un an d</w:t>
      </w:r>
      <w:r w:rsidR="00961388">
        <w:rPr>
          <w:lang w:val="fr-CH"/>
        </w:rPr>
        <w:t>’</w:t>
      </w:r>
      <w:r w:rsidRPr="00961388">
        <w:rPr>
          <w:lang w:val="fr-CH"/>
        </w:rPr>
        <w:t>emprisonnement et d</w:t>
      </w:r>
      <w:r w:rsidR="00961388">
        <w:rPr>
          <w:lang w:val="fr-CH"/>
        </w:rPr>
        <w:t>’</w:t>
      </w:r>
      <w:r w:rsidRPr="00961388">
        <w:rPr>
          <w:lang w:val="fr-CH"/>
        </w:rPr>
        <w:t>une amende de trois mille dinars, celui qui commet le harcèlement sexuel. Est considérée comme harcèlement sexuel toute persistance dans la gêne d</w:t>
      </w:r>
      <w:r w:rsidR="00961388">
        <w:rPr>
          <w:lang w:val="fr-CH"/>
        </w:rPr>
        <w:t>’</w:t>
      </w:r>
      <w:r w:rsidRPr="00961388">
        <w:rPr>
          <w:lang w:val="fr-CH"/>
        </w:rPr>
        <w:t>autrui par la répétition d</w:t>
      </w:r>
      <w:r w:rsidR="00961388">
        <w:rPr>
          <w:lang w:val="fr-CH"/>
        </w:rPr>
        <w:t>’</w:t>
      </w:r>
      <w:r w:rsidRPr="00961388">
        <w:rPr>
          <w:lang w:val="fr-CH"/>
        </w:rPr>
        <w:t>actes ou de paroles ou de gestes susceptibles de porter atteinte à sa dignité ou d</w:t>
      </w:r>
      <w:r w:rsidR="00961388">
        <w:rPr>
          <w:lang w:val="fr-CH"/>
        </w:rPr>
        <w:t>’</w:t>
      </w:r>
      <w:r w:rsidRPr="00961388">
        <w:rPr>
          <w:lang w:val="fr-CH"/>
        </w:rPr>
        <w:t>affecter sa pudeur, et ce, dans le but de l</w:t>
      </w:r>
      <w:r w:rsidR="00961388">
        <w:rPr>
          <w:lang w:val="fr-CH"/>
        </w:rPr>
        <w:t>’</w:t>
      </w:r>
      <w:r w:rsidRPr="00961388">
        <w:rPr>
          <w:lang w:val="fr-CH"/>
        </w:rPr>
        <w:t>amener à se soumettre à ses propres désirs sexuels ou aux désirs sexuels d</w:t>
      </w:r>
      <w:r w:rsidR="00961388">
        <w:rPr>
          <w:lang w:val="fr-CH"/>
        </w:rPr>
        <w:t>’</w:t>
      </w:r>
      <w:r w:rsidRPr="00961388">
        <w:rPr>
          <w:lang w:val="fr-CH"/>
        </w:rPr>
        <w:t>autrui, ou en exerçant sur lui des pressions de nature à affaiblir sa volonté de résister à ses désirs.</w:t>
      </w:r>
    </w:p>
    <w:p w:rsidR="00570B62" w:rsidRPr="00961388" w:rsidRDefault="00570B62" w:rsidP="00910D7D">
      <w:pPr>
        <w:pStyle w:val="SingleTxtG"/>
        <w:rPr>
          <w:lang w:val="fr-CH"/>
        </w:rPr>
      </w:pPr>
      <w:r w:rsidRPr="00961388">
        <w:rPr>
          <w:lang w:val="fr-CH"/>
        </w:rPr>
        <w:t>105.</w:t>
      </w:r>
      <w:r w:rsidRPr="00961388">
        <w:rPr>
          <w:lang w:val="fr-CH"/>
        </w:rPr>
        <w:tab/>
        <w:t>La peine est portée au double lorsque l</w:t>
      </w:r>
      <w:r w:rsidR="00961388">
        <w:rPr>
          <w:lang w:val="fr-CH"/>
        </w:rPr>
        <w:t>’</w:t>
      </w:r>
      <w:r w:rsidRPr="00961388">
        <w:rPr>
          <w:lang w:val="fr-CH"/>
        </w:rPr>
        <w:t>infraction est commise à l</w:t>
      </w:r>
      <w:r w:rsidR="00961388">
        <w:rPr>
          <w:lang w:val="fr-CH"/>
        </w:rPr>
        <w:t>’</w:t>
      </w:r>
      <w:r w:rsidRPr="00961388">
        <w:rPr>
          <w:lang w:val="fr-CH"/>
        </w:rPr>
        <w:t>encontre d</w:t>
      </w:r>
      <w:r w:rsidR="00961388">
        <w:rPr>
          <w:lang w:val="fr-CH"/>
        </w:rPr>
        <w:t>’</w:t>
      </w:r>
      <w:r w:rsidRPr="00961388">
        <w:rPr>
          <w:lang w:val="fr-CH"/>
        </w:rPr>
        <w:t>un enfant ou d</w:t>
      </w:r>
      <w:r w:rsidR="00961388">
        <w:rPr>
          <w:lang w:val="fr-CH"/>
        </w:rPr>
        <w:t>’</w:t>
      </w:r>
      <w:r w:rsidRPr="00961388">
        <w:rPr>
          <w:lang w:val="fr-CH"/>
        </w:rPr>
        <w:t>autres personnes particulièrement exposés du fait d</w:t>
      </w:r>
      <w:r w:rsidR="00961388">
        <w:rPr>
          <w:lang w:val="fr-CH"/>
        </w:rPr>
        <w:t>’</w:t>
      </w:r>
      <w:r w:rsidRPr="00961388">
        <w:rPr>
          <w:lang w:val="fr-CH"/>
        </w:rPr>
        <w:t>une carence mentale ou physique qui les empêche de résister à l</w:t>
      </w:r>
      <w:r w:rsidR="00961388">
        <w:rPr>
          <w:lang w:val="fr-CH"/>
        </w:rPr>
        <w:t>’</w:t>
      </w:r>
      <w:r w:rsidRPr="00961388">
        <w:rPr>
          <w:lang w:val="fr-CH"/>
        </w:rPr>
        <w:t>auteur du harcèlement.</w:t>
      </w:r>
    </w:p>
    <w:p w:rsidR="00570B62" w:rsidRPr="00961388" w:rsidRDefault="00570B62" w:rsidP="00910D7D">
      <w:pPr>
        <w:pStyle w:val="SingleTxtG"/>
        <w:rPr>
          <w:lang w:val="fr-CH"/>
        </w:rPr>
      </w:pPr>
      <w:r w:rsidRPr="00961388">
        <w:rPr>
          <w:lang w:val="fr-CH"/>
        </w:rPr>
        <w:t>106.</w:t>
      </w:r>
      <w:r w:rsidRPr="00961388">
        <w:rPr>
          <w:lang w:val="fr-CH"/>
        </w:rPr>
        <w:tab/>
        <w:t>Ainsi, il appartient aux juges de décider de la sévérité des peines prononcées selon la gravité des atteintes quelles qu</w:t>
      </w:r>
      <w:r w:rsidR="00961388">
        <w:rPr>
          <w:lang w:val="fr-CH"/>
        </w:rPr>
        <w:t>’</w:t>
      </w:r>
      <w:r w:rsidRPr="00961388">
        <w:rPr>
          <w:lang w:val="fr-CH"/>
        </w:rPr>
        <w:t>elles soient physiques ou mentales du moment qu</w:t>
      </w:r>
      <w:r w:rsidR="00961388">
        <w:rPr>
          <w:lang w:val="fr-CH"/>
        </w:rPr>
        <w:t>’</w:t>
      </w:r>
      <w:r w:rsidRPr="00961388">
        <w:rPr>
          <w:lang w:val="fr-CH"/>
        </w:rPr>
        <w:t>elles touchent à la dignité et à la pudeur de la victime.</w:t>
      </w:r>
    </w:p>
    <w:p w:rsidR="00570B62" w:rsidRPr="00961388" w:rsidRDefault="00570B62" w:rsidP="00910D7D">
      <w:pPr>
        <w:pStyle w:val="SingleTxtG"/>
        <w:rPr>
          <w:lang w:val="fr-CH"/>
        </w:rPr>
      </w:pPr>
      <w:r w:rsidRPr="00961388">
        <w:rPr>
          <w:lang w:val="fr-CH"/>
        </w:rPr>
        <w:t>107.</w:t>
      </w:r>
      <w:r w:rsidRPr="00961388">
        <w:rPr>
          <w:lang w:val="fr-CH"/>
        </w:rPr>
        <w:tab/>
        <w:t xml:space="preserve">Toutefois par pudeur ou par crainte, les femmes dénoncent rarement le harcèlement sur les lieux du travail. </w:t>
      </w:r>
    </w:p>
    <w:p w:rsidR="00570B62" w:rsidRPr="00961388" w:rsidRDefault="00570B62" w:rsidP="00910D7D">
      <w:pPr>
        <w:pStyle w:val="SingleTxtG"/>
        <w:rPr>
          <w:lang w:val="fr-CH"/>
        </w:rPr>
      </w:pPr>
      <w:r w:rsidRPr="00961388">
        <w:rPr>
          <w:lang w:val="fr-CH"/>
        </w:rPr>
        <w:t>108.</w:t>
      </w:r>
      <w:r w:rsidRPr="00961388">
        <w:rPr>
          <w:lang w:val="fr-CH"/>
        </w:rPr>
        <w:tab/>
        <w:t>Les services des statistiques au niveau du ministère de la justice et des droits de l</w:t>
      </w:r>
      <w:r w:rsidR="00961388">
        <w:rPr>
          <w:lang w:val="fr-CH"/>
        </w:rPr>
        <w:t>’</w:t>
      </w:r>
      <w:r w:rsidRPr="00961388">
        <w:rPr>
          <w:lang w:val="fr-CH"/>
        </w:rPr>
        <w:t>homme ont dénombré durant l</w:t>
      </w:r>
      <w:r w:rsidR="00961388">
        <w:rPr>
          <w:lang w:val="fr-CH"/>
        </w:rPr>
        <w:t>’</w:t>
      </w:r>
      <w:r w:rsidRPr="00961388">
        <w:rPr>
          <w:lang w:val="fr-CH"/>
        </w:rPr>
        <w:t>année judiciaire 2008 – 2009, une seule condamnation pour harcèlement dans laquelle la peine s</w:t>
      </w:r>
      <w:r w:rsidR="00961388">
        <w:rPr>
          <w:lang w:val="fr-CH"/>
        </w:rPr>
        <w:t>’</w:t>
      </w:r>
      <w:r w:rsidRPr="00961388">
        <w:rPr>
          <w:lang w:val="fr-CH"/>
        </w:rPr>
        <w:t>est limitée à une amende de 1000 dinars.</w:t>
      </w:r>
    </w:p>
    <w:p w:rsidR="00570B62" w:rsidRPr="00961388" w:rsidRDefault="00910D7D" w:rsidP="00910D7D">
      <w:pPr>
        <w:pStyle w:val="H23G"/>
        <w:rPr>
          <w:lang w:val="fr-CH"/>
        </w:rPr>
      </w:pPr>
      <w:r>
        <w:rPr>
          <w:lang w:val="fr-CH"/>
        </w:rPr>
        <w:tab/>
      </w:r>
      <w:r>
        <w:rPr>
          <w:lang w:val="fr-CH"/>
        </w:rPr>
        <w:tab/>
      </w:r>
      <w:r w:rsidR="00570B62" w:rsidRPr="00961388">
        <w:rPr>
          <w:lang w:val="fr-CH"/>
        </w:rPr>
        <w:t xml:space="preserve">Réponse au paragraphe 14 </w:t>
      </w:r>
      <w:r>
        <w:rPr>
          <w:lang w:val="fr-CH"/>
        </w:rPr>
        <w:t>de la liste de points à traiter</w:t>
      </w:r>
    </w:p>
    <w:p w:rsidR="00570B62" w:rsidRPr="00961388" w:rsidRDefault="00910D7D" w:rsidP="00910D7D">
      <w:pPr>
        <w:pStyle w:val="H4G"/>
        <w:rPr>
          <w:lang w:val="fr-CH"/>
        </w:rPr>
      </w:pPr>
      <w:bookmarkStart w:id="1" w:name="OLE_LINK43"/>
      <w:bookmarkStart w:id="2" w:name="OLE_LINK42"/>
      <w:r>
        <w:rPr>
          <w:lang w:val="fr-CH"/>
        </w:rPr>
        <w:tab/>
        <w:t>1.</w:t>
      </w:r>
      <w:r>
        <w:rPr>
          <w:lang w:val="fr-CH"/>
        </w:rPr>
        <w:tab/>
      </w:r>
      <w:r w:rsidR="00570B62" w:rsidRPr="00961388">
        <w:rPr>
          <w:lang w:val="fr-CH"/>
        </w:rPr>
        <w:t xml:space="preserve">Conformité de la législation tunisienne avec la Convention </w:t>
      </w:r>
      <w:r w:rsidR="001973D8">
        <w:rPr>
          <w:lang w:val="fr-CH"/>
        </w:rPr>
        <w:t xml:space="preserve">et la recommandation générale </w:t>
      </w:r>
      <w:r w:rsidR="001973D8" w:rsidRPr="001973D8">
        <w:rPr>
          <w:rFonts w:eastAsia="MS Mincho"/>
          <w:lang w:val="fr-CH"/>
        </w:rPr>
        <w:t>n</w:t>
      </w:r>
      <w:r w:rsidR="001973D8" w:rsidRPr="001973D8">
        <w:rPr>
          <w:rFonts w:eastAsia="MS Mincho"/>
          <w:vertAlign w:val="superscript"/>
          <w:lang w:val="fr-CH"/>
        </w:rPr>
        <w:t>o</w:t>
      </w:r>
      <w:r w:rsidR="001973D8">
        <w:rPr>
          <w:lang w:val="fr-CH"/>
        </w:rPr>
        <w:t xml:space="preserve"> </w:t>
      </w:r>
      <w:r w:rsidR="00570B62" w:rsidRPr="00961388">
        <w:rPr>
          <w:lang w:val="fr-CH"/>
        </w:rPr>
        <w:t>19 du Comité</w:t>
      </w:r>
    </w:p>
    <w:p w:rsidR="00570B62" w:rsidRPr="00961388" w:rsidRDefault="00570B62" w:rsidP="00910D7D">
      <w:pPr>
        <w:pStyle w:val="SingleTxtG"/>
        <w:rPr>
          <w:lang w:val="fr-CH"/>
        </w:rPr>
      </w:pPr>
      <w:r w:rsidRPr="00961388">
        <w:rPr>
          <w:lang w:val="fr-CH"/>
        </w:rPr>
        <w:t>109.</w:t>
      </w:r>
      <w:r w:rsidRPr="00961388">
        <w:rPr>
          <w:lang w:val="fr-CH"/>
        </w:rPr>
        <w:tab/>
        <w:t>Il y a plusieurs formes de protection légale et sociale contre la violence conjugale. Comme expliqué lors de la dernière présentation du 4ème rapport de la Tunisie devant le CEDAW, le législateur tunisien s</w:t>
      </w:r>
      <w:r w:rsidR="00961388">
        <w:rPr>
          <w:lang w:val="fr-CH"/>
        </w:rPr>
        <w:t>’</w:t>
      </w:r>
      <w:r w:rsidRPr="00961388">
        <w:rPr>
          <w:lang w:val="fr-CH"/>
        </w:rPr>
        <w:t>est intéressé au problème de la violence conjugale et l</w:t>
      </w:r>
      <w:r w:rsidR="00961388">
        <w:rPr>
          <w:lang w:val="fr-CH"/>
        </w:rPr>
        <w:t>’</w:t>
      </w:r>
      <w:r w:rsidRPr="00961388">
        <w:rPr>
          <w:lang w:val="fr-CH"/>
        </w:rPr>
        <w:t>a traitée d</w:t>
      </w:r>
      <w:r w:rsidR="00961388">
        <w:rPr>
          <w:lang w:val="fr-CH"/>
        </w:rPr>
        <w:t>’</w:t>
      </w:r>
      <w:r w:rsidRPr="00961388">
        <w:rPr>
          <w:lang w:val="fr-CH"/>
        </w:rPr>
        <w:t>une manière cumulant la sévérité corrective et l</w:t>
      </w:r>
      <w:r w:rsidR="00961388">
        <w:rPr>
          <w:lang w:val="fr-CH"/>
        </w:rPr>
        <w:t>’</w:t>
      </w:r>
      <w:r w:rsidRPr="00961388">
        <w:rPr>
          <w:lang w:val="fr-CH"/>
        </w:rPr>
        <w:t>esprit de tolérance tout en gardant l</w:t>
      </w:r>
      <w:r w:rsidR="00961388">
        <w:rPr>
          <w:lang w:val="fr-CH"/>
        </w:rPr>
        <w:t>’</w:t>
      </w:r>
      <w:r w:rsidRPr="00961388">
        <w:rPr>
          <w:lang w:val="fr-CH"/>
        </w:rPr>
        <w:t>intérêt suprême de la famille à l</w:t>
      </w:r>
      <w:r w:rsidR="00961388">
        <w:rPr>
          <w:lang w:val="fr-CH"/>
        </w:rPr>
        <w:t>’</w:t>
      </w:r>
      <w:r w:rsidRPr="00961388">
        <w:rPr>
          <w:lang w:val="fr-CH"/>
        </w:rPr>
        <w:t xml:space="preserve">esprit. </w:t>
      </w:r>
    </w:p>
    <w:p w:rsidR="00570B62" w:rsidRPr="00961388" w:rsidRDefault="00570B62" w:rsidP="00910D7D">
      <w:pPr>
        <w:pStyle w:val="SingleTxtG"/>
        <w:rPr>
          <w:lang w:val="fr-CH"/>
        </w:rPr>
      </w:pPr>
      <w:r w:rsidRPr="00961388">
        <w:rPr>
          <w:lang w:val="fr-CH"/>
        </w:rPr>
        <w:t>110.</w:t>
      </w:r>
      <w:r w:rsidRPr="00961388">
        <w:rPr>
          <w:lang w:val="fr-CH"/>
        </w:rPr>
        <w:tab/>
        <w:t>S</w:t>
      </w:r>
      <w:r w:rsidR="00961388">
        <w:rPr>
          <w:lang w:val="fr-CH"/>
        </w:rPr>
        <w:t>’</w:t>
      </w:r>
      <w:r w:rsidRPr="00961388">
        <w:rPr>
          <w:lang w:val="fr-CH"/>
        </w:rPr>
        <w:t>il est vrai dans ce cadre, que la plainte reste du ressort du conjoint qui peut se désister à tout moment si une conciliation est possible, arrêtant ainsi les poursuites, le procès ou l</w:t>
      </w:r>
      <w:r w:rsidR="00961388">
        <w:rPr>
          <w:lang w:val="fr-CH"/>
        </w:rPr>
        <w:t>’</w:t>
      </w:r>
      <w:r w:rsidRPr="00961388">
        <w:rPr>
          <w:lang w:val="fr-CH"/>
        </w:rPr>
        <w:t>exécution de la peine</w:t>
      </w:r>
      <w:r w:rsidR="00961388">
        <w:rPr>
          <w:lang w:val="fr-CH"/>
        </w:rPr>
        <w:t>;</w:t>
      </w:r>
      <w:r w:rsidRPr="00961388">
        <w:rPr>
          <w:lang w:val="fr-CH"/>
        </w:rPr>
        <w:t xml:space="preserve"> il n</w:t>
      </w:r>
      <w:r w:rsidR="00961388">
        <w:rPr>
          <w:lang w:val="fr-CH"/>
        </w:rPr>
        <w:t>’</w:t>
      </w:r>
      <w:r w:rsidRPr="00961388">
        <w:rPr>
          <w:lang w:val="fr-CH"/>
        </w:rPr>
        <w:t>en reste pas moins que le lien conjugal est considéré comme une condition aggravante, si le conjoint réclame son droit et prouve le préjudice qu</w:t>
      </w:r>
      <w:r w:rsidR="00961388">
        <w:rPr>
          <w:lang w:val="fr-CH"/>
        </w:rPr>
        <w:t>’</w:t>
      </w:r>
      <w:r w:rsidRPr="00961388">
        <w:rPr>
          <w:lang w:val="fr-CH"/>
        </w:rPr>
        <w:t>il a enduré.</w:t>
      </w:r>
    </w:p>
    <w:p w:rsidR="00570B62" w:rsidRPr="00961388" w:rsidRDefault="00570B62" w:rsidP="00910D7D">
      <w:pPr>
        <w:pStyle w:val="SingleTxtG"/>
        <w:rPr>
          <w:lang w:val="fr-CH"/>
        </w:rPr>
      </w:pPr>
      <w:r w:rsidRPr="00961388">
        <w:rPr>
          <w:lang w:val="fr-CH"/>
        </w:rPr>
        <w:t>111.</w:t>
      </w:r>
      <w:r w:rsidRPr="00961388">
        <w:rPr>
          <w:lang w:val="fr-CH"/>
        </w:rPr>
        <w:tab/>
        <w:t>Le législateur tunisien soucieux de trouver un équilibre entre le droit de la femme et celui de la famille en cas de violence conjugale a essayé de garantir un certain équilibre en alliant sévérité et esprit de tolérance. Cette approche conciliatrice a pour finalité de laisser entrouverte la porte des réconciliations familiales sur des bases solides plutôt que de la fermer en cherchant coûte que coûte à sanctionner le conjoint</w:t>
      </w:r>
      <w:r w:rsidRPr="00961388">
        <w:rPr>
          <w:rtl/>
          <w:lang w:val="fr-CH"/>
        </w:rPr>
        <w:t xml:space="preserve"> </w:t>
      </w:r>
      <w:r w:rsidRPr="00961388">
        <w:rPr>
          <w:lang w:val="fr-CH"/>
        </w:rPr>
        <w:t>ce qui aura très probablement pour conséquence la séparation du couple et la dislocation de la famille.</w:t>
      </w:r>
    </w:p>
    <w:p w:rsidR="00570B62" w:rsidRPr="00961388" w:rsidRDefault="00570B62" w:rsidP="00910D7D">
      <w:pPr>
        <w:pStyle w:val="SingleTxtG"/>
        <w:rPr>
          <w:lang w:val="fr-CH"/>
        </w:rPr>
      </w:pPr>
      <w:r w:rsidRPr="00961388">
        <w:rPr>
          <w:lang w:val="fr-CH"/>
        </w:rPr>
        <w:t>112.</w:t>
      </w:r>
      <w:r w:rsidRPr="00961388">
        <w:rPr>
          <w:lang w:val="fr-CH"/>
        </w:rPr>
        <w:tab/>
        <w:t>Il en est de même dans les affaires dans lesquelles le mariage de l</w:t>
      </w:r>
      <w:r w:rsidR="00961388">
        <w:rPr>
          <w:lang w:val="fr-CH"/>
        </w:rPr>
        <w:t>’</w:t>
      </w:r>
      <w:r w:rsidRPr="00961388">
        <w:rPr>
          <w:lang w:val="fr-CH"/>
        </w:rPr>
        <w:t>auteur d</w:t>
      </w:r>
      <w:r w:rsidR="00961388">
        <w:rPr>
          <w:lang w:val="fr-CH"/>
        </w:rPr>
        <w:t>’</w:t>
      </w:r>
      <w:r w:rsidRPr="00961388">
        <w:rPr>
          <w:lang w:val="fr-CH"/>
        </w:rPr>
        <w:t>un viol contre une victime âgée de moins de 20 ans au moment des faits arrête les poursuites ou les effets de la condamnation. La finalité recherchée doit être comprise dans le contexte social spécifique dans lequel elle s</w:t>
      </w:r>
      <w:r w:rsidR="00961388">
        <w:rPr>
          <w:lang w:val="fr-CH"/>
        </w:rPr>
        <w:t>’</w:t>
      </w:r>
      <w:r w:rsidRPr="00961388">
        <w:rPr>
          <w:lang w:val="fr-CH"/>
        </w:rPr>
        <w:t>applique. Ce contexte donne, en effet, la primauté à l</w:t>
      </w:r>
      <w:r w:rsidR="00961388">
        <w:rPr>
          <w:lang w:val="fr-CH"/>
        </w:rPr>
        <w:t>’</w:t>
      </w:r>
      <w:r w:rsidRPr="00961388">
        <w:rPr>
          <w:lang w:val="fr-CH"/>
        </w:rPr>
        <w:t>intérêt général de la famille et à la volonté de la victime elle-même, qui pour des considérations strictement personnelles et sociales, préfère ces solutions, combien même avantageuses à l</w:t>
      </w:r>
      <w:r w:rsidR="00961388">
        <w:rPr>
          <w:lang w:val="fr-CH"/>
        </w:rPr>
        <w:t>’</w:t>
      </w:r>
      <w:r w:rsidRPr="00961388">
        <w:rPr>
          <w:lang w:val="fr-CH"/>
        </w:rPr>
        <w:t>agresseur, qu</w:t>
      </w:r>
      <w:r w:rsidR="00961388">
        <w:rPr>
          <w:lang w:val="fr-CH"/>
        </w:rPr>
        <w:t>’</w:t>
      </w:r>
      <w:r w:rsidRPr="00961388">
        <w:rPr>
          <w:lang w:val="fr-CH"/>
        </w:rPr>
        <w:t>à celles d</w:t>
      </w:r>
      <w:r w:rsidR="00961388">
        <w:rPr>
          <w:lang w:val="fr-CH"/>
        </w:rPr>
        <w:t>’</w:t>
      </w:r>
      <w:r w:rsidRPr="00961388">
        <w:rPr>
          <w:lang w:val="fr-CH"/>
        </w:rPr>
        <w:t>application générale prévues par la législation tunisienne.</w:t>
      </w:r>
    </w:p>
    <w:p w:rsidR="00570B62" w:rsidRPr="00961388" w:rsidRDefault="00570B62" w:rsidP="00910D7D">
      <w:pPr>
        <w:pStyle w:val="SingleTxtG"/>
        <w:rPr>
          <w:lang w:val="fr-CH"/>
        </w:rPr>
      </w:pPr>
      <w:r w:rsidRPr="00961388">
        <w:rPr>
          <w:lang w:val="fr-CH"/>
        </w:rPr>
        <w:t>113.</w:t>
      </w:r>
      <w:r w:rsidRPr="00961388">
        <w:rPr>
          <w:lang w:val="fr-CH"/>
        </w:rPr>
        <w:tab/>
        <w:t>Cet état des choses n</w:t>
      </w:r>
      <w:r w:rsidR="00961388">
        <w:rPr>
          <w:lang w:val="fr-CH"/>
        </w:rPr>
        <w:t>’</w:t>
      </w:r>
      <w:r w:rsidRPr="00961388">
        <w:rPr>
          <w:lang w:val="fr-CH"/>
        </w:rPr>
        <w:t>exclut nullement la conviction de la Tunisie de la nécessité d</w:t>
      </w:r>
      <w:r w:rsidR="00961388">
        <w:rPr>
          <w:lang w:val="fr-CH"/>
        </w:rPr>
        <w:t>’</w:t>
      </w:r>
      <w:r w:rsidRPr="00961388">
        <w:rPr>
          <w:lang w:val="fr-CH"/>
        </w:rPr>
        <w:t>adapter cette législation spécifique à l</w:t>
      </w:r>
      <w:r w:rsidR="00961388">
        <w:rPr>
          <w:lang w:val="fr-CH"/>
        </w:rPr>
        <w:t>’</w:t>
      </w:r>
      <w:r w:rsidRPr="00961388">
        <w:rPr>
          <w:lang w:val="fr-CH"/>
        </w:rPr>
        <w:t>esprit même de la CEDAW et</w:t>
      </w:r>
      <w:r w:rsidR="001973D8">
        <w:rPr>
          <w:lang w:val="fr-CH"/>
        </w:rPr>
        <w:t xml:space="preserve"> à la recommandation générale </w:t>
      </w:r>
      <w:r w:rsidR="001973D8" w:rsidRPr="001973D8">
        <w:rPr>
          <w:rFonts w:eastAsia="MS Mincho"/>
          <w:lang w:val="fr-CH"/>
        </w:rPr>
        <w:t>n</w:t>
      </w:r>
      <w:r w:rsidR="001973D8" w:rsidRPr="001973D8">
        <w:rPr>
          <w:rFonts w:eastAsia="MS Mincho"/>
          <w:vertAlign w:val="superscript"/>
          <w:lang w:val="fr-CH"/>
        </w:rPr>
        <w:t>o</w:t>
      </w:r>
      <w:r w:rsidR="001973D8">
        <w:rPr>
          <w:lang w:val="fr-CH"/>
        </w:rPr>
        <w:t xml:space="preserve"> </w:t>
      </w:r>
      <w:r w:rsidRPr="00961388">
        <w:rPr>
          <w:lang w:val="fr-CH"/>
        </w:rPr>
        <w:t>19 du Comité. Le recours de plus en plus limité dans le temps et dans l</w:t>
      </w:r>
      <w:r w:rsidR="00961388">
        <w:rPr>
          <w:lang w:val="fr-CH"/>
        </w:rPr>
        <w:t>’</w:t>
      </w:r>
      <w:r w:rsidRPr="00961388">
        <w:rPr>
          <w:lang w:val="fr-CH"/>
        </w:rPr>
        <w:t>espace à ces solutions laisse croire que la possibilité d</w:t>
      </w:r>
      <w:r w:rsidR="00961388">
        <w:rPr>
          <w:lang w:val="fr-CH"/>
        </w:rPr>
        <w:t>’</w:t>
      </w:r>
      <w:r w:rsidRPr="00961388">
        <w:rPr>
          <w:lang w:val="fr-CH"/>
        </w:rPr>
        <w:t>une meilleure adaptation de la législation tunisienne aux normes internationales en la matière et dans le sens souhaité par tous, ne va pas tarder. La chose se fera nécessairement au fur et à mesure que l</w:t>
      </w:r>
      <w:r w:rsidR="00961388">
        <w:rPr>
          <w:lang w:val="fr-CH"/>
        </w:rPr>
        <w:t>’</w:t>
      </w:r>
      <w:r w:rsidRPr="00961388">
        <w:rPr>
          <w:lang w:val="fr-CH"/>
        </w:rPr>
        <w:t xml:space="preserve">émancipation de la femme devient une réalité vécue par toutes les femmes toutes catégories confondues. </w:t>
      </w:r>
    </w:p>
    <w:p w:rsidR="00570B62" w:rsidRPr="00961388" w:rsidRDefault="00910D7D" w:rsidP="00910D7D">
      <w:pPr>
        <w:pStyle w:val="H4G"/>
        <w:rPr>
          <w:lang w:val="fr-CH"/>
        </w:rPr>
      </w:pPr>
      <w:r>
        <w:rPr>
          <w:lang w:val="fr-CH"/>
        </w:rPr>
        <w:tab/>
        <w:t>2.</w:t>
      </w:r>
      <w:r>
        <w:rPr>
          <w:lang w:val="fr-CH"/>
        </w:rPr>
        <w:tab/>
      </w:r>
      <w:r w:rsidR="00570B62" w:rsidRPr="00961388">
        <w:rPr>
          <w:lang w:val="fr-CH"/>
        </w:rPr>
        <w:t>Droit des femmes victimes à la réparation</w:t>
      </w:r>
    </w:p>
    <w:p w:rsidR="00570B62" w:rsidRPr="00961388" w:rsidRDefault="00570B62" w:rsidP="00910D7D">
      <w:pPr>
        <w:pStyle w:val="SingleTxtG"/>
        <w:rPr>
          <w:lang w:val="fr-CH"/>
        </w:rPr>
      </w:pPr>
      <w:r w:rsidRPr="00961388">
        <w:rPr>
          <w:lang w:val="fr-CH"/>
        </w:rPr>
        <w:t>114.</w:t>
      </w:r>
      <w:r w:rsidRPr="00961388">
        <w:rPr>
          <w:lang w:val="fr-CH"/>
        </w:rPr>
        <w:tab/>
        <w:t>En droit tunisien, toute infraction donne ouverture à une action publique ayant pour but l</w:t>
      </w:r>
      <w:r w:rsidR="00961388">
        <w:rPr>
          <w:lang w:val="fr-CH"/>
        </w:rPr>
        <w:t>’</w:t>
      </w:r>
      <w:r w:rsidRPr="00961388">
        <w:rPr>
          <w:lang w:val="fr-CH"/>
        </w:rPr>
        <w:t xml:space="preserve">application des peines et, si un dommage a été causé, à une action civile en réparation de ce dommage. </w:t>
      </w:r>
    </w:p>
    <w:p w:rsidR="00570B62" w:rsidRPr="00961388" w:rsidRDefault="00570B62" w:rsidP="00910D7D">
      <w:pPr>
        <w:pStyle w:val="SingleTxtG"/>
        <w:rPr>
          <w:lang w:val="fr-CH"/>
        </w:rPr>
      </w:pPr>
      <w:r w:rsidRPr="00961388">
        <w:rPr>
          <w:lang w:val="fr-CH"/>
        </w:rPr>
        <w:t>115.</w:t>
      </w:r>
      <w:r w:rsidRPr="00961388">
        <w:rPr>
          <w:lang w:val="fr-CH"/>
        </w:rPr>
        <w:tab/>
        <w:t>La loi tunisienne reconnaît en effet, à la femme justiciable au civil tous les droits à un recours juste et efficace et lui offre toutes les garanties d</w:t>
      </w:r>
      <w:r w:rsidR="00961388">
        <w:rPr>
          <w:lang w:val="fr-CH"/>
        </w:rPr>
        <w:t>’</w:t>
      </w:r>
      <w:r w:rsidRPr="00961388">
        <w:rPr>
          <w:lang w:val="fr-CH"/>
        </w:rPr>
        <w:t>une justice moderne et équitable au même titre que l</w:t>
      </w:r>
      <w:r w:rsidR="00961388">
        <w:rPr>
          <w:lang w:val="fr-CH"/>
        </w:rPr>
        <w:t>’</w:t>
      </w:r>
      <w:r w:rsidRPr="00961388">
        <w:rPr>
          <w:lang w:val="fr-CH"/>
        </w:rPr>
        <w:t xml:space="preserve">homme. </w:t>
      </w:r>
      <w:r w:rsidR="0056142F" w:rsidRPr="00961388">
        <w:rPr>
          <w:lang w:val="fr-CH"/>
        </w:rPr>
        <w:t>La</w:t>
      </w:r>
      <w:r w:rsidRPr="00961388">
        <w:rPr>
          <w:lang w:val="fr-CH"/>
        </w:rPr>
        <w:t xml:space="preserve"> femme jouit de la pleine capacité de recours à la justice en matière civile. </w:t>
      </w:r>
    </w:p>
    <w:p w:rsidR="00570B62" w:rsidRPr="00961388" w:rsidRDefault="00570B62" w:rsidP="00910D7D">
      <w:pPr>
        <w:pStyle w:val="SingleTxtG"/>
        <w:rPr>
          <w:lang w:val="fr-CH"/>
        </w:rPr>
      </w:pPr>
      <w:r w:rsidRPr="00961388">
        <w:rPr>
          <w:lang w:val="fr-CH"/>
        </w:rPr>
        <w:t>116.</w:t>
      </w:r>
      <w:r w:rsidRPr="00961388">
        <w:rPr>
          <w:lang w:val="fr-CH"/>
        </w:rPr>
        <w:tab/>
        <w:t>La loi tunisienne a mis en place plusieurs possibilités de réparation en faveur des femmes victimes d</w:t>
      </w:r>
      <w:r w:rsidR="00961388">
        <w:rPr>
          <w:lang w:val="fr-CH"/>
        </w:rPr>
        <w:t>’</w:t>
      </w:r>
      <w:r w:rsidRPr="00961388">
        <w:rPr>
          <w:lang w:val="fr-CH"/>
        </w:rPr>
        <w:t>actes de violence</w:t>
      </w:r>
      <w:r w:rsidR="00910D7D">
        <w:rPr>
          <w:lang w:val="fr-CH"/>
        </w:rPr>
        <w:t>.</w:t>
      </w:r>
    </w:p>
    <w:p w:rsidR="00570B62" w:rsidRPr="00961388" w:rsidRDefault="00570B62" w:rsidP="00910D7D">
      <w:pPr>
        <w:pStyle w:val="SingleTxtG"/>
        <w:rPr>
          <w:lang w:val="fr-CH"/>
        </w:rPr>
      </w:pPr>
      <w:r w:rsidRPr="00961388">
        <w:rPr>
          <w:lang w:val="fr-CH"/>
        </w:rPr>
        <w:t>117.</w:t>
      </w:r>
      <w:r w:rsidRPr="00961388">
        <w:rPr>
          <w:lang w:val="fr-CH"/>
        </w:rPr>
        <w:tab/>
        <w:t>Ainsi la femme victime de violence a toutes les garanties qu</w:t>
      </w:r>
      <w:r w:rsidR="00961388">
        <w:rPr>
          <w:lang w:val="fr-CH"/>
        </w:rPr>
        <w:t>’</w:t>
      </w:r>
      <w:r w:rsidRPr="00961388">
        <w:rPr>
          <w:lang w:val="fr-CH"/>
        </w:rPr>
        <w:t>offre la loi tunisienne pour obtenir une condamnation à l</w:t>
      </w:r>
      <w:r w:rsidR="00961388">
        <w:rPr>
          <w:lang w:val="fr-CH"/>
        </w:rPr>
        <w:t>’</w:t>
      </w:r>
      <w:r w:rsidRPr="00961388">
        <w:rPr>
          <w:lang w:val="fr-CH"/>
        </w:rPr>
        <w:t>encontre de l</w:t>
      </w:r>
      <w:r w:rsidR="00961388">
        <w:rPr>
          <w:lang w:val="fr-CH"/>
        </w:rPr>
        <w:t>’</w:t>
      </w:r>
      <w:r w:rsidRPr="00961388">
        <w:rPr>
          <w:lang w:val="fr-CH"/>
        </w:rPr>
        <w:t>auteur de cette violence et a la possibilité d</w:t>
      </w:r>
      <w:r w:rsidR="00961388">
        <w:rPr>
          <w:lang w:val="fr-CH"/>
        </w:rPr>
        <w:t>’</w:t>
      </w:r>
      <w:r w:rsidRPr="00961388">
        <w:rPr>
          <w:lang w:val="fr-CH"/>
        </w:rPr>
        <w:t>obtenir par la même une réparation de son préjudice</w:t>
      </w:r>
      <w:r w:rsidR="00910D7D">
        <w:rPr>
          <w:lang w:val="fr-CH"/>
        </w:rPr>
        <w:t>.</w:t>
      </w:r>
    </w:p>
    <w:p w:rsidR="00570B62" w:rsidRPr="00961388" w:rsidRDefault="00570B62" w:rsidP="00910D7D">
      <w:pPr>
        <w:pStyle w:val="SingleTxtG"/>
        <w:rPr>
          <w:lang w:val="fr-CH"/>
        </w:rPr>
      </w:pPr>
      <w:r w:rsidRPr="00961388">
        <w:rPr>
          <w:lang w:val="fr-CH"/>
        </w:rPr>
        <w:t>118.</w:t>
      </w:r>
      <w:r w:rsidRPr="00961388">
        <w:rPr>
          <w:lang w:val="fr-CH"/>
        </w:rPr>
        <w:tab/>
        <w:t>Le recours peut se faire d</w:t>
      </w:r>
      <w:r w:rsidR="00961388">
        <w:rPr>
          <w:lang w:val="fr-CH"/>
        </w:rPr>
        <w:t>’</w:t>
      </w:r>
      <w:r w:rsidRPr="00961388">
        <w:rPr>
          <w:lang w:val="fr-CH"/>
        </w:rPr>
        <w:t>une manière personnelle et autonome, ou par l</w:t>
      </w:r>
      <w:r w:rsidR="00961388">
        <w:rPr>
          <w:lang w:val="fr-CH"/>
        </w:rPr>
        <w:t>’</w:t>
      </w:r>
      <w:r w:rsidRPr="00961388">
        <w:rPr>
          <w:lang w:val="fr-CH"/>
        </w:rPr>
        <w:t>intermédiaire d</w:t>
      </w:r>
      <w:r w:rsidR="00961388">
        <w:rPr>
          <w:lang w:val="fr-CH"/>
        </w:rPr>
        <w:t>’</w:t>
      </w:r>
      <w:r w:rsidRPr="00961388">
        <w:rPr>
          <w:lang w:val="fr-CH"/>
        </w:rPr>
        <w:t>un avocat que la femme choisit, afin que ses droits soient préservés et que son recours à la justice ne soit assujetti à aucune restriction.</w:t>
      </w:r>
    </w:p>
    <w:p w:rsidR="00570B62" w:rsidRPr="00961388" w:rsidRDefault="00570B62" w:rsidP="00910D7D">
      <w:pPr>
        <w:pStyle w:val="SingleTxtG"/>
        <w:rPr>
          <w:lang w:val="fr-CH"/>
        </w:rPr>
      </w:pPr>
      <w:r w:rsidRPr="00961388">
        <w:rPr>
          <w:lang w:val="fr-CH"/>
        </w:rPr>
        <w:t>119.</w:t>
      </w:r>
      <w:r w:rsidRPr="00961388">
        <w:rPr>
          <w:lang w:val="fr-CH"/>
        </w:rPr>
        <w:tab/>
        <w:t>Les Articles 2, 7 du Code de procédure pénale, garantissent pleinement l</w:t>
      </w:r>
      <w:r w:rsidR="00961388">
        <w:rPr>
          <w:lang w:val="fr-CH"/>
        </w:rPr>
        <w:t>’</w:t>
      </w:r>
      <w:r w:rsidRPr="00961388">
        <w:rPr>
          <w:lang w:val="fr-CH"/>
        </w:rPr>
        <w:t>exercice de ce droit puisque l</w:t>
      </w:r>
      <w:r w:rsidR="00961388">
        <w:rPr>
          <w:lang w:val="fr-CH"/>
        </w:rPr>
        <w:t>’</w:t>
      </w:r>
      <w:r w:rsidRPr="00961388">
        <w:rPr>
          <w:lang w:val="fr-CH"/>
        </w:rPr>
        <w:t xml:space="preserve">action publique qui est mise en mouvement et exercée par les magistrats ou par les fonctionnaires auxquels elle est confiée par la loi, peut également être mise en mouvement par la partie lésée dans les conditions déterminées par le dit Code. </w:t>
      </w:r>
    </w:p>
    <w:p w:rsidR="00570B62" w:rsidRPr="00961388" w:rsidRDefault="00570B62" w:rsidP="00910D7D">
      <w:pPr>
        <w:pStyle w:val="SingleTxtG"/>
        <w:rPr>
          <w:lang w:val="fr-CH"/>
        </w:rPr>
      </w:pPr>
      <w:bookmarkStart w:id="3" w:name="7"/>
      <w:bookmarkEnd w:id="3"/>
      <w:r w:rsidRPr="00961388">
        <w:rPr>
          <w:lang w:val="fr-CH"/>
        </w:rPr>
        <w:t>120.</w:t>
      </w:r>
      <w:r w:rsidRPr="00961388">
        <w:rPr>
          <w:lang w:val="fr-CH"/>
        </w:rPr>
        <w:tab/>
        <w:t>L</w:t>
      </w:r>
      <w:r w:rsidR="00961388">
        <w:rPr>
          <w:lang w:val="fr-CH"/>
        </w:rPr>
        <w:t>’</w:t>
      </w:r>
      <w:r w:rsidRPr="00961388">
        <w:rPr>
          <w:lang w:val="fr-CH"/>
        </w:rPr>
        <w:t>action civile appartient à tous ceux qui ont personnellement souffert du dommage causé directement par l</w:t>
      </w:r>
      <w:r w:rsidR="00961388">
        <w:rPr>
          <w:lang w:val="fr-CH"/>
        </w:rPr>
        <w:t>’</w:t>
      </w:r>
      <w:r w:rsidRPr="00961388">
        <w:rPr>
          <w:lang w:val="fr-CH"/>
        </w:rPr>
        <w:t>infraction. Elle peut être exercée en même temps que l</w:t>
      </w:r>
      <w:r w:rsidR="00961388">
        <w:rPr>
          <w:lang w:val="fr-CH"/>
        </w:rPr>
        <w:t>’</w:t>
      </w:r>
      <w:r w:rsidRPr="00961388">
        <w:rPr>
          <w:lang w:val="fr-CH"/>
        </w:rPr>
        <w:t>action publique, ou, séparément devant la juridiction civile</w:t>
      </w:r>
      <w:r w:rsidR="00961388">
        <w:rPr>
          <w:lang w:val="fr-CH"/>
        </w:rPr>
        <w:t>;</w:t>
      </w:r>
      <w:r w:rsidRPr="00961388">
        <w:rPr>
          <w:lang w:val="fr-CH"/>
        </w:rPr>
        <w:t xml:space="preserve"> dans ce dernier cas, il est sursis à son jugement tant qu</w:t>
      </w:r>
      <w:r w:rsidR="00961388">
        <w:rPr>
          <w:lang w:val="fr-CH"/>
        </w:rPr>
        <w:t>’</w:t>
      </w:r>
      <w:r w:rsidRPr="00961388">
        <w:rPr>
          <w:lang w:val="fr-CH"/>
        </w:rPr>
        <w:t>il n</w:t>
      </w:r>
      <w:r w:rsidR="00961388">
        <w:rPr>
          <w:lang w:val="fr-CH"/>
        </w:rPr>
        <w:t>’</w:t>
      </w:r>
      <w:r w:rsidRPr="00961388">
        <w:rPr>
          <w:lang w:val="fr-CH"/>
        </w:rPr>
        <w:t>a pas été statué définitivement sur l</w:t>
      </w:r>
      <w:r w:rsidR="00961388">
        <w:rPr>
          <w:lang w:val="fr-CH"/>
        </w:rPr>
        <w:t>’</w:t>
      </w:r>
      <w:r w:rsidRPr="00961388">
        <w:rPr>
          <w:lang w:val="fr-CH"/>
        </w:rPr>
        <w:t>action publique lorsque celle-ci a été mise en mouvement. La partie qui a exercé son action devant la juridiction civile compétente ne peut la porter devant la juridiction répressive, il n</w:t>
      </w:r>
      <w:r w:rsidR="00961388">
        <w:rPr>
          <w:lang w:val="fr-CH"/>
        </w:rPr>
        <w:t>’</w:t>
      </w:r>
      <w:r w:rsidRPr="00961388">
        <w:rPr>
          <w:lang w:val="fr-CH"/>
        </w:rPr>
        <w:t>en est autrement que si celle-ci a été saisie par le ministère public, avant qu</w:t>
      </w:r>
      <w:r w:rsidR="00961388">
        <w:rPr>
          <w:lang w:val="fr-CH"/>
        </w:rPr>
        <w:t>’</w:t>
      </w:r>
      <w:r w:rsidRPr="00961388">
        <w:rPr>
          <w:lang w:val="fr-CH"/>
        </w:rPr>
        <w:t>un jugement sur le fond ait été rendu par la juridiction civile.</w:t>
      </w:r>
    </w:p>
    <w:p w:rsidR="00570B62" w:rsidRPr="00961388" w:rsidRDefault="00570B62" w:rsidP="00910D7D">
      <w:pPr>
        <w:pStyle w:val="SingleTxtG"/>
        <w:rPr>
          <w:lang w:val="fr-CH"/>
        </w:rPr>
      </w:pPr>
      <w:r w:rsidRPr="00961388">
        <w:rPr>
          <w:lang w:val="fr-CH"/>
        </w:rPr>
        <w:t>121.</w:t>
      </w:r>
      <w:r w:rsidRPr="00961388">
        <w:rPr>
          <w:lang w:val="fr-CH"/>
        </w:rPr>
        <w:tab/>
        <w:t>La législation tunisienne accorde ainsi, à la victime le droit de demander réparation du préjudice causé par l</w:t>
      </w:r>
      <w:r w:rsidR="00961388">
        <w:rPr>
          <w:lang w:val="fr-CH"/>
        </w:rPr>
        <w:t>’</w:t>
      </w:r>
      <w:r w:rsidRPr="00961388">
        <w:rPr>
          <w:lang w:val="fr-CH"/>
        </w:rPr>
        <w:t>infraction et lui permet de le faire à son choix, soit devant le juge pénal ou le juge civil. En effet, l</w:t>
      </w:r>
      <w:r w:rsidR="00961388">
        <w:rPr>
          <w:lang w:val="fr-CH"/>
        </w:rPr>
        <w:t>’</w:t>
      </w:r>
      <w:r w:rsidRPr="00961388">
        <w:rPr>
          <w:lang w:val="fr-CH"/>
        </w:rPr>
        <w:t>article 7 du Code de procédure pénale dispose que «L</w:t>
      </w:r>
      <w:r w:rsidR="00961388">
        <w:rPr>
          <w:lang w:val="fr-CH"/>
        </w:rPr>
        <w:t>’</w:t>
      </w:r>
      <w:r w:rsidRPr="00961388">
        <w:rPr>
          <w:lang w:val="fr-CH"/>
        </w:rPr>
        <w:t>action civile appartient à tous ceux qui ont personnellement souffert du dommage causé directement par l</w:t>
      </w:r>
      <w:r w:rsidR="00961388">
        <w:rPr>
          <w:lang w:val="fr-CH"/>
        </w:rPr>
        <w:t>’</w:t>
      </w:r>
      <w:r w:rsidRPr="00961388">
        <w:rPr>
          <w:lang w:val="fr-CH"/>
        </w:rPr>
        <w:t>infraction. Elle peut être exercée en même temps que l</w:t>
      </w:r>
      <w:r w:rsidR="00961388">
        <w:rPr>
          <w:lang w:val="fr-CH"/>
        </w:rPr>
        <w:t>’</w:t>
      </w:r>
      <w:r w:rsidRPr="00961388">
        <w:rPr>
          <w:lang w:val="fr-CH"/>
        </w:rPr>
        <w:t>action publique, ou, séparément devant la juridiction civile; dans ce dernier cas, il est sursis à son jugement tant qu</w:t>
      </w:r>
      <w:r w:rsidR="00961388">
        <w:rPr>
          <w:lang w:val="fr-CH"/>
        </w:rPr>
        <w:t>’</w:t>
      </w:r>
      <w:r w:rsidRPr="00961388">
        <w:rPr>
          <w:lang w:val="fr-CH"/>
        </w:rPr>
        <w:t>il n</w:t>
      </w:r>
      <w:r w:rsidR="00961388">
        <w:rPr>
          <w:lang w:val="fr-CH"/>
        </w:rPr>
        <w:t>’</w:t>
      </w:r>
      <w:r w:rsidRPr="00961388">
        <w:rPr>
          <w:lang w:val="fr-CH"/>
        </w:rPr>
        <w:t>a pas été statué définitivement sur l</w:t>
      </w:r>
      <w:r w:rsidR="00961388">
        <w:rPr>
          <w:lang w:val="fr-CH"/>
        </w:rPr>
        <w:t>’</w:t>
      </w:r>
      <w:r w:rsidRPr="00961388">
        <w:rPr>
          <w:lang w:val="fr-CH"/>
        </w:rPr>
        <w:t>action publique lorsque celle-ci a été mise en mouvement».</w:t>
      </w:r>
    </w:p>
    <w:p w:rsidR="00910D7D" w:rsidRDefault="00570B62" w:rsidP="00910D7D">
      <w:pPr>
        <w:pStyle w:val="SingleTxtG"/>
        <w:rPr>
          <w:lang w:val="fr-CH"/>
        </w:rPr>
      </w:pPr>
      <w:r w:rsidRPr="00961388">
        <w:rPr>
          <w:lang w:val="fr-CH"/>
        </w:rPr>
        <w:t>122.</w:t>
      </w:r>
      <w:r w:rsidRPr="00961388">
        <w:rPr>
          <w:lang w:val="fr-CH"/>
        </w:rPr>
        <w:tab/>
        <w:t>Le dommage moral subi par la victime d</w:t>
      </w:r>
      <w:r w:rsidR="00961388">
        <w:rPr>
          <w:lang w:val="fr-CH"/>
        </w:rPr>
        <w:t>’</w:t>
      </w:r>
      <w:r w:rsidRPr="00961388">
        <w:rPr>
          <w:lang w:val="fr-CH"/>
        </w:rPr>
        <w:t>une infraction est prévu par les articles 82 et 83 du Code des obligations et des contrats. Toutefois, tout en reconnaissant le droit à la réparation du préjudice moral, ces articles ne fixent pas de liste exhaustive et limitative des catégories du dommage moral. Ce dommage a néanmoins été largement interprété par la jurisprudence tunisienne et ce, dans le but d</w:t>
      </w:r>
      <w:r w:rsidR="00961388">
        <w:rPr>
          <w:lang w:val="fr-CH"/>
        </w:rPr>
        <w:t>’</w:t>
      </w:r>
      <w:r w:rsidRPr="00961388">
        <w:rPr>
          <w:lang w:val="fr-CH"/>
        </w:rPr>
        <w:t xml:space="preserve">assurer à la victime une réparation juste et proportionnelle aux différentes catégories de dommage moral subi. La réparation concerne les catégories suivantes: </w:t>
      </w:r>
    </w:p>
    <w:p w:rsidR="00910D7D" w:rsidRDefault="00570B62" w:rsidP="00910D7D">
      <w:pPr>
        <w:pStyle w:val="Bullet1G"/>
        <w:rPr>
          <w:lang w:val="fr-CH"/>
        </w:rPr>
      </w:pPr>
      <w:r w:rsidRPr="00961388">
        <w:rPr>
          <w:lang w:val="fr-CH"/>
        </w:rPr>
        <w:t>Douleurs et souffrances</w:t>
      </w:r>
      <w:r w:rsidR="00FC7BA3">
        <w:rPr>
          <w:lang w:val="fr-CH"/>
        </w:rPr>
        <w:t>;</w:t>
      </w:r>
    </w:p>
    <w:p w:rsidR="00910D7D" w:rsidRDefault="00570B62" w:rsidP="00910D7D">
      <w:pPr>
        <w:pStyle w:val="Bullet1G"/>
        <w:rPr>
          <w:lang w:val="fr-CH"/>
        </w:rPr>
      </w:pPr>
      <w:r w:rsidRPr="00961388">
        <w:rPr>
          <w:lang w:val="fr-CH"/>
        </w:rPr>
        <w:t>Préjudice esthétique</w:t>
      </w:r>
      <w:r w:rsidR="00FC7BA3">
        <w:rPr>
          <w:lang w:val="fr-CH"/>
        </w:rPr>
        <w:t>;</w:t>
      </w:r>
    </w:p>
    <w:p w:rsidR="00910D7D" w:rsidRDefault="00570B62" w:rsidP="00910D7D">
      <w:pPr>
        <w:pStyle w:val="Bullet1G"/>
        <w:rPr>
          <w:lang w:val="fr-CH"/>
        </w:rPr>
      </w:pPr>
      <w:r w:rsidRPr="00961388">
        <w:rPr>
          <w:lang w:val="fr-CH"/>
        </w:rPr>
        <w:t>Préjudice de désagrément</w:t>
      </w:r>
      <w:r w:rsidR="00FC7BA3">
        <w:rPr>
          <w:lang w:val="fr-CH"/>
        </w:rPr>
        <w:t>;</w:t>
      </w:r>
    </w:p>
    <w:p w:rsidR="00910D7D" w:rsidRDefault="00570B62" w:rsidP="00910D7D">
      <w:pPr>
        <w:pStyle w:val="Bullet1G"/>
        <w:rPr>
          <w:lang w:val="fr-CH"/>
        </w:rPr>
      </w:pPr>
      <w:r w:rsidRPr="00961388">
        <w:rPr>
          <w:lang w:val="fr-CH"/>
        </w:rPr>
        <w:t>Préjudice juvénile</w:t>
      </w:r>
      <w:r w:rsidR="00FC7BA3">
        <w:rPr>
          <w:lang w:val="fr-CH"/>
        </w:rPr>
        <w:t>;</w:t>
      </w:r>
    </w:p>
    <w:p w:rsidR="00570B62" w:rsidRPr="00961388" w:rsidRDefault="00570B62" w:rsidP="00910D7D">
      <w:pPr>
        <w:pStyle w:val="Bullet1G"/>
        <w:rPr>
          <w:lang w:val="fr-CH"/>
        </w:rPr>
      </w:pPr>
      <w:r w:rsidRPr="00961388">
        <w:rPr>
          <w:lang w:val="fr-CH"/>
        </w:rPr>
        <w:t>Préjudice sexuel</w:t>
      </w:r>
      <w:r w:rsidR="00FC7BA3">
        <w:rPr>
          <w:lang w:val="fr-CH"/>
        </w:rPr>
        <w:t>.</w:t>
      </w:r>
    </w:p>
    <w:p w:rsidR="00570B62" w:rsidRPr="00961388" w:rsidRDefault="00570B62" w:rsidP="00910D7D">
      <w:pPr>
        <w:pStyle w:val="SingleTxtG"/>
        <w:rPr>
          <w:lang w:val="fr-CH"/>
        </w:rPr>
      </w:pPr>
      <w:r w:rsidRPr="00961388">
        <w:rPr>
          <w:lang w:val="fr-CH"/>
        </w:rPr>
        <w:t>123.</w:t>
      </w:r>
      <w:r w:rsidRPr="00961388">
        <w:rPr>
          <w:lang w:val="fr-CH"/>
        </w:rPr>
        <w:tab/>
        <w:t>Lorsque le jugement, qu</w:t>
      </w:r>
      <w:r w:rsidR="00961388">
        <w:rPr>
          <w:lang w:val="fr-CH"/>
        </w:rPr>
        <w:t>’</w:t>
      </w:r>
      <w:r w:rsidRPr="00961388">
        <w:rPr>
          <w:lang w:val="fr-CH"/>
        </w:rPr>
        <w:t>il soit pénal ou civil acquiert force exécutoire, la personne concernée par le dédommagement peut procéder à son exécution par le recours à un huissier notaire qui l</w:t>
      </w:r>
      <w:r w:rsidR="00961388">
        <w:rPr>
          <w:lang w:val="fr-CH"/>
        </w:rPr>
        <w:t>’</w:t>
      </w:r>
      <w:r w:rsidRPr="00961388">
        <w:rPr>
          <w:lang w:val="fr-CH"/>
        </w:rPr>
        <w:t>exécutera selon les dispositions relatives aux voies d</w:t>
      </w:r>
      <w:r w:rsidR="00961388">
        <w:rPr>
          <w:lang w:val="fr-CH"/>
        </w:rPr>
        <w:t>’</w:t>
      </w:r>
      <w:r w:rsidRPr="00961388">
        <w:rPr>
          <w:lang w:val="fr-CH"/>
        </w:rPr>
        <w:t>exécution prévues par le Code de procédure civile et commerciale.</w:t>
      </w:r>
    </w:p>
    <w:bookmarkEnd w:id="1"/>
    <w:bookmarkEnd w:id="2"/>
    <w:p w:rsidR="00570B62" w:rsidRPr="00961388" w:rsidRDefault="00910D7D" w:rsidP="00910D7D">
      <w:pPr>
        <w:pStyle w:val="H23G"/>
        <w:rPr>
          <w:lang w:val="fr-CH"/>
        </w:rPr>
      </w:pPr>
      <w:r>
        <w:rPr>
          <w:lang w:val="fr-CH"/>
        </w:rPr>
        <w:tab/>
      </w:r>
      <w:r>
        <w:rPr>
          <w:lang w:val="fr-CH"/>
        </w:rPr>
        <w:tab/>
      </w:r>
      <w:r w:rsidR="00570B62" w:rsidRPr="00961388">
        <w:rPr>
          <w:lang w:val="fr-CH"/>
        </w:rPr>
        <w:t xml:space="preserve">Réponse au paragraphe 15 </w:t>
      </w:r>
      <w:r>
        <w:rPr>
          <w:lang w:val="fr-CH"/>
        </w:rPr>
        <w:t>de la liste de points à traiter</w:t>
      </w:r>
    </w:p>
    <w:p w:rsidR="00570B62" w:rsidRPr="00961388" w:rsidRDefault="00570B62" w:rsidP="00910D7D">
      <w:pPr>
        <w:pStyle w:val="SingleTxtG"/>
        <w:rPr>
          <w:lang w:val="fr-CH"/>
        </w:rPr>
      </w:pPr>
      <w:r w:rsidRPr="00961388">
        <w:rPr>
          <w:lang w:val="fr-CH"/>
        </w:rPr>
        <w:t>124.</w:t>
      </w:r>
      <w:r w:rsidRPr="00961388">
        <w:rPr>
          <w:lang w:val="fr-CH"/>
        </w:rPr>
        <w:tab/>
        <w:t>La Tunisie a développé plusieurs supports pour garantir la diffusion des renseignements sur l</w:t>
      </w:r>
      <w:r w:rsidR="00961388">
        <w:rPr>
          <w:lang w:val="fr-CH"/>
        </w:rPr>
        <w:t>’</w:t>
      </w:r>
      <w:r w:rsidRPr="00961388">
        <w:rPr>
          <w:lang w:val="fr-CH"/>
        </w:rPr>
        <w:t>accès et les ressources fournies aux centres d</w:t>
      </w:r>
      <w:r w:rsidR="00961388">
        <w:rPr>
          <w:lang w:val="fr-CH"/>
        </w:rPr>
        <w:t>’</w:t>
      </w:r>
      <w:r w:rsidRPr="00961388">
        <w:rPr>
          <w:lang w:val="fr-CH"/>
        </w:rPr>
        <w:t>accueil et de réhabilitation pour les femmes victimes de violence familiale dans le pays.</w:t>
      </w:r>
    </w:p>
    <w:p w:rsidR="00570B62" w:rsidRPr="00961388" w:rsidRDefault="00570B62" w:rsidP="00910D7D">
      <w:pPr>
        <w:pStyle w:val="SingleTxtG"/>
        <w:rPr>
          <w:lang w:val="fr-CH"/>
        </w:rPr>
      </w:pPr>
      <w:r w:rsidRPr="00961388">
        <w:rPr>
          <w:lang w:val="fr-CH"/>
        </w:rPr>
        <w:t>125.</w:t>
      </w:r>
      <w:r w:rsidRPr="00961388">
        <w:rPr>
          <w:lang w:val="fr-CH"/>
        </w:rPr>
        <w:tab/>
        <w:t>Outre l</w:t>
      </w:r>
      <w:r w:rsidR="00961388">
        <w:rPr>
          <w:lang w:val="fr-CH"/>
        </w:rPr>
        <w:t>’</w:t>
      </w:r>
      <w:r w:rsidRPr="00961388">
        <w:rPr>
          <w:lang w:val="fr-CH"/>
        </w:rPr>
        <w:t>accès par des sites web officiels et non officiels consacrés à la femme et aux différentes questions et renseignements y afférentes, les programmes de diffusion à la radio et à la télévision, le ministère des Affaires de la femme, de la famille, de l</w:t>
      </w:r>
      <w:r w:rsidR="00961388">
        <w:rPr>
          <w:lang w:val="fr-CH"/>
        </w:rPr>
        <w:t>’</w:t>
      </w:r>
      <w:r w:rsidRPr="00961388">
        <w:rPr>
          <w:lang w:val="fr-CH"/>
        </w:rPr>
        <w:t>enfance et des personnes âgées a procédé à l</w:t>
      </w:r>
      <w:r w:rsidR="00961388">
        <w:rPr>
          <w:lang w:val="fr-CH"/>
        </w:rPr>
        <w:t>’</w:t>
      </w:r>
      <w:r w:rsidRPr="00961388">
        <w:rPr>
          <w:lang w:val="fr-CH"/>
        </w:rPr>
        <w:t>activation, à partir du 25 novembre 2008, d</w:t>
      </w:r>
      <w:r w:rsidR="00961388">
        <w:rPr>
          <w:lang w:val="fr-CH"/>
        </w:rPr>
        <w:t>’</w:t>
      </w:r>
      <w:r w:rsidRPr="00961388">
        <w:rPr>
          <w:lang w:val="fr-CH"/>
        </w:rPr>
        <w:t>un numéro vert gratuit (80.100.707) mis à la disposition des femmes battues, en vue de les écouter, de les orienter et d</w:t>
      </w:r>
      <w:r w:rsidR="00961388">
        <w:rPr>
          <w:lang w:val="fr-CH"/>
        </w:rPr>
        <w:t>’</w:t>
      </w:r>
      <w:r w:rsidRPr="00961388">
        <w:rPr>
          <w:lang w:val="fr-CH"/>
        </w:rPr>
        <w:t xml:space="preserve">assurer le suivi de leur situation. </w:t>
      </w:r>
    </w:p>
    <w:p w:rsidR="00570B62" w:rsidRPr="00961388" w:rsidRDefault="00570B62" w:rsidP="00910D7D">
      <w:pPr>
        <w:pStyle w:val="SingleTxtG"/>
        <w:rPr>
          <w:lang w:val="fr-CH"/>
        </w:rPr>
      </w:pPr>
      <w:r w:rsidRPr="00961388">
        <w:rPr>
          <w:lang w:val="fr-CH"/>
        </w:rPr>
        <w:t>126.</w:t>
      </w:r>
      <w:r w:rsidRPr="00961388">
        <w:rPr>
          <w:lang w:val="fr-CH"/>
        </w:rPr>
        <w:tab/>
        <w:t>Concernant la possibilité pour les juges d</w:t>
      </w:r>
      <w:r w:rsidR="00961388">
        <w:rPr>
          <w:lang w:val="fr-CH"/>
        </w:rPr>
        <w:t>’</w:t>
      </w:r>
      <w:r w:rsidRPr="00961388">
        <w:rPr>
          <w:lang w:val="fr-CH"/>
        </w:rPr>
        <w:t>édicter des ordonnances de protection temporaire pour les victimes de violence familiale, la législation tunisienne n</w:t>
      </w:r>
      <w:r w:rsidR="00961388">
        <w:rPr>
          <w:lang w:val="fr-CH"/>
        </w:rPr>
        <w:t>’</w:t>
      </w:r>
      <w:r w:rsidRPr="00961388">
        <w:rPr>
          <w:lang w:val="fr-CH"/>
        </w:rPr>
        <w:t>a pas prévu de procédures spécifiques pour garantir la protection temporaire pour les victimes de violence familiale. Cependant, rien n</w:t>
      </w:r>
      <w:r w:rsidR="00961388">
        <w:rPr>
          <w:lang w:val="fr-CH"/>
        </w:rPr>
        <w:t>’</w:t>
      </w:r>
      <w:r w:rsidRPr="00961388">
        <w:rPr>
          <w:lang w:val="fr-CH"/>
        </w:rPr>
        <w:t>empêche les juges de prendre, sur la bases de requêtes et de données sûres, vérifiées et crédibles et dans la limite des moyens, des mesures appropriées pour assurer une protection efficace contre des actes éventuels de représailles ou d</w:t>
      </w:r>
      <w:r w:rsidR="00961388">
        <w:rPr>
          <w:lang w:val="fr-CH"/>
        </w:rPr>
        <w:t>’</w:t>
      </w:r>
      <w:r w:rsidRPr="00961388">
        <w:rPr>
          <w:lang w:val="fr-CH"/>
        </w:rPr>
        <w:t>intimidation aux femmes victimes qui, dans le cadre de procédures pénales, présentent des plaintes et font un témoignage concernant les actes de violence dont elles ont fait l</w:t>
      </w:r>
      <w:r w:rsidR="00961388">
        <w:rPr>
          <w:lang w:val="fr-CH"/>
        </w:rPr>
        <w:t>’</w:t>
      </w:r>
      <w:r w:rsidRPr="00961388">
        <w:rPr>
          <w:lang w:val="fr-CH"/>
        </w:rPr>
        <w:t>objet. Ces mesures peuvent consister notamment, sans préjudice aux droits du défendeur, y compris le droit à une procédure régulière à établir, pour la protection physique de ces victimes, des procédures visant notamment, selon les besoins et dans la mesure du possible, à leur garantir une protection accrue contre toute représailles de la part de l</w:t>
      </w:r>
      <w:r w:rsidR="00961388">
        <w:rPr>
          <w:lang w:val="fr-CH"/>
        </w:rPr>
        <w:t>’</w:t>
      </w:r>
      <w:r w:rsidRPr="00961388">
        <w:rPr>
          <w:lang w:val="fr-CH"/>
        </w:rPr>
        <w:t>agresseur.</w:t>
      </w:r>
    </w:p>
    <w:p w:rsidR="00570B62" w:rsidRPr="00961388" w:rsidRDefault="00910D7D" w:rsidP="00910D7D">
      <w:pPr>
        <w:pStyle w:val="H23G"/>
        <w:rPr>
          <w:lang w:val="fr-CH"/>
        </w:rPr>
      </w:pPr>
      <w:r>
        <w:rPr>
          <w:lang w:val="fr-CH"/>
        </w:rPr>
        <w:tab/>
      </w:r>
      <w:r>
        <w:rPr>
          <w:lang w:val="fr-CH"/>
        </w:rPr>
        <w:tab/>
      </w:r>
      <w:r w:rsidR="00570B62" w:rsidRPr="00961388">
        <w:rPr>
          <w:lang w:val="fr-CH"/>
        </w:rPr>
        <w:t xml:space="preserve">Réponse au paragraphe 16 </w:t>
      </w:r>
      <w:r>
        <w:rPr>
          <w:lang w:val="fr-CH"/>
        </w:rPr>
        <w:t xml:space="preserve">de la liste de points à </w:t>
      </w:r>
      <w:r w:rsidRPr="00910D7D">
        <w:t>traiter</w:t>
      </w:r>
    </w:p>
    <w:p w:rsidR="00570B62" w:rsidRPr="00961388" w:rsidRDefault="00910D7D" w:rsidP="00910D7D">
      <w:pPr>
        <w:pStyle w:val="H4G"/>
        <w:rPr>
          <w:lang w:val="fr-CH"/>
        </w:rPr>
      </w:pPr>
      <w:r>
        <w:rPr>
          <w:lang w:val="fr-CH"/>
        </w:rPr>
        <w:tab/>
        <w:t>1.</w:t>
      </w:r>
      <w:r>
        <w:rPr>
          <w:lang w:val="fr-CH"/>
        </w:rPr>
        <w:tab/>
      </w:r>
      <w:r w:rsidR="00570B62" w:rsidRPr="00961388">
        <w:rPr>
          <w:lang w:val="fr-CH"/>
        </w:rPr>
        <w:t xml:space="preserve">Informations et éclairages sur le port du </w:t>
      </w:r>
      <w:r w:rsidR="00570B62" w:rsidRPr="00961388">
        <w:rPr>
          <w:iCs/>
          <w:lang w:val="fr-CH"/>
        </w:rPr>
        <w:t>hijab</w:t>
      </w:r>
      <w:r w:rsidR="00570B62" w:rsidRPr="00961388">
        <w:rPr>
          <w:lang w:val="fr-CH"/>
        </w:rPr>
        <w:t> </w:t>
      </w:r>
    </w:p>
    <w:p w:rsidR="00570B62" w:rsidRPr="00961388" w:rsidRDefault="00570B62" w:rsidP="00910D7D">
      <w:pPr>
        <w:pStyle w:val="SingleTxtG"/>
        <w:rPr>
          <w:lang w:val="fr-CH"/>
        </w:rPr>
      </w:pPr>
      <w:r w:rsidRPr="00961388">
        <w:rPr>
          <w:lang w:val="fr-CH"/>
        </w:rPr>
        <w:t>127.</w:t>
      </w:r>
      <w:r w:rsidRPr="00961388">
        <w:rPr>
          <w:lang w:val="fr-CH"/>
        </w:rPr>
        <w:tab/>
        <w:t>Tout d</w:t>
      </w:r>
      <w:r w:rsidR="00961388">
        <w:rPr>
          <w:lang w:val="fr-CH"/>
        </w:rPr>
        <w:t>’</w:t>
      </w:r>
      <w:r w:rsidRPr="00961388">
        <w:rPr>
          <w:lang w:val="fr-CH"/>
        </w:rPr>
        <w:t>abord, il sied de préciser qu</w:t>
      </w:r>
      <w:r w:rsidR="00961388">
        <w:rPr>
          <w:lang w:val="fr-CH"/>
        </w:rPr>
        <w:t>’</w:t>
      </w:r>
      <w:r w:rsidRPr="00961388">
        <w:rPr>
          <w:lang w:val="fr-CH"/>
        </w:rPr>
        <w:t>il n</w:t>
      </w:r>
      <w:r w:rsidR="00961388">
        <w:rPr>
          <w:lang w:val="fr-CH"/>
        </w:rPr>
        <w:t>’</w:t>
      </w:r>
      <w:r w:rsidRPr="00961388">
        <w:rPr>
          <w:lang w:val="fr-CH"/>
        </w:rPr>
        <w:t>existe pas d</w:t>
      </w:r>
      <w:r w:rsidR="00961388">
        <w:rPr>
          <w:lang w:val="fr-CH"/>
        </w:rPr>
        <w:t>’</w:t>
      </w:r>
      <w:r w:rsidRPr="00961388">
        <w:rPr>
          <w:lang w:val="fr-CH"/>
        </w:rPr>
        <w:t xml:space="preserve">harcèlement et de violence subie par les femmes qui portent le </w:t>
      </w:r>
      <w:r w:rsidRPr="00961388">
        <w:rPr>
          <w:i/>
          <w:iCs/>
          <w:lang w:val="fr-CH"/>
        </w:rPr>
        <w:t>hijab</w:t>
      </w:r>
      <w:r w:rsidRPr="00961388">
        <w:rPr>
          <w:lang w:val="fr-CH"/>
        </w:rPr>
        <w:t>. Le phénomène du retour du port d</w:t>
      </w:r>
      <w:r w:rsidR="00961388">
        <w:rPr>
          <w:lang w:val="fr-CH"/>
        </w:rPr>
        <w:t>’</w:t>
      </w:r>
      <w:r w:rsidRPr="00961388">
        <w:rPr>
          <w:lang w:val="fr-CH"/>
        </w:rPr>
        <w:t>une tenue vestimentaire distinctive, une sorte d</w:t>
      </w:r>
      <w:r w:rsidR="00961388">
        <w:rPr>
          <w:lang w:val="fr-CH"/>
        </w:rPr>
        <w:t>’</w:t>
      </w:r>
      <w:r w:rsidRPr="00961388">
        <w:rPr>
          <w:lang w:val="fr-CH"/>
        </w:rPr>
        <w:t xml:space="preserve">uniforme, prétendument islamique, a suscité ces derniers temps des critiques, voire carrément le désaveu parmi les différentes catégories de la société tunisienne, plus particulièrement chez les intellectuels. </w:t>
      </w:r>
      <w:r w:rsidR="009D78BE">
        <w:rPr>
          <w:lang w:val="fr-CH"/>
        </w:rPr>
        <w:t>À</w:t>
      </w:r>
      <w:r w:rsidRPr="00961388">
        <w:rPr>
          <w:lang w:val="fr-CH"/>
        </w:rPr>
        <w:t xml:space="preserve"> ce propos, </w:t>
      </w:r>
      <w:r w:rsidR="00961388">
        <w:rPr>
          <w:lang w:val="fr-CH"/>
        </w:rPr>
        <w:t>«</w:t>
      </w:r>
      <w:r w:rsidRPr="00961388">
        <w:rPr>
          <w:lang w:val="fr-CH"/>
        </w:rPr>
        <w:t>Le texte coranique n</w:t>
      </w:r>
      <w:r w:rsidR="00961388">
        <w:rPr>
          <w:lang w:val="fr-CH"/>
        </w:rPr>
        <w:t>’</w:t>
      </w:r>
      <w:r w:rsidRPr="00961388">
        <w:rPr>
          <w:lang w:val="fr-CH"/>
        </w:rPr>
        <w:t>impose aucune tenue spécifique, encore moins un uniforme…</w:t>
      </w:r>
      <w:r w:rsidR="00961388">
        <w:rPr>
          <w:lang w:val="fr-CH"/>
        </w:rPr>
        <w:t>»</w:t>
      </w:r>
      <w:r w:rsidRPr="00961388">
        <w:rPr>
          <w:lang w:val="fr-CH"/>
        </w:rPr>
        <w:t xml:space="preserve"> comme le souligne M.</w:t>
      </w:r>
      <w:r w:rsidR="0056142F">
        <w:rPr>
          <w:lang w:val="fr-CH"/>
        </w:rPr>
        <w:t xml:space="preserve"> </w:t>
      </w:r>
      <w:r w:rsidRPr="00961388">
        <w:rPr>
          <w:lang w:val="fr-CH"/>
        </w:rPr>
        <w:t>Taoufik Ben Ameur, professeur de civilisation et de pensée islamiques à la faculté des Sciences humaines et sociales de Tunis.</w:t>
      </w:r>
    </w:p>
    <w:p w:rsidR="00570B62" w:rsidRPr="00961388" w:rsidRDefault="00570B62" w:rsidP="00910D7D">
      <w:pPr>
        <w:pStyle w:val="SingleTxtG"/>
        <w:rPr>
          <w:lang w:val="fr-CH"/>
        </w:rPr>
      </w:pPr>
      <w:r w:rsidRPr="00961388">
        <w:rPr>
          <w:lang w:val="fr-CH"/>
        </w:rPr>
        <w:t>128.</w:t>
      </w:r>
      <w:r w:rsidRPr="00961388">
        <w:rPr>
          <w:lang w:val="fr-CH"/>
        </w:rPr>
        <w:tab/>
        <w:t>«Lorsqu</w:t>
      </w:r>
      <w:r w:rsidR="00961388">
        <w:rPr>
          <w:lang w:val="fr-CH"/>
        </w:rPr>
        <w:t>’</w:t>
      </w:r>
      <w:r w:rsidRPr="00961388">
        <w:rPr>
          <w:lang w:val="fr-CH"/>
        </w:rPr>
        <w:t>on retourne aux textes, sous l</w:t>
      </w:r>
      <w:r w:rsidR="00961388">
        <w:rPr>
          <w:lang w:val="fr-CH"/>
        </w:rPr>
        <w:t>’</w:t>
      </w:r>
      <w:r w:rsidRPr="00961388">
        <w:rPr>
          <w:lang w:val="fr-CH"/>
        </w:rPr>
        <w:t>angle d</w:t>
      </w:r>
      <w:r w:rsidR="00961388">
        <w:rPr>
          <w:lang w:val="fr-CH"/>
        </w:rPr>
        <w:t>’</w:t>
      </w:r>
      <w:r w:rsidRPr="00961388">
        <w:rPr>
          <w:lang w:val="fr-CH"/>
        </w:rPr>
        <w:t>une approche critique, on n</w:t>
      </w:r>
      <w:r w:rsidR="00961388">
        <w:rPr>
          <w:lang w:val="fr-CH"/>
        </w:rPr>
        <w:t>’</w:t>
      </w:r>
      <w:r w:rsidRPr="00961388">
        <w:rPr>
          <w:lang w:val="fr-CH"/>
        </w:rPr>
        <w:t>y trouve aucune référence à un quelconque uniforme. La femme, est appelée à avoir une conduite décente. L</w:t>
      </w:r>
      <w:r w:rsidR="00961388">
        <w:rPr>
          <w:lang w:val="fr-CH"/>
        </w:rPr>
        <w:t>’</w:t>
      </w:r>
      <w:r w:rsidRPr="00961388">
        <w:rPr>
          <w:lang w:val="fr-CH"/>
        </w:rPr>
        <w:t>islam n</w:t>
      </w:r>
      <w:r w:rsidR="00961388">
        <w:rPr>
          <w:lang w:val="fr-CH"/>
        </w:rPr>
        <w:t>’</w:t>
      </w:r>
      <w:r w:rsidRPr="00961388">
        <w:rPr>
          <w:lang w:val="fr-CH"/>
        </w:rPr>
        <w:t>impose aucun uniforme. Il mentionne, certes, dans quelques versets que la femme ne doit pas avoir une attitude ou une allure provocante</w:t>
      </w:r>
      <w:r w:rsidR="00961388">
        <w:rPr>
          <w:lang w:val="fr-CH"/>
        </w:rPr>
        <w:t>»</w:t>
      </w:r>
      <w:r w:rsidRPr="00961388">
        <w:rPr>
          <w:lang w:val="fr-CH"/>
        </w:rPr>
        <w:t>.</w:t>
      </w:r>
    </w:p>
    <w:p w:rsidR="00570B62" w:rsidRPr="00961388" w:rsidRDefault="00570B62" w:rsidP="00910D7D">
      <w:pPr>
        <w:pStyle w:val="SingleTxtG"/>
        <w:rPr>
          <w:lang w:val="fr-CH"/>
        </w:rPr>
      </w:pPr>
      <w:r w:rsidRPr="00961388">
        <w:rPr>
          <w:lang w:val="fr-CH"/>
        </w:rPr>
        <w:t>129.</w:t>
      </w:r>
      <w:r w:rsidRPr="00961388">
        <w:rPr>
          <w:lang w:val="fr-CH"/>
        </w:rPr>
        <w:tab/>
      </w:r>
      <w:r w:rsidR="00961388">
        <w:rPr>
          <w:lang w:val="fr-CH"/>
        </w:rPr>
        <w:t>«</w:t>
      </w:r>
      <w:r w:rsidRPr="00961388">
        <w:rPr>
          <w:lang w:val="fr-CH"/>
        </w:rPr>
        <w:t xml:space="preserve">Quant au </w:t>
      </w:r>
      <w:r w:rsidR="00961388">
        <w:rPr>
          <w:lang w:val="fr-CH"/>
        </w:rPr>
        <w:t>«</w:t>
      </w:r>
      <w:r w:rsidRPr="00961388">
        <w:rPr>
          <w:i/>
          <w:iCs/>
          <w:lang w:val="fr-CH"/>
        </w:rPr>
        <w:t>khimar</w:t>
      </w:r>
      <w:r w:rsidR="00961388">
        <w:rPr>
          <w:lang w:val="fr-CH"/>
        </w:rPr>
        <w:t>»</w:t>
      </w:r>
      <w:r w:rsidRPr="00961388">
        <w:rPr>
          <w:lang w:val="fr-CH"/>
        </w:rPr>
        <w:t>, il était porté par la femme arabe avant même l</w:t>
      </w:r>
      <w:r w:rsidR="00961388">
        <w:rPr>
          <w:lang w:val="fr-CH"/>
        </w:rPr>
        <w:t>’</w:t>
      </w:r>
      <w:r w:rsidRPr="00961388">
        <w:rPr>
          <w:lang w:val="fr-CH"/>
        </w:rPr>
        <w:t>avènement de l</w:t>
      </w:r>
      <w:r w:rsidR="00961388">
        <w:rPr>
          <w:lang w:val="fr-CH"/>
        </w:rPr>
        <w:t>’</w:t>
      </w:r>
      <w:r w:rsidRPr="00961388">
        <w:rPr>
          <w:lang w:val="fr-CH"/>
        </w:rPr>
        <w:t>Islam. Ce n</w:t>
      </w:r>
      <w:r w:rsidR="00961388">
        <w:rPr>
          <w:lang w:val="fr-CH"/>
        </w:rPr>
        <w:t>’</w:t>
      </w:r>
      <w:r w:rsidRPr="00961388">
        <w:rPr>
          <w:lang w:val="fr-CH"/>
        </w:rPr>
        <w:t>est donc point une institution musulmane. Elle relève plutôt de la tradition, d</w:t>
      </w:r>
      <w:r w:rsidR="00961388">
        <w:rPr>
          <w:lang w:val="fr-CH"/>
        </w:rPr>
        <w:t>’</w:t>
      </w:r>
      <w:r w:rsidRPr="00961388">
        <w:rPr>
          <w:lang w:val="fr-CH"/>
        </w:rPr>
        <w:t>où la nécessité de dissocier le religieux du social. Tout ceci prouve, si besoin est, que le texte n</w:t>
      </w:r>
      <w:r w:rsidR="00961388">
        <w:rPr>
          <w:lang w:val="fr-CH"/>
        </w:rPr>
        <w:t>’</w:t>
      </w:r>
      <w:r w:rsidRPr="00961388">
        <w:rPr>
          <w:lang w:val="fr-CH"/>
        </w:rPr>
        <w:t xml:space="preserve">impose aucune tenue spécifique. Certains versets du Coran parlent, aussi, de </w:t>
      </w:r>
      <w:r w:rsidR="00961388">
        <w:rPr>
          <w:lang w:val="fr-CH"/>
        </w:rPr>
        <w:t>«</w:t>
      </w:r>
      <w:r w:rsidRPr="00961388">
        <w:rPr>
          <w:i/>
          <w:iCs/>
          <w:lang w:val="fr-CH"/>
        </w:rPr>
        <w:t>jalabib</w:t>
      </w:r>
      <w:r w:rsidR="00961388">
        <w:rPr>
          <w:lang w:val="fr-CH"/>
        </w:rPr>
        <w:t>»</w:t>
      </w:r>
      <w:r w:rsidRPr="00961388">
        <w:rPr>
          <w:lang w:val="fr-CH"/>
        </w:rPr>
        <w:t>, un autre habit que les femmes portaient jadis. La religion islamique ne parle d</w:t>
      </w:r>
      <w:r w:rsidR="00961388">
        <w:rPr>
          <w:lang w:val="fr-CH"/>
        </w:rPr>
        <w:t>’</w:t>
      </w:r>
      <w:r w:rsidRPr="00961388">
        <w:rPr>
          <w:lang w:val="fr-CH"/>
        </w:rPr>
        <w:t>aucun habit unifié et, encore moins, d</w:t>
      </w:r>
      <w:r w:rsidR="00961388">
        <w:rPr>
          <w:lang w:val="fr-CH"/>
        </w:rPr>
        <w:t>’</w:t>
      </w:r>
      <w:r w:rsidRPr="00961388">
        <w:rPr>
          <w:lang w:val="fr-CH"/>
        </w:rPr>
        <w:t>uniforme</w:t>
      </w:r>
      <w:r w:rsidR="00961388">
        <w:rPr>
          <w:lang w:val="fr-CH"/>
        </w:rPr>
        <w:t>»</w:t>
      </w:r>
      <w:r w:rsidRPr="00961388">
        <w:rPr>
          <w:lang w:val="fr-CH"/>
        </w:rPr>
        <w:t>.</w:t>
      </w:r>
    </w:p>
    <w:p w:rsidR="00570B62" w:rsidRPr="00961388" w:rsidRDefault="00570B62" w:rsidP="00910D7D">
      <w:pPr>
        <w:pStyle w:val="SingleTxtG"/>
        <w:rPr>
          <w:lang w:val="fr-CH"/>
        </w:rPr>
      </w:pPr>
      <w:r w:rsidRPr="00961388">
        <w:rPr>
          <w:lang w:val="fr-CH"/>
        </w:rPr>
        <w:t>130.</w:t>
      </w:r>
      <w:r w:rsidRPr="00961388">
        <w:rPr>
          <w:lang w:val="fr-CH"/>
        </w:rPr>
        <w:tab/>
      </w:r>
      <w:r w:rsidR="00961388">
        <w:rPr>
          <w:lang w:val="fr-CH"/>
        </w:rPr>
        <w:t>«</w:t>
      </w:r>
      <w:r w:rsidRPr="00961388">
        <w:rPr>
          <w:lang w:val="fr-CH"/>
        </w:rPr>
        <w:t>Toute la question réside dans la simple observation d</w:t>
      </w:r>
      <w:r w:rsidR="00961388">
        <w:rPr>
          <w:lang w:val="fr-CH"/>
        </w:rPr>
        <w:t>’</w:t>
      </w:r>
      <w:r w:rsidRPr="00961388">
        <w:rPr>
          <w:lang w:val="fr-CH"/>
        </w:rPr>
        <w:t>une conduite correcte, sérieuse, décente et non provocante. On peut même aller plus loin. Il est dit explicitement dans le Coran que «le meilleur habit, c</w:t>
      </w:r>
      <w:r w:rsidR="00961388">
        <w:rPr>
          <w:lang w:val="fr-CH"/>
        </w:rPr>
        <w:t>’</w:t>
      </w:r>
      <w:r w:rsidRPr="00961388">
        <w:rPr>
          <w:lang w:val="fr-CH"/>
        </w:rPr>
        <w:t>est la piété</w:t>
      </w:r>
      <w:r w:rsidR="00961388">
        <w:rPr>
          <w:lang w:val="fr-CH"/>
        </w:rPr>
        <w:t>»</w:t>
      </w:r>
      <w:r w:rsidRPr="00961388">
        <w:rPr>
          <w:lang w:val="fr-CH"/>
        </w:rPr>
        <w:t>.</w:t>
      </w:r>
    </w:p>
    <w:p w:rsidR="00570B62" w:rsidRPr="00961388" w:rsidRDefault="00570B62" w:rsidP="00910D7D">
      <w:pPr>
        <w:pStyle w:val="SingleTxtG"/>
        <w:rPr>
          <w:lang w:val="fr-CH"/>
        </w:rPr>
      </w:pPr>
      <w:r w:rsidRPr="00961388">
        <w:rPr>
          <w:lang w:val="fr-CH"/>
        </w:rPr>
        <w:t>131.</w:t>
      </w:r>
      <w:r w:rsidRPr="00961388">
        <w:rPr>
          <w:lang w:val="fr-CH"/>
        </w:rPr>
        <w:tab/>
      </w:r>
      <w:r w:rsidR="00961388">
        <w:rPr>
          <w:lang w:val="fr-CH"/>
        </w:rPr>
        <w:t>«</w:t>
      </w:r>
      <w:r w:rsidRPr="00961388">
        <w:rPr>
          <w:lang w:val="fr-CH"/>
        </w:rPr>
        <w:t>Dans un État de droit et d</w:t>
      </w:r>
      <w:r w:rsidR="00961388">
        <w:rPr>
          <w:lang w:val="fr-CH"/>
        </w:rPr>
        <w:t>’</w:t>
      </w:r>
      <w:r w:rsidRPr="00961388">
        <w:rPr>
          <w:lang w:val="fr-CH"/>
        </w:rPr>
        <w:t>institutions, soumis à une Constitution, on ne peut permettre aucune déviation de notre identité sous aucun prétexte que ce soit</w:t>
      </w:r>
      <w:r w:rsidR="00961388">
        <w:rPr>
          <w:lang w:val="fr-CH"/>
        </w:rPr>
        <w:t>»</w:t>
      </w:r>
      <w:r w:rsidRPr="00961388">
        <w:rPr>
          <w:lang w:val="fr-CH"/>
        </w:rPr>
        <w:t xml:space="preserve">. </w:t>
      </w:r>
    </w:p>
    <w:p w:rsidR="00570B62" w:rsidRPr="00961388" w:rsidRDefault="00570B62" w:rsidP="00910D7D">
      <w:pPr>
        <w:pStyle w:val="SingleTxtG"/>
        <w:rPr>
          <w:lang w:val="fr-CH"/>
        </w:rPr>
      </w:pPr>
      <w:r w:rsidRPr="00961388">
        <w:rPr>
          <w:lang w:val="fr-CH"/>
        </w:rPr>
        <w:t>132.</w:t>
      </w:r>
      <w:r w:rsidRPr="00961388">
        <w:rPr>
          <w:lang w:val="fr-CH"/>
        </w:rPr>
        <w:tab/>
      </w:r>
      <w:r w:rsidR="00961388">
        <w:rPr>
          <w:lang w:val="fr-CH"/>
        </w:rPr>
        <w:t>«</w:t>
      </w:r>
      <w:r w:rsidRPr="00961388">
        <w:rPr>
          <w:lang w:val="fr-CH"/>
        </w:rPr>
        <w:t>Pour expliquer ce nouveau phénomène d</w:t>
      </w:r>
      <w:r w:rsidR="00961388">
        <w:rPr>
          <w:lang w:val="fr-CH"/>
        </w:rPr>
        <w:t>’</w:t>
      </w:r>
      <w:r w:rsidRPr="00961388">
        <w:rPr>
          <w:lang w:val="fr-CH"/>
        </w:rPr>
        <w:t>adoption d</w:t>
      </w:r>
      <w:r w:rsidR="00961388">
        <w:rPr>
          <w:lang w:val="fr-CH"/>
        </w:rPr>
        <w:t>’</w:t>
      </w:r>
      <w:r w:rsidRPr="00961388">
        <w:rPr>
          <w:lang w:val="fr-CH"/>
        </w:rPr>
        <w:t>une couleur bien déterminée en plus de l</w:t>
      </w:r>
      <w:r w:rsidR="00961388">
        <w:rPr>
          <w:lang w:val="fr-CH"/>
        </w:rPr>
        <w:t>’</w:t>
      </w:r>
      <w:r w:rsidRPr="00961388">
        <w:rPr>
          <w:lang w:val="fr-CH"/>
        </w:rPr>
        <w:t>uniformité, il est nécessaire de revenir à la question de l</w:t>
      </w:r>
      <w:r w:rsidR="00961388">
        <w:rPr>
          <w:lang w:val="fr-CH"/>
        </w:rPr>
        <w:t>’</w:t>
      </w:r>
      <w:r w:rsidRPr="00961388">
        <w:rPr>
          <w:lang w:val="fr-CH"/>
        </w:rPr>
        <w:t>identité et de l</w:t>
      </w:r>
      <w:r w:rsidR="00961388">
        <w:rPr>
          <w:lang w:val="fr-CH"/>
        </w:rPr>
        <w:t>’</w:t>
      </w:r>
      <w:r w:rsidRPr="00961388">
        <w:rPr>
          <w:lang w:val="fr-CH"/>
        </w:rPr>
        <w:t>authenticité, un système de valeurs et de symboles. La relation entre ces deux composantes est très intime. S</w:t>
      </w:r>
      <w:r w:rsidR="00961388">
        <w:rPr>
          <w:lang w:val="fr-CH"/>
        </w:rPr>
        <w:t>’</w:t>
      </w:r>
      <w:r w:rsidRPr="00961388">
        <w:rPr>
          <w:lang w:val="fr-CH"/>
        </w:rPr>
        <w:t>il y a un écart entre ces deux composantes, c</w:t>
      </w:r>
      <w:r w:rsidR="00961388">
        <w:rPr>
          <w:lang w:val="fr-CH"/>
        </w:rPr>
        <w:t>’</w:t>
      </w:r>
      <w:r w:rsidRPr="00961388">
        <w:rPr>
          <w:lang w:val="fr-CH"/>
        </w:rPr>
        <w:t>est le signe d</w:t>
      </w:r>
      <w:r w:rsidR="00961388">
        <w:rPr>
          <w:lang w:val="fr-CH"/>
        </w:rPr>
        <w:t>’</w:t>
      </w:r>
      <w:r w:rsidRPr="00961388">
        <w:rPr>
          <w:lang w:val="fr-CH"/>
        </w:rPr>
        <w:t>une déviation dans cette identité et dans cette authenticité</w:t>
      </w:r>
      <w:r w:rsidR="00961388">
        <w:rPr>
          <w:lang w:val="fr-CH"/>
        </w:rPr>
        <w:t>»</w:t>
      </w:r>
      <w:r w:rsidRPr="00961388">
        <w:rPr>
          <w:lang w:val="fr-CH"/>
        </w:rPr>
        <w:t xml:space="preserve">. </w:t>
      </w:r>
    </w:p>
    <w:p w:rsidR="00570B62" w:rsidRPr="00961388" w:rsidRDefault="00570B62" w:rsidP="00910D7D">
      <w:pPr>
        <w:pStyle w:val="SingleTxtG"/>
        <w:rPr>
          <w:lang w:val="fr-CH"/>
        </w:rPr>
      </w:pPr>
      <w:r w:rsidRPr="00961388">
        <w:rPr>
          <w:lang w:val="fr-CH"/>
        </w:rPr>
        <w:t>133.</w:t>
      </w:r>
      <w:r w:rsidRPr="00961388">
        <w:rPr>
          <w:lang w:val="fr-CH"/>
        </w:rPr>
        <w:tab/>
        <w:t>S</w:t>
      </w:r>
      <w:r w:rsidR="00961388">
        <w:rPr>
          <w:lang w:val="fr-CH"/>
        </w:rPr>
        <w:t>’</w:t>
      </w:r>
      <w:r w:rsidRPr="00961388">
        <w:rPr>
          <w:lang w:val="fr-CH"/>
        </w:rPr>
        <w:t xml:space="preserve">agissant du port du </w:t>
      </w:r>
      <w:r w:rsidRPr="00961388">
        <w:rPr>
          <w:i/>
          <w:iCs/>
          <w:lang w:val="fr-CH"/>
        </w:rPr>
        <w:t>Hijab</w:t>
      </w:r>
      <w:r w:rsidRPr="00961388">
        <w:rPr>
          <w:lang w:val="fr-CH"/>
        </w:rPr>
        <w:t>, il faut mentionner l</w:t>
      </w:r>
      <w:r w:rsidR="00961388">
        <w:rPr>
          <w:lang w:val="fr-CH"/>
        </w:rPr>
        <w:t>’</w:t>
      </w:r>
      <w:r w:rsidRPr="00961388">
        <w:rPr>
          <w:lang w:val="fr-CH"/>
        </w:rPr>
        <w:t>influence des flux d</w:t>
      </w:r>
      <w:r w:rsidR="00961388">
        <w:rPr>
          <w:lang w:val="fr-CH"/>
        </w:rPr>
        <w:t>’</w:t>
      </w:r>
      <w:r w:rsidRPr="00961388">
        <w:rPr>
          <w:lang w:val="fr-CH"/>
        </w:rPr>
        <w:t>informations déversés par les chaînes satellitaires. Il y a, ensuite, le phénomène de l</w:t>
      </w:r>
      <w:r w:rsidR="00961388">
        <w:rPr>
          <w:lang w:val="fr-CH"/>
        </w:rPr>
        <w:t>’</w:t>
      </w:r>
      <w:r w:rsidRPr="00961388">
        <w:rPr>
          <w:lang w:val="fr-CH"/>
        </w:rPr>
        <w:t>imitation qu</w:t>
      </w:r>
      <w:r w:rsidR="00961388">
        <w:rPr>
          <w:lang w:val="fr-CH"/>
        </w:rPr>
        <w:t>’</w:t>
      </w:r>
      <w:r w:rsidRPr="00961388">
        <w:rPr>
          <w:lang w:val="fr-CH"/>
        </w:rPr>
        <w:t>on peut expliquer par le manque de prise de conscience et par le manque d</w:t>
      </w:r>
      <w:r w:rsidR="00961388">
        <w:rPr>
          <w:lang w:val="fr-CH"/>
        </w:rPr>
        <w:t>’</w:t>
      </w:r>
      <w:r w:rsidRPr="00961388">
        <w:rPr>
          <w:lang w:val="fr-CH"/>
        </w:rPr>
        <w:t>esprit critique. En effet, cette tenue rappelle d</w:t>
      </w:r>
      <w:r w:rsidR="00961388">
        <w:rPr>
          <w:lang w:val="fr-CH"/>
        </w:rPr>
        <w:t>’</w:t>
      </w:r>
      <w:r w:rsidRPr="00961388">
        <w:rPr>
          <w:lang w:val="fr-CH"/>
        </w:rPr>
        <w:t>autres traditions qui sont étrangères à la Tunisie. Dans notre passé, On ne trouve aucune trace de cette tradition.</w:t>
      </w:r>
      <w:r w:rsidR="00910D7D">
        <w:rPr>
          <w:lang w:val="fr-CH"/>
        </w:rPr>
        <w:t xml:space="preserve"> </w:t>
      </w:r>
      <w:r w:rsidRPr="00961388">
        <w:rPr>
          <w:lang w:val="fr-CH"/>
        </w:rPr>
        <w:t>Les femmes, nos ancêtres, même celles dans les zones rurales, ne portaient pas cet habit.</w:t>
      </w:r>
    </w:p>
    <w:p w:rsidR="00570B62" w:rsidRPr="00961388" w:rsidRDefault="00570B62" w:rsidP="00910D7D">
      <w:pPr>
        <w:pStyle w:val="SingleTxtG"/>
        <w:rPr>
          <w:lang w:val="fr-CH"/>
        </w:rPr>
      </w:pPr>
      <w:r w:rsidRPr="00961388">
        <w:rPr>
          <w:lang w:val="fr-CH"/>
        </w:rPr>
        <w:t>134.</w:t>
      </w:r>
      <w:r w:rsidRPr="00961388">
        <w:rPr>
          <w:lang w:val="fr-CH"/>
        </w:rPr>
        <w:tab/>
        <w:t>L</w:t>
      </w:r>
      <w:r w:rsidR="00961388">
        <w:rPr>
          <w:lang w:val="fr-CH"/>
        </w:rPr>
        <w:t>’</w:t>
      </w:r>
      <w:r w:rsidRPr="00961388">
        <w:rPr>
          <w:lang w:val="fr-CH"/>
        </w:rPr>
        <w:t>identité est un bien national, dont la sauvegarde constitue une responsabilité commune. Ce n</w:t>
      </w:r>
      <w:r w:rsidR="00961388">
        <w:rPr>
          <w:lang w:val="fr-CH"/>
        </w:rPr>
        <w:t>’</w:t>
      </w:r>
      <w:r w:rsidRPr="00961388">
        <w:rPr>
          <w:lang w:val="fr-CH"/>
        </w:rPr>
        <w:t>est point une question de liberté individuelle, comme le prétendent certains. Le port de l</w:t>
      </w:r>
      <w:r w:rsidR="00961388">
        <w:rPr>
          <w:lang w:val="fr-CH"/>
        </w:rPr>
        <w:t>’</w:t>
      </w:r>
      <w:r w:rsidRPr="00961388">
        <w:rPr>
          <w:lang w:val="fr-CH"/>
        </w:rPr>
        <w:t>uniforme est plutôt une tendance sectaire et nuisible à l</w:t>
      </w:r>
      <w:r w:rsidR="00961388">
        <w:rPr>
          <w:lang w:val="fr-CH"/>
        </w:rPr>
        <w:t>’</w:t>
      </w:r>
      <w:r w:rsidRPr="00961388">
        <w:rPr>
          <w:lang w:val="fr-CH"/>
        </w:rPr>
        <w:t>unité nationale.</w:t>
      </w:r>
    </w:p>
    <w:p w:rsidR="00570B62" w:rsidRPr="00961388" w:rsidRDefault="008E2B6F" w:rsidP="00910D7D">
      <w:pPr>
        <w:pStyle w:val="SingleTxtG"/>
        <w:rPr>
          <w:lang w:val="fr-CH"/>
        </w:rPr>
      </w:pPr>
      <w:r>
        <w:rPr>
          <w:lang w:val="fr-CH"/>
        </w:rPr>
        <w:t>135.</w:t>
      </w:r>
      <w:r>
        <w:rPr>
          <w:lang w:val="fr-CH"/>
        </w:rPr>
        <w:tab/>
      </w:r>
      <w:r w:rsidR="00570B62" w:rsidRPr="00961388">
        <w:rPr>
          <w:lang w:val="fr-CH"/>
        </w:rPr>
        <w:t>La Tunisie s</w:t>
      </w:r>
      <w:r w:rsidR="00961388">
        <w:rPr>
          <w:lang w:val="fr-CH"/>
        </w:rPr>
        <w:t>’</w:t>
      </w:r>
      <w:r w:rsidR="00570B62" w:rsidRPr="00961388">
        <w:rPr>
          <w:lang w:val="fr-CH"/>
        </w:rPr>
        <w:t>est attachée à la promotion des valeurs, de la liberté, de la tolérance et de la solidarité qui sont, à la fois, des valeurs authentiques et modernes. </w:t>
      </w:r>
    </w:p>
    <w:p w:rsidR="00570B62" w:rsidRPr="00961388" w:rsidRDefault="00570B62" w:rsidP="00D752AE">
      <w:pPr>
        <w:pStyle w:val="SingleTxtG"/>
        <w:rPr>
          <w:lang w:val="fr-CH"/>
        </w:rPr>
      </w:pPr>
      <w:r w:rsidRPr="00961388">
        <w:rPr>
          <w:lang w:val="fr-CH"/>
        </w:rPr>
        <w:t>136.</w:t>
      </w:r>
      <w:r w:rsidRPr="00961388">
        <w:rPr>
          <w:lang w:val="fr-CH"/>
        </w:rPr>
        <w:tab/>
        <w:t>Les réformateurs tunisiens, dont Tahar Haddad, ont tous développé une analyse à partir de la réalité en Tunisie. Dès la deuxième moitié du XIXe siècle, ils ont bien compris le sens exact de l</w:t>
      </w:r>
      <w:r w:rsidR="00961388">
        <w:rPr>
          <w:lang w:val="fr-CH"/>
        </w:rPr>
        <w:t>’</w:t>
      </w:r>
      <w:r w:rsidRPr="00961388">
        <w:rPr>
          <w:lang w:val="fr-CH"/>
        </w:rPr>
        <w:t>authenticité. Ce n</w:t>
      </w:r>
      <w:r w:rsidR="00961388">
        <w:rPr>
          <w:lang w:val="fr-CH"/>
        </w:rPr>
        <w:t>’</w:t>
      </w:r>
      <w:r w:rsidRPr="00961388">
        <w:rPr>
          <w:lang w:val="fr-CH"/>
        </w:rPr>
        <w:t>est ni un produit fini ni une donne définitive. Ce n</w:t>
      </w:r>
      <w:r w:rsidR="00961388">
        <w:rPr>
          <w:lang w:val="fr-CH"/>
        </w:rPr>
        <w:t>’</w:t>
      </w:r>
      <w:r w:rsidRPr="00961388">
        <w:rPr>
          <w:lang w:val="fr-CH"/>
        </w:rPr>
        <w:t>est pas, non plus, uniquement le passé mais c</w:t>
      </w:r>
      <w:r w:rsidR="00961388">
        <w:rPr>
          <w:lang w:val="fr-CH"/>
        </w:rPr>
        <w:t>’</w:t>
      </w:r>
      <w:r w:rsidRPr="00961388">
        <w:rPr>
          <w:lang w:val="fr-CH"/>
        </w:rPr>
        <w:t>est surtout le présent et le futur…</w:t>
      </w:r>
      <w:r w:rsidR="00961388">
        <w:rPr>
          <w:lang w:val="fr-CH"/>
        </w:rPr>
        <w:t>»</w:t>
      </w:r>
      <w:r w:rsidRPr="00961388">
        <w:rPr>
          <w:lang w:val="fr-CH"/>
        </w:rPr>
        <w:t>.</w:t>
      </w:r>
    </w:p>
    <w:p w:rsidR="00570B62" w:rsidRPr="00961388" w:rsidRDefault="00570B62" w:rsidP="00D752AE">
      <w:pPr>
        <w:pStyle w:val="SingleTxtG"/>
        <w:rPr>
          <w:lang w:val="fr-CH"/>
        </w:rPr>
      </w:pPr>
      <w:r w:rsidRPr="00961388">
        <w:rPr>
          <w:lang w:val="fr-CH"/>
        </w:rPr>
        <w:t>137.</w:t>
      </w:r>
      <w:r w:rsidRPr="00961388">
        <w:rPr>
          <w:lang w:val="fr-CH"/>
        </w:rPr>
        <w:tab/>
      </w:r>
      <w:r w:rsidR="00961388">
        <w:rPr>
          <w:lang w:val="fr-CH"/>
        </w:rPr>
        <w:t>«</w:t>
      </w:r>
      <w:r w:rsidRPr="00961388">
        <w:rPr>
          <w:lang w:val="fr-CH"/>
        </w:rPr>
        <w:t>La représentation idéale de l</w:t>
      </w:r>
      <w:r w:rsidR="00961388">
        <w:rPr>
          <w:lang w:val="fr-CH"/>
        </w:rPr>
        <w:t>’</w:t>
      </w:r>
      <w:r w:rsidRPr="00961388">
        <w:rPr>
          <w:lang w:val="fr-CH"/>
        </w:rPr>
        <w:t>authenticité devant être consciente et critique. On ne peut accepter toutes les traditions, non plus toutes les lectures des textes. Et les réformateurs ont bien saisi cette manière de voir les choses en aboutissant à quatre principes essentiels</w:t>
      </w:r>
      <w:r w:rsidR="00961388">
        <w:rPr>
          <w:lang w:val="fr-CH"/>
        </w:rPr>
        <w:t>»</w:t>
      </w:r>
      <w:r w:rsidRPr="00961388">
        <w:rPr>
          <w:lang w:val="fr-CH"/>
        </w:rPr>
        <w:t>.</w:t>
      </w:r>
    </w:p>
    <w:p w:rsidR="00570B62" w:rsidRPr="00961388" w:rsidRDefault="00570B62" w:rsidP="00D752AE">
      <w:pPr>
        <w:pStyle w:val="SingleTxtG"/>
        <w:rPr>
          <w:lang w:val="fr-CH"/>
        </w:rPr>
      </w:pPr>
      <w:r w:rsidRPr="00961388">
        <w:rPr>
          <w:lang w:val="fr-CH"/>
        </w:rPr>
        <w:t>138.</w:t>
      </w:r>
      <w:r w:rsidRPr="00961388">
        <w:rPr>
          <w:lang w:val="fr-CH"/>
        </w:rPr>
        <w:tab/>
      </w:r>
      <w:r w:rsidR="00961388">
        <w:rPr>
          <w:lang w:val="fr-CH"/>
        </w:rPr>
        <w:t>«</w:t>
      </w:r>
      <w:r w:rsidRPr="00961388">
        <w:rPr>
          <w:lang w:val="fr-CH"/>
        </w:rPr>
        <w:t>L</w:t>
      </w:r>
      <w:r w:rsidR="00961388">
        <w:rPr>
          <w:lang w:val="fr-CH"/>
        </w:rPr>
        <w:t>’</w:t>
      </w:r>
      <w:r w:rsidRPr="00961388">
        <w:rPr>
          <w:lang w:val="fr-CH"/>
        </w:rPr>
        <w:t>approche tunisienne a consisté à dépasser la littéralité des textes vers les objectifs. On ne peut pas se cantonner dans le passé qui est révolu, sans un dangereux retour à l</w:t>
      </w:r>
      <w:r w:rsidR="00961388">
        <w:rPr>
          <w:lang w:val="fr-CH"/>
        </w:rPr>
        <w:t>’</w:t>
      </w:r>
      <w:r w:rsidRPr="00961388">
        <w:rPr>
          <w:lang w:val="fr-CH"/>
        </w:rPr>
        <w:t>obscurantisme</w:t>
      </w:r>
      <w:r w:rsidR="00961388">
        <w:rPr>
          <w:lang w:val="fr-CH"/>
        </w:rPr>
        <w:t>»</w:t>
      </w:r>
      <w:r w:rsidRPr="00961388">
        <w:rPr>
          <w:lang w:val="fr-CH"/>
        </w:rPr>
        <w:t>.</w:t>
      </w:r>
    </w:p>
    <w:p w:rsidR="00570B62" w:rsidRPr="00961388" w:rsidRDefault="00D752AE" w:rsidP="00D752AE">
      <w:pPr>
        <w:pStyle w:val="H4G"/>
        <w:rPr>
          <w:lang w:val="fr-CH"/>
        </w:rPr>
      </w:pPr>
      <w:r>
        <w:rPr>
          <w:lang w:val="fr-CH"/>
        </w:rPr>
        <w:tab/>
        <w:t>2.</w:t>
      </w:r>
      <w:r>
        <w:rPr>
          <w:lang w:val="fr-CH"/>
        </w:rPr>
        <w:tab/>
      </w:r>
      <w:r w:rsidR="00570B62" w:rsidRPr="00961388">
        <w:rPr>
          <w:lang w:val="fr-CH"/>
        </w:rPr>
        <w:t>Position du Tribunal administratif sur le port du hijab</w:t>
      </w:r>
    </w:p>
    <w:p w:rsidR="00570B62" w:rsidRPr="00961388" w:rsidRDefault="00570B62" w:rsidP="00D752AE">
      <w:pPr>
        <w:pStyle w:val="SingleTxtG"/>
        <w:rPr>
          <w:lang w:val="fr-CH"/>
        </w:rPr>
      </w:pPr>
      <w:r w:rsidRPr="00961388">
        <w:rPr>
          <w:lang w:val="fr-CH"/>
        </w:rPr>
        <w:t>139.</w:t>
      </w:r>
      <w:r w:rsidRPr="00961388">
        <w:rPr>
          <w:lang w:val="fr-CH"/>
        </w:rPr>
        <w:tab/>
        <w:t>Dans le jugement rendu dans l</w:t>
      </w:r>
      <w:r w:rsidR="00961388">
        <w:rPr>
          <w:lang w:val="fr-CH"/>
        </w:rPr>
        <w:t>’</w:t>
      </w:r>
      <w:r w:rsidR="00D752AE">
        <w:rPr>
          <w:lang w:val="fr-CH"/>
        </w:rPr>
        <w:t xml:space="preserve">affaire </w:t>
      </w:r>
      <w:r w:rsidR="00D752AE" w:rsidRPr="00D752AE">
        <w:rPr>
          <w:rFonts w:eastAsia="MS Mincho"/>
          <w:lang w:val="fr-CH"/>
        </w:rPr>
        <w:t>n</w:t>
      </w:r>
      <w:r w:rsidR="00D752AE" w:rsidRPr="00D752AE">
        <w:rPr>
          <w:rFonts w:eastAsia="MS Mincho"/>
          <w:vertAlign w:val="superscript"/>
          <w:lang w:val="fr-CH"/>
        </w:rPr>
        <w:t>o</w:t>
      </w:r>
      <w:r w:rsidR="00D752AE">
        <w:rPr>
          <w:lang w:val="fr-CH"/>
        </w:rPr>
        <w:t xml:space="preserve"> </w:t>
      </w:r>
      <w:r w:rsidRPr="00961388">
        <w:rPr>
          <w:lang w:val="fr-CH"/>
        </w:rPr>
        <w:t>10629/1 le 24 janvier 2008, le Tribunal administratif, a reconnu</w:t>
      </w:r>
      <w:r w:rsidR="00D752AE">
        <w:rPr>
          <w:lang w:val="fr-CH"/>
        </w:rPr>
        <w:t xml:space="preserve"> la légalité de la circulaire </w:t>
      </w:r>
      <w:r w:rsidR="00D752AE" w:rsidRPr="00D752AE">
        <w:rPr>
          <w:rFonts w:eastAsia="MS Mincho"/>
          <w:lang w:val="fr-CH"/>
        </w:rPr>
        <w:t>n</w:t>
      </w:r>
      <w:r w:rsidR="00D752AE" w:rsidRPr="00D752AE">
        <w:rPr>
          <w:rFonts w:eastAsia="MS Mincho"/>
          <w:vertAlign w:val="superscript"/>
          <w:lang w:val="fr-CH"/>
        </w:rPr>
        <w:t>o</w:t>
      </w:r>
      <w:r w:rsidR="00D752AE">
        <w:rPr>
          <w:lang w:val="fr-CH"/>
        </w:rPr>
        <w:t xml:space="preserve"> </w:t>
      </w:r>
      <w:r w:rsidRPr="00961388">
        <w:rPr>
          <w:lang w:val="fr-CH"/>
        </w:rPr>
        <w:t>102 du 29 octobre 1986 par laquelle le ministre de l</w:t>
      </w:r>
      <w:r w:rsidR="00961388">
        <w:rPr>
          <w:lang w:val="fr-CH"/>
        </w:rPr>
        <w:t>’</w:t>
      </w:r>
      <w:r w:rsidRPr="00961388">
        <w:rPr>
          <w:lang w:val="fr-CH"/>
        </w:rPr>
        <w:t>Éducation nationale exhorte le cadre enseignant au sein des établissements publics scolaires à respecter dans leur tenue vestimentaire les convenances du pays, tout en leur interdisant le port de tenues vestimentaires d</w:t>
      </w:r>
      <w:r w:rsidR="00961388">
        <w:rPr>
          <w:lang w:val="fr-CH"/>
        </w:rPr>
        <w:t>’</w:t>
      </w:r>
      <w:r w:rsidRPr="00961388">
        <w:rPr>
          <w:lang w:val="fr-CH"/>
        </w:rPr>
        <w:t>inspiration sectaire de quelque nature qu</w:t>
      </w:r>
      <w:r w:rsidR="00961388">
        <w:rPr>
          <w:lang w:val="fr-CH"/>
        </w:rPr>
        <w:t>’</w:t>
      </w:r>
      <w:r w:rsidRPr="00961388">
        <w:rPr>
          <w:lang w:val="fr-CH"/>
        </w:rPr>
        <w:t>elle soit, le voile islamique pour les femmes entre autres.</w:t>
      </w:r>
    </w:p>
    <w:p w:rsidR="00570B62" w:rsidRPr="00961388" w:rsidRDefault="00570B62" w:rsidP="00D752AE">
      <w:pPr>
        <w:pStyle w:val="SingleTxtG"/>
        <w:rPr>
          <w:lang w:val="fr-CH"/>
        </w:rPr>
      </w:pPr>
      <w:r w:rsidRPr="00961388">
        <w:rPr>
          <w:lang w:val="fr-CH"/>
        </w:rPr>
        <w:t>140.</w:t>
      </w:r>
      <w:r w:rsidRPr="00961388">
        <w:rPr>
          <w:lang w:val="fr-CH"/>
        </w:rPr>
        <w:tab/>
        <w:t>Le Tribunal administratif a considéré que les agents publics disposent certes de la liberté de choisir la tenue qui leur convient. Toutefois, cette liberté doit s</w:t>
      </w:r>
      <w:r w:rsidR="00961388">
        <w:rPr>
          <w:lang w:val="fr-CH"/>
        </w:rPr>
        <w:t>’</w:t>
      </w:r>
      <w:r w:rsidRPr="00961388">
        <w:rPr>
          <w:lang w:val="fr-CH"/>
        </w:rPr>
        <w:t>exercer dans la limite des impératifs requis par l</w:t>
      </w:r>
      <w:r w:rsidR="00961388">
        <w:rPr>
          <w:lang w:val="fr-CH"/>
        </w:rPr>
        <w:t>’</w:t>
      </w:r>
      <w:r w:rsidRPr="00961388">
        <w:rPr>
          <w:lang w:val="fr-CH"/>
        </w:rPr>
        <w:t>obligation de réserve et par les spécificités de leurs emplois.</w:t>
      </w:r>
    </w:p>
    <w:p w:rsidR="00570B62" w:rsidRPr="00961388" w:rsidRDefault="00570B62" w:rsidP="00D752AE">
      <w:pPr>
        <w:pStyle w:val="SingleTxtG"/>
        <w:rPr>
          <w:lang w:val="fr-CH"/>
        </w:rPr>
      </w:pPr>
      <w:r w:rsidRPr="00961388">
        <w:rPr>
          <w:lang w:val="fr-CH"/>
        </w:rPr>
        <w:t>141.</w:t>
      </w:r>
      <w:r w:rsidRPr="00961388">
        <w:rPr>
          <w:lang w:val="fr-CH"/>
        </w:rPr>
        <w:tab/>
        <w:t>Cette position reflète un équilibre délicat entre la liberté de l</w:t>
      </w:r>
      <w:r w:rsidR="00961388">
        <w:rPr>
          <w:lang w:val="fr-CH"/>
        </w:rPr>
        <w:t>’</w:t>
      </w:r>
      <w:r w:rsidRPr="00961388">
        <w:rPr>
          <w:lang w:val="fr-CH"/>
        </w:rPr>
        <w:t>enseignant de choisir sa tenue vestimentaire qui fait partie des libertés individuelles inaliénables et l</w:t>
      </w:r>
      <w:r w:rsidR="00961388">
        <w:rPr>
          <w:lang w:val="fr-CH"/>
        </w:rPr>
        <w:t>’</w:t>
      </w:r>
      <w:r w:rsidRPr="00961388">
        <w:rPr>
          <w:lang w:val="fr-CH"/>
        </w:rPr>
        <w:t>obligation de réserve qui pèse sur lui en tant qu</w:t>
      </w:r>
      <w:r w:rsidR="00961388">
        <w:rPr>
          <w:lang w:val="fr-CH"/>
        </w:rPr>
        <w:t>’</w:t>
      </w:r>
      <w:r w:rsidRPr="00961388">
        <w:rPr>
          <w:lang w:val="fr-CH"/>
        </w:rPr>
        <w:t>agent public. Cette obligation s</w:t>
      </w:r>
      <w:r w:rsidR="00961388">
        <w:rPr>
          <w:lang w:val="fr-CH"/>
        </w:rPr>
        <w:t>’</w:t>
      </w:r>
      <w:r w:rsidRPr="00961388">
        <w:rPr>
          <w:lang w:val="fr-CH"/>
        </w:rPr>
        <w:t>accentue particulièrement dans le milieu scolaire avec un système éducatif qui a pour objectif de développer la personnalité des élèves, de les doter de la faculté du libre choix et leur inculquer les valeurs de tolérance et de modération.</w:t>
      </w:r>
    </w:p>
    <w:p w:rsidR="00570B62" w:rsidRPr="00961388" w:rsidRDefault="00570B62" w:rsidP="00D752AE">
      <w:pPr>
        <w:pStyle w:val="SingleTxtG"/>
        <w:rPr>
          <w:lang w:val="fr-CH"/>
        </w:rPr>
      </w:pPr>
      <w:r w:rsidRPr="00961388">
        <w:rPr>
          <w:lang w:val="fr-CH"/>
        </w:rPr>
        <w:t>142.</w:t>
      </w:r>
      <w:r w:rsidRPr="00961388">
        <w:rPr>
          <w:lang w:val="fr-CH"/>
        </w:rPr>
        <w:tab/>
        <w:t>Ainsi, compte tenu de la spécificité du rôle des institutions scolaires et du rôle important qui revient aux éducateurs et l</w:t>
      </w:r>
      <w:r w:rsidR="00961388">
        <w:rPr>
          <w:lang w:val="fr-CH"/>
        </w:rPr>
        <w:t>’</w:t>
      </w:r>
      <w:r w:rsidRPr="00961388">
        <w:rPr>
          <w:lang w:val="fr-CH"/>
        </w:rPr>
        <w:t>influence qu</w:t>
      </w:r>
      <w:r w:rsidR="00961388">
        <w:rPr>
          <w:lang w:val="fr-CH"/>
        </w:rPr>
        <w:t>’</w:t>
      </w:r>
      <w:r w:rsidRPr="00961388">
        <w:rPr>
          <w:lang w:val="fr-CH"/>
        </w:rPr>
        <w:t>ils exercent sur les enfants notamment ceux de bas âge le tribunal a fini par reconnaître à l</w:t>
      </w:r>
      <w:r w:rsidR="00961388">
        <w:rPr>
          <w:lang w:val="fr-CH"/>
        </w:rPr>
        <w:t>’</w:t>
      </w:r>
      <w:r w:rsidRPr="00961388">
        <w:rPr>
          <w:lang w:val="fr-CH"/>
        </w:rPr>
        <w:t>Administration un droit de regard sur la tenue vestimentaire du cadre enseignant afin de lutter contre tout ce qui pourrait véhiculer un risque d</w:t>
      </w:r>
      <w:r w:rsidR="00961388">
        <w:rPr>
          <w:lang w:val="fr-CH"/>
        </w:rPr>
        <w:t>’</w:t>
      </w:r>
      <w:r w:rsidRPr="00961388">
        <w:rPr>
          <w:lang w:val="fr-CH"/>
        </w:rPr>
        <w:t>enfermement encore moins celui de l</w:t>
      </w:r>
      <w:r w:rsidR="00961388">
        <w:rPr>
          <w:lang w:val="fr-CH"/>
        </w:rPr>
        <w:t>’</w:t>
      </w:r>
      <w:r w:rsidRPr="00961388">
        <w:rPr>
          <w:lang w:val="fr-CH"/>
        </w:rPr>
        <w:t>indécence ou l</w:t>
      </w:r>
      <w:r w:rsidR="00961388">
        <w:rPr>
          <w:lang w:val="fr-CH"/>
        </w:rPr>
        <w:t>’</w:t>
      </w:r>
      <w:r w:rsidRPr="00961388">
        <w:rPr>
          <w:lang w:val="fr-CH"/>
        </w:rPr>
        <w:t>inconvenance.</w:t>
      </w:r>
    </w:p>
    <w:p w:rsidR="00570B62" w:rsidRPr="00961388" w:rsidRDefault="00570B62" w:rsidP="00D752AE">
      <w:pPr>
        <w:pStyle w:val="SingleTxtG"/>
        <w:rPr>
          <w:lang w:val="fr-CH"/>
        </w:rPr>
      </w:pPr>
      <w:r w:rsidRPr="00961388">
        <w:rPr>
          <w:lang w:val="fr-CH"/>
        </w:rPr>
        <w:t>143.</w:t>
      </w:r>
      <w:r w:rsidRPr="00961388">
        <w:rPr>
          <w:lang w:val="fr-CH"/>
        </w:rPr>
        <w:tab/>
        <w:t>Cette solution s</w:t>
      </w:r>
      <w:r w:rsidR="00961388">
        <w:rPr>
          <w:lang w:val="fr-CH"/>
        </w:rPr>
        <w:t>’</w:t>
      </w:r>
      <w:r w:rsidRPr="00961388">
        <w:rPr>
          <w:lang w:val="fr-CH"/>
        </w:rPr>
        <w:t>insère dans la logique d</w:t>
      </w:r>
      <w:r w:rsidR="00961388">
        <w:rPr>
          <w:lang w:val="fr-CH"/>
        </w:rPr>
        <w:t>’</w:t>
      </w:r>
      <w:r w:rsidRPr="00961388">
        <w:rPr>
          <w:lang w:val="fr-CH"/>
        </w:rPr>
        <w:t xml:space="preserve">une jurisprudence constante qui admet sans équivoque le droit des femmes employées dans les administrations publiques, les institutrices entre autres, de porter le foulard traditionnel tunisien </w:t>
      </w:r>
      <w:r w:rsidR="00961388">
        <w:rPr>
          <w:lang w:val="fr-CH"/>
        </w:rPr>
        <w:t>«</w:t>
      </w:r>
      <w:r w:rsidRPr="00961388">
        <w:rPr>
          <w:i/>
          <w:iCs/>
          <w:lang w:val="fr-CH"/>
        </w:rPr>
        <w:t>Takrita</w:t>
      </w:r>
      <w:r w:rsidR="00961388">
        <w:rPr>
          <w:lang w:val="fr-CH"/>
        </w:rPr>
        <w:t>»</w:t>
      </w:r>
      <w:r w:rsidRPr="00961388">
        <w:rPr>
          <w:lang w:val="fr-CH"/>
        </w:rPr>
        <w:t xml:space="preserve"> dans la mesure où il permet de respecter le choix de celles d</w:t>
      </w:r>
      <w:r w:rsidR="00961388">
        <w:rPr>
          <w:lang w:val="fr-CH"/>
        </w:rPr>
        <w:t>’</w:t>
      </w:r>
      <w:r w:rsidRPr="00961388">
        <w:rPr>
          <w:lang w:val="fr-CH"/>
        </w:rPr>
        <w:t>entre elles de se couvrir la tête et les cheveux sans pour autant avoir aucune connotation susceptible de nuire au bon fonctionnement du service public.</w:t>
      </w:r>
    </w:p>
    <w:p w:rsidR="00570B62" w:rsidRPr="00961388" w:rsidRDefault="00570B62" w:rsidP="00D752AE">
      <w:pPr>
        <w:pStyle w:val="H1G"/>
        <w:rPr>
          <w:lang w:val="fr-CH"/>
        </w:rPr>
      </w:pPr>
      <w:r w:rsidRPr="00961388">
        <w:rPr>
          <w:lang w:val="fr-CH"/>
        </w:rPr>
        <w:tab/>
      </w:r>
      <w:r w:rsidRPr="00961388">
        <w:rPr>
          <w:lang w:val="fr-CH"/>
        </w:rPr>
        <w:tab/>
        <w:t>Traite et exploitation à des fins de prostitution</w:t>
      </w:r>
    </w:p>
    <w:p w:rsidR="00570B62" w:rsidRPr="00961388" w:rsidRDefault="00D752AE" w:rsidP="00D752AE">
      <w:pPr>
        <w:pStyle w:val="H23G"/>
        <w:rPr>
          <w:lang w:val="fr-CH"/>
        </w:rPr>
      </w:pPr>
      <w:r>
        <w:rPr>
          <w:lang w:val="fr-CH"/>
        </w:rPr>
        <w:tab/>
      </w:r>
      <w:r>
        <w:rPr>
          <w:lang w:val="fr-CH"/>
        </w:rPr>
        <w:tab/>
      </w:r>
      <w:r w:rsidR="00570B62" w:rsidRPr="00961388">
        <w:rPr>
          <w:lang w:val="fr-CH"/>
        </w:rPr>
        <w:t xml:space="preserve">Réponse au paragraphe 17 </w:t>
      </w:r>
      <w:r w:rsidR="00910D7D">
        <w:rPr>
          <w:lang w:val="fr-CH"/>
        </w:rPr>
        <w:t>de la liste de points à traiter</w:t>
      </w:r>
    </w:p>
    <w:p w:rsidR="00570B62" w:rsidRPr="00961388" w:rsidRDefault="00D752AE" w:rsidP="00D752AE">
      <w:pPr>
        <w:pStyle w:val="H4G"/>
        <w:rPr>
          <w:lang w:val="fr-CH"/>
        </w:rPr>
      </w:pPr>
      <w:r>
        <w:rPr>
          <w:lang w:val="fr-CH"/>
        </w:rPr>
        <w:tab/>
        <w:t>1.</w:t>
      </w:r>
      <w:r>
        <w:rPr>
          <w:lang w:val="fr-CH"/>
        </w:rPr>
        <w:tab/>
        <w:t>I</w:t>
      </w:r>
      <w:r w:rsidR="00570B62" w:rsidRPr="00961388">
        <w:rPr>
          <w:lang w:val="fr-CH"/>
        </w:rPr>
        <w:t>nformations sur la prévalence de la traite des femmes et des filles à des fins d</w:t>
      </w:r>
      <w:r w:rsidR="00961388">
        <w:rPr>
          <w:lang w:val="fr-CH"/>
        </w:rPr>
        <w:t>’</w:t>
      </w:r>
      <w:r w:rsidR="00570B62" w:rsidRPr="00961388">
        <w:rPr>
          <w:lang w:val="fr-CH"/>
        </w:rPr>
        <w:t>exploitation économique et sexuelle</w:t>
      </w:r>
    </w:p>
    <w:p w:rsidR="00570B62" w:rsidRPr="00961388" w:rsidRDefault="00570B62" w:rsidP="00D752AE">
      <w:pPr>
        <w:pStyle w:val="SingleTxtG"/>
        <w:rPr>
          <w:lang w:val="fr-CH"/>
        </w:rPr>
      </w:pPr>
      <w:r w:rsidRPr="00961388">
        <w:rPr>
          <w:lang w:val="fr-CH"/>
        </w:rPr>
        <w:t>144.</w:t>
      </w:r>
      <w:r w:rsidRPr="00961388">
        <w:rPr>
          <w:lang w:val="fr-CH"/>
        </w:rPr>
        <w:tab/>
        <w:t>En matière de traite des personnes, telle que définie par la Convention contre la criminalité transnationale organisée, le Protocole contre le trafic illicite des migrants par terre, air et mer ainsi que le Protocole visant à prévenir, réprimer et punir la traite des personnes en particulier des femmes et des enfants, l</w:t>
      </w:r>
      <w:r w:rsidR="00961388">
        <w:rPr>
          <w:lang w:val="fr-CH"/>
        </w:rPr>
        <w:t>’</w:t>
      </w:r>
      <w:r w:rsidRPr="00961388">
        <w:rPr>
          <w:lang w:val="fr-CH"/>
        </w:rPr>
        <w:t>on ne peut considérer que la Tunisie soit un pays d</w:t>
      </w:r>
      <w:r w:rsidR="00961388">
        <w:rPr>
          <w:lang w:val="fr-CH"/>
        </w:rPr>
        <w:t>’</w:t>
      </w:r>
      <w:r w:rsidRPr="00961388">
        <w:rPr>
          <w:lang w:val="fr-CH"/>
        </w:rPr>
        <w:t xml:space="preserve">origine ou de transit ou encore de destination. </w:t>
      </w:r>
    </w:p>
    <w:p w:rsidR="00570B62" w:rsidRPr="00961388" w:rsidRDefault="00570B62" w:rsidP="00D752AE">
      <w:pPr>
        <w:pStyle w:val="SingleTxtG"/>
        <w:rPr>
          <w:lang w:val="fr-CH"/>
        </w:rPr>
      </w:pPr>
      <w:r w:rsidRPr="00961388">
        <w:rPr>
          <w:lang w:val="fr-CH"/>
        </w:rPr>
        <w:t>145.</w:t>
      </w:r>
      <w:r w:rsidRPr="00961388">
        <w:rPr>
          <w:lang w:val="fr-CH"/>
        </w:rPr>
        <w:tab/>
        <w:t>Pour ce qui est des autres formes de traite des personnes, l</w:t>
      </w:r>
      <w:r w:rsidR="00961388">
        <w:rPr>
          <w:lang w:val="fr-CH"/>
        </w:rPr>
        <w:t>’</w:t>
      </w:r>
      <w:r w:rsidRPr="00961388">
        <w:rPr>
          <w:lang w:val="fr-CH"/>
        </w:rPr>
        <w:t>on ne peut situer la Tunisie dans l</w:t>
      </w:r>
      <w:r w:rsidR="00961388">
        <w:rPr>
          <w:lang w:val="fr-CH"/>
        </w:rPr>
        <w:t>’</w:t>
      </w:r>
      <w:r w:rsidRPr="00961388">
        <w:rPr>
          <w:lang w:val="fr-CH"/>
        </w:rPr>
        <w:t>une ou l</w:t>
      </w:r>
      <w:r w:rsidR="00961388">
        <w:rPr>
          <w:lang w:val="fr-CH"/>
        </w:rPr>
        <w:t>’</w:t>
      </w:r>
      <w:r w:rsidRPr="00961388">
        <w:rPr>
          <w:lang w:val="fr-CH"/>
        </w:rPr>
        <w:t>autre des rubriques suivantes (pays d</w:t>
      </w:r>
      <w:r w:rsidR="00961388">
        <w:rPr>
          <w:lang w:val="fr-CH"/>
        </w:rPr>
        <w:t>’</w:t>
      </w:r>
      <w:r w:rsidRPr="00961388">
        <w:rPr>
          <w:lang w:val="fr-CH"/>
        </w:rPr>
        <w:t>origine, de transit ou de destination) puisque les infractions enregistrées dans ce domaine n</w:t>
      </w:r>
      <w:r w:rsidR="00961388">
        <w:rPr>
          <w:lang w:val="fr-CH"/>
        </w:rPr>
        <w:t>’</w:t>
      </w:r>
      <w:r w:rsidRPr="00961388">
        <w:rPr>
          <w:lang w:val="fr-CH"/>
        </w:rPr>
        <w:t>ont jamais pris d</w:t>
      </w:r>
      <w:r w:rsidR="00961388">
        <w:rPr>
          <w:lang w:val="fr-CH"/>
        </w:rPr>
        <w:t>’</w:t>
      </w:r>
      <w:r w:rsidRPr="00961388">
        <w:rPr>
          <w:lang w:val="fr-CH"/>
        </w:rPr>
        <w:t>ampleur extraterritoriale et se limitent donc à des comportements individuels de criminels opérant sur le seul territoire tunisien et généralement, dans leurs propres circonscriptions.</w:t>
      </w:r>
    </w:p>
    <w:p w:rsidR="00570B62" w:rsidRPr="00961388" w:rsidRDefault="00570B62" w:rsidP="00D752AE">
      <w:pPr>
        <w:pStyle w:val="SingleTxtG"/>
        <w:rPr>
          <w:lang w:val="fr-CH"/>
        </w:rPr>
      </w:pPr>
      <w:r w:rsidRPr="00961388">
        <w:rPr>
          <w:lang w:val="fr-CH"/>
        </w:rPr>
        <w:t>146.</w:t>
      </w:r>
      <w:r w:rsidRPr="00961388">
        <w:rPr>
          <w:lang w:val="fr-CH"/>
        </w:rPr>
        <w:tab/>
        <w:t>Néanmoins, la Tunisie connaît, de par sa situation géographique, le problème de la migration illégale ou clandestine par voie maritime à destination de l</w:t>
      </w:r>
      <w:r w:rsidR="00961388">
        <w:rPr>
          <w:lang w:val="fr-CH"/>
        </w:rPr>
        <w:t>’</w:t>
      </w:r>
      <w:r w:rsidRPr="00961388">
        <w:rPr>
          <w:lang w:val="fr-CH"/>
        </w:rPr>
        <w:t>Europe. Ce phénomène touche aussi bien des ressortissants tunisiens que ceux d</w:t>
      </w:r>
      <w:r w:rsidR="00961388">
        <w:rPr>
          <w:lang w:val="fr-CH"/>
        </w:rPr>
        <w:t>’</w:t>
      </w:r>
      <w:r w:rsidRPr="00961388">
        <w:rPr>
          <w:lang w:val="fr-CH"/>
        </w:rPr>
        <w:t>autres pays africains. La Tunisie peut, dans ce cadre précis, être considérée comme pays d</w:t>
      </w:r>
      <w:r w:rsidR="00961388">
        <w:rPr>
          <w:lang w:val="fr-CH"/>
        </w:rPr>
        <w:t>’</w:t>
      </w:r>
      <w:r w:rsidRPr="00961388">
        <w:rPr>
          <w:lang w:val="fr-CH"/>
        </w:rPr>
        <w:t>origine et de transit.</w:t>
      </w:r>
    </w:p>
    <w:p w:rsidR="00570B62" w:rsidRPr="00961388" w:rsidRDefault="00570B62" w:rsidP="00D752AE">
      <w:pPr>
        <w:pStyle w:val="SingleTxtG"/>
        <w:rPr>
          <w:lang w:val="fr-CH"/>
        </w:rPr>
      </w:pPr>
      <w:r w:rsidRPr="00961388">
        <w:rPr>
          <w:lang w:val="fr-CH"/>
        </w:rPr>
        <w:t>147.</w:t>
      </w:r>
      <w:r w:rsidRPr="00961388">
        <w:rPr>
          <w:lang w:val="fr-CH"/>
        </w:rPr>
        <w:tab/>
        <w:t xml:space="preserve">Il est à préciser à cet égard que la migration clandestine, correspond à une réalité fondamentalement différente du trafic des personnes. </w:t>
      </w:r>
    </w:p>
    <w:p w:rsidR="00570B62" w:rsidRPr="00961388" w:rsidRDefault="00570B62" w:rsidP="00D752AE">
      <w:pPr>
        <w:pStyle w:val="SingleTxtG"/>
        <w:rPr>
          <w:lang w:val="fr-CH"/>
        </w:rPr>
      </w:pPr>
      <w:r w:rsidRPr="00961388">
        <w:rPr>
          <w:lang w:val="fr-CH"/>
        </w:rPr>
        <w:t>148.</w:t>
      </w:r>
      <w:r w:rsidRPr="00961388">
        <w:rPr>
          <w:lang w:val="fr-CH"/>
        </w:rPr>
        <w:tab/>
        <w:t>En effet, alors que le passage de migrants clandestins consiste à faciliter l</w:t>
      </w:r>
      <w:r w:rsidR="00961388">
        <w:rPr>
          <w:lang w:val="fr-CH"/>
        </w:rPr>
        <w:t>’</w:t>
      </w:r>
      <w:r w:rsidRPr="00961388">
        <w:rPr>
          <w:lang w:val="fr-CH"/>
        </w:rPr>
        <w:t>entrée illégale d</w:t>
      </w:r>
      <w:r w:rsidR="00961388">
        <w:rPr>
          <w:lang w:val="fr-CH"/>
        </w:rPr>
        <w:t>’</w:t>
      </w:r>
      <w:r w:rsidRPr="00961388">
        <w:rPr>
          <w:lang w:val="fr-CH"/>
        </w:rPr>
        <w:t>une personne, qui pour des raisons économiques (recherche d</w:t>
      </w:r>
      <w:r w:rsidR="00961388">
        <w:rPr>
          <w:lang w:val="fr-CH"/>
        </w:rPr>
        <w:t>’</w:t>
      </w:r>
      <w:r w:rsidRPr="00961388">
        <w:rPr>
          <w:lang w:val="fr-CH"/>
        </w:rPr>
        <w:t>emploi ou d</w:t>
      </w:r>
      <w:r w:rsidR="00961388">
        <w:rPr>
          <w:lang w:val="fr-CH"/>
        </w:rPr>
        <w:t>’</w:t>
      </w:r>
      <w:r w:rsidRPr="00961388">
        <w:rPr>
          <w:lang w:val="fr-CH"/>
        </w:rPr>
        <w:t>une vie de qualité meilleure), essaie de passer, de son propre chef et illégalement dans un État, le trafic des personnes comporte, quant à lui, un élément d</w:t>
      </w:r>
      <w:r w:rsidR="00961388">
        <w:rPr>
          <w:lang w:val="fr-CH"/>
        </w:rPr>
        <w:t>’</w:t>
      </w:r>
      <w:r w:rsidRPr="00961388">
        <w:rPr>
          <w:lang w:val="fr-CH"/>
        </w:rPr>
        <w:t>exploitation d</w:t>
      </w:r>
      <w:r w:rsidR="00961388">
        <w:rPr>
          <w:lang w:val="fr-CH"/>
        </w:rPr>
        <w:t>’</w:t>
      </w:r>
      <w:r w:rsidRPr="00961388">
        <w:rPr>
          <w:lang w:val="fr-CH"/>
        </w:rPr>
        <w:t>une personne par une ou plusieurs autres personnes (travail forcé, prostitution ou autres formes d</w:t>
      </w:r>
      <w:r w:rsidR="00961388">
        <w:rPr>
          <w:lang w:val="fr-CH"/>
        </w:rPr>
        <w:t>’</w:t>
      </w:r>
      <w:r w:rsidRPr="00961388">
        <w:rPr>
          <w:lang w:val="fr-CH"/>
        </w:rPr>
        <w:t>asservissement) et un élément de menace ou d</w:t>
      </w:r>
      <w:r w:rsidR="00961388">
        <w:rPr>
          <w:lang w:val="fr-CH"/>
        </w:rPr>
        <w:t>’</w:t>
      </w:r>
      <w:r w:rsidRPr="00961388">
        <w:rPr>
          <w:lang w:val="fr-CH"/>
        </w:rPr>
        <w:t>emploi de la force, de contrainte et de fraude.</w:t>
      </w:r>
    </w:p>
    <w:p w:rsidR="00570B62" w:rsidRPr="00961388" w:rsidRDefault="00570B62" w:rsidP="00D752AE">
      <w:pPr>
        <w:pStyle w:val="SingleTxtG"/>
        <w:rPr>
          <w:b/>
          <w:bCs/>
          <w:lang w:val="fr-CH"/>
        </w:rPr>
      </w:pPr>
      <w:r w:rsidRPr="00961388">
        <w:rPr>
          <w:lang w:val="fr-CH"/>
        </w:rPr>
        <w:t>149.</w:t>
      </w:r>
      <w:r w:rsidRPr="00961388">
        <w:rPr>
          <w:lang w:val="fr-CH"/>
        </w:rPr>
        <w:tab/>
        <w:t>Ainsi, la migration clandestine en Tunisie n</w:t>
      </w:r>
      <w:r w:rsidR="00961388">
        <w:rPr>
          <w:lang w:val="fr-CH"/>
        </w:rPr>
        <w:t>’</w:t>
      </w:r>
      <w:r w:rsidRPr="00961388">
        <w:rPr>
          <w:lang w:val="fr-CH"/>
        </w:rPr>
        <w:t>est pas le fait d</w:t>
      </w:r>
      <w:r w:rsidR="00961388">
        <w:rPr>
          <w:lang w:val="fr-CH"/>
        </w:rPr>
        <w:t>’</w:t>
      </w:r>
      <w:r w:rsidRPr="00961388">
        <w:rPr>
          <w:lang w:val="fr-CH"/>
        </w:rPr>
        <w:t>organisations criminelles, mafieuses ou de réseaux structurés, mais concerne principalement des cas individuels, de leurs propres initiatives individuelles. En effet, les migrants illégaux payent eux même les frais de leur passage, sans qu</w:t>
      </w:r>
      <w:r w:rsidR="00961388">
        <w:rPr>
          <w:lang w:val="fr-CH"/>
        </w:rPr>
        <w:t>’</w:t>
      </w:r>
      <w:r w:rsidRPr="00961388">
        <w:rPr>
          <w:lang w:val="fr-CH"/>
        </w:rPr>
        <w:t>il y ait une prise en charge de la part d</w:t>
      </w:r>
      <w:r w:rsidR="00961388">
        <w:rPr>
          <w:lang w:val="fr-CH"/>
        </w:rPr>
        <w:t>’</w:t>
      </w:r>
      <w:r w:rsidRPr="00961388">
        <w:rPr>
          <w:lang w:val="fr-CH"/>
        </w:rPr>
        <w:t>une tierce personne, avec pour dessein leur exploitation dans le pays de destination. Les embarcations qui servent de moyen de transport sont, d</w:t>
      </w:r>
      <w:r w:rsidR="00961388">
        <w:rPr>
          <w:lang w:val="fr-CH"/>
        </w:rPr>
        <w:t>’</w:t>
      </w:r>
      <w:r w:rsidRPr="00961388">
        <w:rPr>
          <w:lang w:val="fr-CH"/>
        </w:rPr>
        <w:t xml:space="preserve">ailleurs, généralement non aménagées pour le transport des personnes et volées à des pêcheurs. </w:t>
      </w:r>
    </w:p>
    <w:p w:rsidR="00570B62" w:rsidRPr="00961388" w:rsidRDefault="00D752AE" w:rsidP="00D752AE">
      <w:pPr>
        <w:pStyle w:val="H4G"/>
        <w:rPr>
          <w:lang w:val="fr-CH"/>
        </w:rPr>
      </w:pPr>
      <w:r>
        <w:rPr>
          <w:lang w:val="fr-CH"/>
        </w:rPr>
        <w:tab/>
        <w:t>2.</w:t>
      </w:r>
      <w:r>
        <w:rPr>
          <w:lang w:val="fr-CH"/>
        </w:rPr>
        <w:tab/>
      </w:r>
      <w:r w:rsidR="00570B62" w:rsidRPr="00961388">
        <w:rPr>
          <w:lang w:val="fr-CH"/>
        </w:rPr>
        <w:t>Les mesures prises au niveau national pour prévenir et réprimer la traite des femmes et des filles</w:t>
      </w:r>
    </w:p>
    <w:p w:rsidR="00570B62" w:rsidRPr="00961388" w:rsidRDefault="00570B62" w:rsidP="00E03002">
      <w:pPr>
        <w:pStyle w:val="SingleTxtG"/>
        <w:keepNext/>
        <w:keepLines/>
        <w:rPr>
          <w:lang w:val="fr-CH"/>
        </w:rPr>
      </w:pPr>
      <w:r w:rsidRPr="00961388">
        <w:rPr>
          <w:lang w:val="fr-CH"/>
        </w:rPr>
        <w:t>150.</w:t>
      </w:r>
      <w:r w:rsidRPr="00961388">
        <w:rPr>
          <w:lang w:val="fr-CH"/>
        </w:rPr>
        <w:tab/>
        <w:t>La constitution de la République Tunisienne souligne dans son préambule l</w:t>
      </w:r>
      <w:r w:rsidR="00961388">
        <w:rPr>
          <w:lang w:val="fr-CH"/>
        </w:rPr>
        <w:t>’</w:t>
      </w:r>
      <w:r w:rsidRPr="00961388">
        <w:rPr>
          <w:lang w:val="fr-CH"/>
        </w:rPr>
        <w:t xml:space="preserve">attachement des constituants </w:t>
      </w:r>
      <w:r w:rsidR="00961388">
        <w:rPr>
          <w:lang w:val="fr-CH"/>
        </w:rPr>
        <w:t>«</w:t>
      </w:r>
      <w:r w:rsidRPr="00961388">
        <w:rPr>
          <w:lang w:val="fr-CH"/>
        </w:rPr>
        <w:t>aux valeurs humaines qui constituent le patrimoine commun des peuples attachés à la dignité de l</w:t>
      </w:r>
      <w:r w:rsidR="00961388">
        <w:rPr>
          <w:lang w:val="fr-CH"/>
        </w:rPr>
        <w:t>’</w:t>
      </w:r>
      <w:r w:rsidRPr="00961388">
        <w:rPr>
          <w:lang w:val="fr-CH"/>
        </w:rPr>
        <w:t>homme, à la justice et à la liberté et qui œuvrent pour la paix, le progrès et la libre coopération des nations</w:t>
      </w:r>
      <w:r w:rsidR="00961388">
        <w:rPr>
          <w:lang w:val="fr-CH"/>
        </w:rPr>
        <w:t>»</w:t>
      </w:r>
      <w:r w:rsidRPr="00961388">
        <w:rPr>
          <w:lang w:val="fr-CH"/>
        </w:rPr>
        <w:t>. La Tunisie a été parmi les premiers États à avoir interdit l</w:t>
      </w:r>
      <w:r w:rsidR="00961388">
        <w:rPr>
          <w:lang w:val="fr-CH"/>
        </w:rPr>
        <w:t>’</w:t>
      </w:r>
      <w:r w:rsidRPr="00961388">
        <w:rPr>
          <w:lang w:val="fr-CH"/>
        </w:rPr>
        <w:t>esclavage. Elle a en effet institué</w:t>
      </w:r>
      <w:r w:rsidR="00961388">
        <w:rPr>
          <w:lang w:val="fr-CH"/>
        </w:rPr>
        <w:t>;</w:t>
      </w:r>
      <w:r w:rsidRPr="00961388">
        <w:rPr>
          <w:lang w:val="fr-CH"/>
        </w:rPr>
        <w:t xml:space="preserve"> depuis le 19ème siècle, l</w:t>
      </w:r>
      <w:r w:rsidR="00961388">
        <w:rPr>
          <w:lang w:val="fr-CH"/>
        </w:rPr>
        <w:t>’</w:t>
      </w:r>
      <w:r w:rsidRPr="00961388">
        <w:rPr>
          <w:lang w:val="fr-CH"/>
        </w:rPr>
        <w:t>interdiction de l</w:t>
      </w:r>
      <w:r w:rsidR="00961388">
        <w:rPr>
          <w:lang w:val="fr-CH"/>
        </w:rPr>
        <w:t>’</w:t>
      </w:r>
      <w:r w:rsidRPr="00961388">
        <w:rPr>
          <w:lang w:val="fr-CH"/>
        </w:rPr>
        <w:t>esclavage et ce en vertu du décret de 23 janvier 1846 qui prévoyait des sanctions pénales à l</w:t>
      </w:r>
      <w:r w:rsidR="00961388">
        <w:rPr>
          <w:lang w:val="fr-CH"/>
        </w:rPr>
        <w:t>’</w:t>
      </w:r>
      <w:r w:rsidRPr="00961388">
        <w:rPr>
          <w:lang w:val="fr-CH"/>
        </w:rPr>
        <w:t>encontre de toute personne réduisant autrui à l</w:t>
      </w:r>
      <w:r w:rsidR="00961388">
        <w:rPr>
          <w:lang w:val="fr-CH"/>
        </w:rPr>
        <w:t>’</w:t>
      </w:r>
      <w:r w:rsidRPr="00961388">
        <w:rPr>
          <w:lang w:val="fr-CH"/>
        </w:rPr>
        <w:t>esclavage.</w:t>
      </w:r>
    </w:p>
    <w:p w:rsidR="00570B62" w:rsidRPr="00961388" w:rsidRDefault="00570B62" w:rsidP="00D752AE">
      <w:pPr>
        <w:pStyle w:val="SingleTxtG"/>
        <w:rPr>
          <w:lang w:val="fr-CH"/>
        </w:rPr>
      </w:pPr>
      <w:r w:rsidRPr="00961388">
        <w:rPr>
          <w:lang w:val="fr-CH"/>
        </w:rPr>
        <w:t>151.</w:t>
      </w:r>
      <w:r w:rsidRPr="00961388">
        <w:rPr>
          <w:lang w:val="fr-CH"/>
        </w:rPr>
        <w:tab/>
        <w:t>La Tunisie a ratifié la C.C.T.O</w:t>
      </w:r>
      <w:r w:rsidR="00260BCB">
        <w:rPr>
          <w:rStyle w:val="FootnoteReference"/>
          <w:lang w:val="fr-CH"/>
        </w:rPr>
        <w:footnoteReference w:id="6"/>
      </w:r>
      <w:r w:rsidRPr="00961388">
        <w:rPr>
          <w:lang w:val="fr-CH"/>
        </w:rPr>
        <w:t xml:space="preserve"> ainsi que les protocoles</w:t>
      </w:r>
      <w:r w:rsidR="00260BCB">
        <w:rPr>
          <w:lang w:val="fr-CH"/>
        </w:rPr>
        <w:t xml:space="preserve"> contre la traite des personnes</w:t>
      </w:r>
      <w:r w:rsidR="00260BCB">
        <w:rPr>
          <w:rStyle w:val="FootnoteReference"/>
          <w:lang w:val="fr-CH"/>
        </w:rPr>
        <w:footnoteReference w:id="7"/>
      </w:r>
      <w:r w:rsidR="00260BCB">
        <w:rPr>
          <w:lang w:val="fr-CH"/>
        </w:rPr>
        <w:t xml:space="preserve"> et le trafic de migrants</w:t>
      </w:r>
      <w:r w:rsidR="00260BCB">
        <w:rPr>
          <w:rStyle w:val="FootnoteReference"/>
          <w:lang w:val="fr-CH"/>
        </w:rPr>
        <w:footnoteReference w:id="8"/>
      </w:r>
      <w:r w:rsidR="00961388">
        <w:rPr>
          <w:lang w:val="fr-CH"/>
        </w:rPr>
        <w:t>;</w:t>
      </w:r>
      <w:r w:rsidRPr="00961388">
        <w:rPr>
          <w:lang w:val="fr-CH"/>
        </w:rPr>
        <w:t xml:space="preserve"> elle a interdit les actes relatifs à la traite des personnes. La Tunisie est également active dans diverses enceintes où elle échange des renseignements sur les stratégies à suivre pour lutter contre la traite des personnes.</w:t>
      </w:r>
    </w:p>
    <w:p w:rsidR="00570B62" w:rsidRPr="00961388" w:rsidRDefault="00D752AE" w:rsidP="00D752AE">
      <w:pPr>
        <w:pStyle w:val="H23G"/>
        <w:rPr>
          <w:rtl/>
          <w:lang w:val="fr-CH"/>
        </w:rPr>
      </w:pPr>
      <w:r>
        <w:rPr>
          <w:lang w:val="fr-CH"/>
        </w:rPr>
        <w:tab/>
      </w:r>
      <w:r>
        <w:rPr>
          <w:lang w:val="fr-CH"/>
        </w:rPr>
        <w:tab/>
      </w:r>
      <w:r w:rsidR="00570B62" w:rsidRPr="00961388">
        <w:rPr>
          <w:lang w:val="fr-CH"/>
        </w:rPr>
        <w:t>La lutte contre la traite des personnes à des fins d</w:t>
      </w:r>
      <w:r w:rsidR="00961388">
        <w:rPr>
          <w:lang w:val="fr-CH"/>
        </w:rPr>
        <w:t>’</w:t>
      </w:r>
      <w:r w:rsidR="00570B62" w:rsidRPr="00961388">
        <w:rPr>
          <w:lang w:val="fr-CH"/>
        </w:rPr>
        <w:t>exploitation sexuelle</w:t>
      </w:r>
      <w:r w:rsidR="00961388">
        <w:rPr>
          <w:lang w:val="fr-CH"/>
        </w:rPr>
        <w:t>:</w:t>
      </w:r>
    </w:p>
    <w:p w:rsidR="00570B62" w:rsidRPr="00961388" w:rsidRDefault="00570B62" w:rsidP="00D752AE">
      <w:pPr>
        <w:pStyle w:val="SingleTxtG"/>
        <w:rPr>
          <w:lang w:val="fr-CH"/>
        </w:rPr>
      </w:pPr>
      <w:r w:rsidRPr="00961388">
        <w:rPr>
          <w:lang w:val="fr-CH"/>
        </w:rPr>
        <w:t>152.</w:t>
      </w:r>
      <w:r w:rsidRPr="00961388">
        <w:rPr>
          <w:lang w:val="fr-CH"/>
        </w:rPr>
        <w:tab/>
        <w:t>Bien que les cas recensés par les différents départements concernés, restent quantitativement et qualitativement limités et ne peuvent, de ce fait, être considérés comme étant un phénomène répandu, la Tunisie continue de déployer tous les efforts afin d</w:t>
      </w:r>
      <w:r w:rsidR="00961388">
        <w:rPr>
          <w:lang w:val="fr-CH"/>
        </w:rPr>
        <w:t>’</w:t>
      </w:r>
      <w:r w:rsidRPr="00961388">
        <w:rPr>
          <w:lang w:val="fr-CH"/>
        </w:rPr>
        <w:t>éradiquer toutes les formes de traite des personnes considérées comme un vrai problème contre lequel il faudrait lutter par tous les moyens, préventifs, répressifs, législatifs et institutionnels.</w:t>
      </w:r>
    </w:p>
    <w:p w:rsidR="00570B62" w:rsidRPr="00961388" w:rsidRDefault="00570B62" w:rsidP="00D752AE">
      <w:pPr>
        <w:pStyle w:val="SingleTxtG"/>
        <w:rPr>
          <w:lang w:val="fr-CH"/>
        </w:rPr>
      </w:pPr>
      <w:r w:rsidRPr="00961388">
        <w:rPr>
          <w:lang w:val="fr-CH"/>
        </w:rPr>
        <w:t>153.</w:t>
      </w:r>
      <w:r w:rsidRPr="00961388">
        <w:rPr>
          <w:lang w:val="fr-CH"/>
        </w:rPr>
        <w:tab/>
        <w:t>La Tunisie a pris depuis le dix-neuvième siècle, effectivement, conscience de la gravité de la traite des personnes qui constitue une offense à la dignité des êtres humains. Le législateur tunisien n</w:t>
      </w:r>
      <w:r w:rsidR="00961388">
        <w:rPr>
          <w:lang w:val="fr-CH"/>
        </w:rPr>
        <w:t>’</w:t>
      </w:r>
      <w:r w:rsidR="00260BCB">
        <w:rPr>
          <w:lang w:val="fr-CH"/>
        </w:rPr>
        <w:t>a cessé depuis 1846</w:t>
      </w:r>
      <w:r w:rsidR="00260BCB">
        <w:rPr>
          <w:rStyle w:val="FootnoteReference"/>
          <w:lang w:val="fr-CH"/>
        </w:rPr>
        <w:footnoteReference w:id="9"/>
      </w:r>
      <w:r w:rsidRPr="00961388">
        <w:rPr>
          <w:lang w:val="fr-CH"/>
        </w:rPr>
        <w:t xml:space="preserve"> de déployer d</w:t>
      </w:r>
      <w:r w:rsidR="00961388">
        <w:rPr>
          <w:lang w:val="fr-CH"/>
        </w:rPr>
        <w:t>’</w:t>
      </w:r>
      <w:r w:rsidRPr="00961388">
        <w:rPr>
          <w:lang w:val="fr-CH"/>
        </w:rPr>
        <w:t>importants efforts en vue de prévenir et réprimer l</w:t>
      </w:r>
      <w:r w:rsidR="00961388">
        <w:rPr>
          <w:lang w:val="fr-CH"/>
        </w:rPr>
        <w:t>’</w:t>
      </w:r>
      <w:r w:rsidRPr="00961388">
        <w:rPr>
          <w:lang w:val="fr-CH"/>
        </w:rPr>
        <w:t>infraction de traite des personnes.</w:t>
      </w:r>
    </w:p>
    <w:p w:rsidR="00570B62" w:rsidRPr="00961388" w:rsidRDefault="00570B62" w:rsidP="00D752AE">
      <w:pPr>
        <w:pStyle w:val="SingleTxtG"/>
        <w:rPr>
          <w:lang w:val="fr-CH"/>
        </w:rPr>
      </w:pPr>
      <w:r w:rsidRPr="00961388">
        <w:rPr>
          <w:lang w:val="fr-CH"/>
        </w:rPr>
        <w:t>154.</w:t>
      </w:r>
      <w:r w:rsidRPr="00961388">
        <w:rPr>
          <w:lang w:val="fr-CH"/>
        </w:rPr>
        <w:tab/>
        <w:t>L</w:t>
      </w:r>
      <w:r w:rsidR="00961388">
        <w:rPr>
          <w:lang w:val="fr-CH"/>
        </w:rPr>
        <w:t>’</w:t>
      </w:r>
      <w:r w:rsidRPr="00961388">
        <w:rPr>
          <w:lang w:val="fr-CH"/>
        </w:rPr>
        <w:t>adhésion de la Tunisie aux différents instruments internationaux relatifs à la traite des personnes et son adoption d</w:t>
      </w:r>
      <w:r w:rsidR="00961388">
        <w:rPr>
          <w:lang w:val="fr-CH"/>
        </w:rPr>
        <w:t>’</w:t>
      </w:r>
      <w:r w:rsidRPr="00961388">
        <w:rPr>
          <w:lang w:val="fr-CH"/>
        </w:rPr>
        <w:t>une panoplie de textes de lois incriminant la traite des personnes sous toutes ses formes, témoignent de ce fait, d</w:t>
      </w:r>
      <w:r w:rsidR="00961388">
        <w:rPr>
          <w:lang w:val="fr-CH"/>
        </w:rPr>
        <w:t>’</w:t>
      </w:r>
      <w:r w:rsidRPr="00961388">
        <w:rPr>
          <w:lang w:val="fr-CH"/>
        </w:rPr>
        <w:t>une réelle prise de conscience du danger que présente ce problème ainsi que de son réel engagement à lutter contre ces actes.</w:t>
      </w:r>
    </w:p>
    <w:p w:rsidR="00D752AE" w:rsidRDefault="00570B62" w:rsidP="00D752AE">
      <w:pPr>
        <w:pStyle w:val="SingleTxtG"/>
        <w:rPr>
          <w:lang w:val="fr-CH"/>
        </w:rPr>
      </w:pPr>
      <w:r w:rsidRPr="00961388">
        <w:rPr>
          <w:lang w:val="fr-CH"/>
        </w:rPr>
        <w:t>155.</w:t>
      </w:r>
      <w:r w:rsidRPr="00961388">
        <w:rPr>
          <w:lang w:val="fr-CH"/>
        </w:rPr>
        <w:tab/>
        <w:t>La législation tunisienne prévoit des sanctions suffisamment sévères pour décourager la perpétration de tels actes. Parmi ces textes, il y a lieu de citer les articles suivants du Code pénal</w:t>
      </w:r>
      <w:r w:rsidR="00961388">
        <w:rPr>
          <w:lang w:val="fr-CH"/>
        </w:rPr>
        <w:t>:</w:t>
      </w:r>
    </w:p>
    <w:p w:rsidR="00D752AE" w:rsidRDefault="00570B62" w:rsidP="00D752AE">
      <w:pPr>
        <w:pStyle w:val="Bullet1G"/>
        <w:rPr>
          <w:lang w:val="fr-CH"/>
        </w:rPr>
      </w:pPr>
      <w:r w:rsidRPr="00961388">
        <w:rPr>
          <w:lang w:val="fr-CH"/>
        </w:rPr>
        <w:t>L</w:t>
      </w:r>
      <w:r w:rsidR="00961388">
        <w:rPr>
          <w:lang w:val="fr-CH"/>
        </w:rPr>
        <w:t>’</w:t>
      </w:r>
      <w:r w:rsidRPr="00961388">
        <w:rPr>
          <w:lang w:val="fr-CH"/>
        </w:rPr>
        <w:t>article 226</w:t>
      </w:r>
      <w:r w:rsidR="00DF2EA3">
        <w:rPr>
          <w:lang w:val="fr-CH"/>
        </w:rPr>
        <w:t xml:space="preserve"> </w:t>
      </w:r>
      <w:r w:rsidRPr="00961388">
        <w:rPr>
          <w:lang w:val="fr-CH"/>
        </w:rPr>
        <w:t>(outrage public à la pudeur)</w:t>
      </w:r>
      <w:r w:rsidR="00961388">
        <w:rPr>
          <w:lang w:val="fr-CH"/>
        </w:rPr>
        <w:t>;</w:t>
      </w:r>
    </w:p>
    <w:p w:rsidR="00D752AE" w:rsidRDefault="00570B62" w:rsidP="00D752AE">
      <w:pPr>
        <w:pStyle w:val="Bullet1G"/>
        <w:rPr>
          <w:lang w:val="fr-CH"/>
        </w:rPr>
      </w:pPr>
      <w:r w:rsidRPr="00961388">
        <w:rPr>
          <w:lang w:val="fr-CH"/>
        </w:rPr>
        <w:t>L</w:t>
      </w:r>
      <w:r w:rsidR="00961388">
        <w:rPr>
          <w:lang w:val="fr-CH"/>
        </w:rPr>
        <w:t>’</w:t>
      </w:r>
      <w:r w:rsidRPr="00961388">
        <w:rPr>
          <w:lang w:val="fr-CH"/>
        </w:rPr>
        <w:t>article 227 et suivant (attentat à la pudeur)</w:t>
      </w:r>
      <w:r w:rsidR="00961388">
        <w:rPr>
          <w:lang w:val="fr-CH"/>
        </w:rPr>
        <w:t>;</w:t>
      </w:r>
      <w:r w:rsidRPr="00961388">
        <w:rPr>
          <w:lang w:val="fr-CH"/>
        </w:rPr>
        <w:t xml:space="preserve"> </w:t>
      </w:r>
    </w:p>
    <w:p w:rsidR="00D752AE" w:rsidRDefault="00570B62" w:rsidP="00D752AE">
      <w:pPr>
        <w:pStyle w:val="Bullet1G"/>
        <w:rPr>
          <w:lang w:val="fr-CH"/>
        </w:rPr>
      </w:pPr>
      <w:r w:rsidRPr="00961388">
        <w:rPr>
          <w:lang w:val="fr-CH"/>
        </w:rPr>
        <w:t>L</w:t>
      </w:r>
      <w:r w:rsidR="00961388">
        <w:rPr>
          <w:lang w:val="fr-CH"/>
        </w:rPr>
        <w:t>’</w:t>
      </w:r>
      <w:r w:rsidRPr="00961388">
        <w:rPr>
          <w:lang w:val="fr-CH"/>
        </w:rPr>
        <w:t>article 237 (enlèvement)</w:t>
      </w:r>
      <w:r w:rsidR="00961388">
        <w:rPr>
          <w:lang w:val="fr-CH"/>
        </w:rPr>
        <w:t>;</w:t>
      </w:r>
      <w:r w:rsidRPr="00961388">
        <w:rPr>
          <w:lang w:val="fr-CH"/>
        </w:rPr>
        <w:t xml:space="preserve"> </w:t>
      </w:r>
    </w:p>
    <w:p w:rsidR="00D752AE" w:rsidRDefault="00570B62" w:rsidP="00D752AE">
      <w:pPr>
        <w:pStyle w:val="Bullet1G"/>
        <w:rPr>
          <w:lang w:val="fr-CH"/>
        </w:rPr>
      </w:pPr>
      <w:r w:rsidRPr="00961388">
        <w:rPr>
          <w:lang w:val="fr-CH"/>
        </w:rPr>
        <w:t>L</w:t>
      </w:r>
      <w:r w:rsidR="00961388">
        <w:rPr>
          <w:lang w:val="fr-CH"/>
        </w:rPr>
        <w:t>’</w:t>
      </w:r>
      <w:r w:rsidRPr="00961388">
        <w:rPr>
          <w:lang w:val="fr-CH"/>
        </w:rPr>
        <w:t>article 232 du Code pénal</w:t>
      </w:r>
      <w:r w:rsidRPr="00961388">
        <w:rPr>
          <w:u w:val="single"/>
          <w:lang w:val="fr-CH"/>
        </w:rPr>
        <w:t xml:space="preserve"> </w:t>
      </w:r>
      <w:r w:rsidRPr="00961388">
        <w:rPr>
          <w:lang w:val="fr-CH"/>
        </w:rPr>
        <w:t xml:space="preserve">énonçant que </w:t>
      </w:r>
      <w:r w:rsidR="00961388">
        <w:rPr>
          <w:lang w:val="fr-CH"/>
        </w:rPr>
        <w:t>«</w:t>
      </w:r>
      <w:r w:rsidRPr="00961388">
        <w:rPr>
          <w:lang w:val="fr-CH"/>
        </w:rPr>
        <w:t>sera considéré comme proxénète et puni d</w:t>
      </w:r>
      <w:r w:rsidR="00961388">
        <w:rPr>
          <w:lang w:val="fr-CH"/>
        </w:rPr>
        <w:t>’</w:t>
      </w:r>
      <w:r w:rsidRPr="00961388">
        <w:rPr>
          <w:lang w:val="fr-CH"/>
        </w:rPr>
        <w:t>un emprisonnement d</w:t>
      </w:r>
      <w:r w:rsidR="00961388">
        <w:rPr>
          <w:lang w:val="fr-CH"/>
        </w:rPr>
        <w:t>’</w:t>
      </w:r>
      <w:r w:rsidRPr="00961388">
        <w:rPr>
          <w:lang w:val="fr-CH"/>
        </w:rPr>
        <w:t>un à 3 ans et d</w:t>
      </w:r>
      <w:r w:rsidR="00961388">
        <w:rPr>
          <w:lang w:val="fr-CH"/>
        </w:rPr>
        <w:t>’</w:t>
      </w:r>
      <w:r w:rsidRPr="00961388">
        <w:rPr>
          <w:lang w:val="fr-CH"/>
        </w:rPr>
        <w:t>une amende de 100 à 500 dinars, celui ou celle qui</w:t>
      </w:r>
      <w:r w:rsidR="00961388">
        <w:rPr>
          <w:lang w:val="fr-CH"/>
        </w:rPr>
        <w:t>:</w:t>
      </w:r>
    </w:p>
    <w:p w:rsidR="00D752AE" w:rsidRDefault="00570B62" w:rsidP="00D752AE">
      <w:pPr>
        <w:pStyle w:val="Bullet1G"/>
        <w:rPr>
          <w:lang w:val="fr-CH"/>
        </w:rPr>
      </w:pPr>
      <w:r w:rsidRPr="00961388">
        <w:rPr>
          <w:lang w:val="fr-CH"/>
        </w:rPr>
        <w:t>D</w:t>
      </w:r>
      <w:r w:rsidR="00961388">
        <w:rPr>
          <w:lang w:val="fr-CH"/>
        </w:rPr>
        <w:t>’</w:t>
      </w:r>
      <w:r w:rsidRPr="00961388">
        <w:rPr>
          <w:lang w:val="fr-CH"/>
        </w:rPr>
        <w:t>une manière quelconque, aide, protège, ou assiste sciemment la prostitution d</w:t>
      </w:r>
      <w:r w:rsidR="00961388">
        <w:rPr>
          <w:lang w:val="fr-CH"/>
        </w:rPr>
        <w:t>’</w:t>
      </w:r>
      <w:r w:rsidRPr="00961388">
        <w:rPr>
          <w:lang w:val="fr-CH"/>
        </w:rPr>
        <w:t>autrui ou le racolage en vue de la prostitution</w:t>
      </w:r>
      <w:r w:rsidR="00961388">
        <w:rPr>
          <w:lang w:val="fr-CH"/>
        </w:rPr>
        <w:t>;</w:t>
      </w:r>
    </w:p>
    <w:p w:rsidR="00D752AE" w:rsidRDefault="00570B62" w:rsidP="00D752AE">
      <w:pPr>
        <w:pStyle w:val="Bullet1G"/>
        <w:rPr>
          <w:lang w:val="fr-CH"/>
        </w:rPr>
      </w:pPr>
      <w:r w:rsidRPr="00961388">
        <w:rPr>
          <w:lang w:val="fr-CH"/>
        </w:rPr>
        <w:t>D</w:t>
      </w:r>
      <w:r w:rsidR="00961388">
        <w:rPr>
          <w:lang w:val="fr-CH"/>
        </w:rPr>
        <w:t>’</w:t>
      </w:r>
      <w:r w:rsidRPr="00961388">
        <w:rPr>
          <w:lang w:val="fr-CH"/>
        </w:rPr>
        <w:t>une manière quelconque, partage les produits de la prostitution d</w:t>
      </w:r>
      <w:r w:rsidR="00961388">
        <w:rPr>
          <w:lang w:val="fr-CH"/>
        </w:rPr>
        <w:t>’</w:t>
      </w:r>
      <w:r w:rsidRPr="00961388">
        <w:rPr>
          <w:lang w:val="fr-CH"/>
        </w:rPr>
        <w:t>autrui ou reçoit des subsides d</w:t>
      </w:r>
      <w:r w:rsidR="00961388">
        <w:rPr>
          <w:lang w:val="fr-CH"/>
        </w:rPr>
        <w:t>’</w:t>
      </w:r>
      <w:r w:rsidRPr="00961388">
        <w:rPr>
          <w:lang w:val="fr-CH"/>
        </w:rPr>
        <w:t>une personne se livrant habituellement à la prostitution</w:t>
      </w:r>
      <w:r w:rsidR="00961388">
        <w:rPr>
          <w:lang w:val="fr-CH"/>
        </w:rPr>
        <w:t>;</w:t>
      </w:r>
    </w:p>
    <w:p w:rsidR="00D752AE" w:rsidRDefault="00570B62" w:rsidP="00D752AE">
      <w:pPr>
        <w:pStyle w:val="Bullet1G"/>
        <w:rPr>
          <w:lang w:val="fr-CH"/>
        </w:rPr>
      </w:pPr>
      <w:r w:rsidRPr="00961388">
        <w:rPr>
          <w:lang w:val="fr-CH"/>
        </w:rPr>
        <w:t>Vivant sciemment avec une personne se livrant habituellement à la prostitution, ne peut justifier de ressources suffisantes pour lui permettre de subvenir seul à sa propre existence</w:t>
      </w:r>
      <w:r w:rsidR="00961388">
        <w:rPr>
          <w:lang w:val="fr-CH"/>
        </w:rPr>
        <w:t>;</w:t>
      </w:r>
    </w:p>
    <w:p w:rsidR="00D752AE" w:rsidRDefault="00570B62" w:rsidP="00D752AE">
      <w:pPr>
        <w:pStyle w:val="Bullet1G"/>
        <w:rPr>
          <w:lang w:val="fr-CH"/>
        </w:rPr>
      </w:pPr>
      <w:r w:rsidRPr="00961388">
        <w:rPr>
          <w:lang w:val="fr-CH"/>
        </w:rPr>
        <w:t>Embauche, entraîne ou entretient, même avec son consentement, une personne même majeure, en vue de prostitution, ou la livre à la prostitution ou à la débauche</w:t>
      </w:r>
      <w:r w:rsidR="00961388">
        <w:rPr>
          <w:lang w:val="fr-CH"/>
        </w:rPr>
        <w:t>;</w:t>
      </w:r>
    </w:p>
    <w:p w:rsidR="00570B62" w:rsidRPr="00961388" w:rsidRDefault="00570B62" w:rsidP="00D752AE">
      <w:pPr>
        <w:pStyle w:val="Bullet1G"/>
        <w:rPr>
          <w:lang w:val="fr-CH"/>
        </w:rPr>
      </w:pPr>
      <w:r w:rsidRPr="00961388">
        <w:rPr>
          <w:lang w:val="fr-CH"/>
        </w:rPr>
        <w:t>Fait office d</w:t>
      </w:r>
      <w:r w:rsidR="00961388">
        <w:rPr>
          <w:lang w:val="fr-CH"/>
        </w:rPr>
        <w:t>’</w:t>
      </w:r>
      <w:r w:rsidRPr="00961388">
        <w:rPr>
          <w:lang w:val="fr-CH"/>
        </w:rPr>
        <w:t>intermédiaire, à un titre quelconque, entre les personnes se livrant à la prostitution ou à la débauche et les individus qui exploitent ou rémunèrent la prostitution ou la débauche d</w:t>
      </w:r>
      <w:r w:rsidR="00961388">
        <w:rPr>
          <w:lang w:val="fr-CH"/>
        </w:rPr>
        <w:t>’</w:t>
      </w:r>
      <w:r w:rsidRPr="00961388">
        <w:rPr>
          <w:lang w:val="fr-CH"/>
        </w:rPr>
        <w:t xml:space="preserve">autrui. </w:t>
      </w:r>
    </w:p>
    <w:p w:rsidR="00570B62" w:rsidRPr="00961388" w:rsidRDefault="00570B62" w:rsidP="00F54CE5">
      <w:pPr>
        <w:pStyle w:val="SingleTxtG"/>
        <w:rPr>
          <w:lang w:val="fr-CH"/>
        </w:rPr>
      </w:pPr>
      <w:r w:rsidRPr="00961388">
        <w:rPr>
          <w:lang w:val="fr-CH"/>
        </w:rPr>
        <w:t>La tentative est punissable</w:t>
      </w:r>
      <w:r w:rsidR="00961388">
        <w:rPr>
          <w:lang w:val="fr-CH"/>
        </w:rPr>
        <w:t>»</w:t>
      </w:r>
      <w:r w:rsidRPr="00961388">
        <w:rPr>
          <w:lang w:val="fr-CH"/>
        </w:rPr>
        <w:t>.</w:t>
      </w:r>
    </w:p>
    <w:p w:rsidR="00F54CE5" w:rsidRDefault="00961388" w:rsidP="00F54CE5">
      <w:pPr>
        <w:pStyle w:val="SingleTxtG"/>
        <w:rPr>
          <w:lang w:val="fr-CH"/>
        </w:rPr>
      </w:pPr>
      <w:r>
        <w:rPr>
          <w:lang w:val="fr-CH"/>
        </w:rPr>
        <w:t>«</w:t>
      </w:r>
      <w:r w:rsidR="00570B62" w:rsidRPr="00961388">
        <w:rPr>
          <w:lang w:val="fr-CH"/>
        </w:rPr>
        <w:t>La peine sera d</w:t>
      </w:r>
      <w:r>
        <w:rPr>
          <w:lang w:val="fr-CH"/>
        </w:rPr>
        <w:t>’</w:t>
      </w:r>
      <w:r w:rsidR="00570B62" w:rsidRPr="00961388">
        <w:rPr>
          <w:lang w:val="fr-CH"/>
        </w:rPr>
        <w:t>un emprisonnement de 3 à 5 ans et d</w:t>
      </w:r>
      <w:r>
        <w:rPr>
          <w:lang w:val="fr-CH"/>
        </w:rPr>
        <w:t>’</w:t>
      </w:r>
      <w:r w:rsidR="00570B62" w:rsidRPr="00961388">
        <w:rPr>
          <w:lang w:val="fr-CH"/>
        </w:rPr>
        <w:t>une amende de 500 à mille dinars dans les cas où</w:t>
      </w:r>
      <w:r>
        <w:rPr>
          <w:lang w:val="fr-CH"/>
        </w:rPr>
        <w:t>:</w:t>
      </w:r>
    </w:p>
    <w:p w:rsidR="00F54CE5" w:rsidRDefault="00570B62" w:rsidP="00F54CE5">
      <w:pPr>
        <w:pStyle w:val="Bullet1G"/>
        <w:rPr>
          <w:lang w:val="fr-CH"/>
        </w:rPr>
      </w:pPr>
      <w:r w:rsidRPr="00961388">
        <w:rPr>
          <w:lang w:val="fr-CH"/>
        </w:rPr>
        <w:t>Le délit a été commis à l</w:t>
      </w:r>
      <w:r w:rsidR="00961388">
        <w:rPr>
          <w:lang w:val="fr-CH"/>
        </w:rPr>
        <w:t>’</w:t>
      </w:r>
      <w:r w:rsidRPr="00961388">
        <w:rPr>
          <w:lang w:val="fr-CH"/>
        </w:rPr>
        <w:t>égard d</w:t>
      </w:r>
      <w:r w:rsidR="00961388">
        <w:rPr>
          <w:lang w:val="fr-CH"/>
        </w:rPr>
        <w:t>’</w:t>
      </w:r>
      <w:r w:rsidRPr="00961388">
        <w:rPr>
          <w:lang w:val="fr-CH"/>
        </w:rPr>
        <w:t>un mineur</w:t>
      </w:r>
      <w:r w:rsidR="00961388">
        <w:rPr>
          <w:lang w:val="fr-CH"/>
        </w:rPr>
        <w:t>;</w:t>
      </w:r>
    </w:p>
    <w:p w:rsidR="00F54CE5" w:rsidRDefault="00570B62" w:rsidP="00F54CE5">
      <w:pPr>
        <w:pStyle w:val="Bullet1G"/>
        <w:rPr>
          <w:lang w:val="fr-CH"/>
        </w:rPr>
      </w:pPr>
      <w:r w:rsidRPr="00961388">
        <w:rPr>
          <w:lang w:val="fr-CH"/>
        </w:rPr>
        <w:t>Le délit a été accompagné de contrainte, d</w:t>
      </w:r>
      <w:r w:rsidR="00961388">
        <w:rPr>
          <w:lang w:val="fr-CH"/>
        </w:rPr>
        <w:t>’</w:t>
      </w:r>
      <w:r w:rsidRPr="00961388">
        <w:rPr>
          <w:lang w:val="fr-CH"/>
        </w:rPr>
        <w:t>abus d</w:t>
      </w:r>
      <w:r w:rsidR="00961388">
        <w:rPr>
          <w:lang w:val="fr-CH"/>
        </w:rPr>
        <w:t>’</w:t>
      </w:r>
      <w:r w:rsidRPr="00961388">
        <w:rPr>
          <w:lang w:val="fr-CH"/>
        </w:rPr>
        <w:t>autorité ou de dol</w:t>
      </w:r>
      <w:r w:rsidR="00961388">
        <w:rPr>
          <w:lang w:val="fr-CH"/>
        </w:rPr>
        <w:t>;</w:t>
      </w:r>
    </w:p>
    <w:p w:rsidR="00570B62" w:rsidRPr="00961388" w:rsidRDefault="00570B62" w:rsidP="00F54CE5">
      <w:pPr>
        <w:pStyle w:val="Bullet1G"/>
        <w:rPr>
          <w:lang w:val="fr-CH"/>
        </w:rPr>
      </w:pPr>
      <w:r w:rsidRPr="00961388">
        <w:rPr>
          <w:lang w:val="fr-CH"/>
        </w:rPr>
        <w:t>L</w:t>
      </w:r>
      <w:r w:rsidR="00961388">
        <w:rPr>
          <w:lang w:val="fr-CH"/>
        </w:rPr>
        <w:t>’</w:t>
      </w:r>
      <w:r w:rsidRPr="00961388">
        <w:rPr>
          <w:lang w:val="fr-CH"/>
        </w:rPr>
        <w:t>article 233 du Code pénal dispose que «l</w:t>
      </w:r>
      <w:r w:rsidR="00961388">
        <w:rPr>
          <w:lang w:val="fr-CH"/>
        </w:rPr>
        <w:t>’</w:t>
      </w:r>
      <w:r w:rsidRPr="00961388">
        <w:rPr>
          <w:lang w:val="fr-CH"/>
        </w:rPr>
        <w:t>auteur du délit est époux, ascendant ou tuteur de la victime ou avait autorité sur elle ou s</w:t>
      </w:r>
      <w:r w:rsidR="00961388">
        <w:rPr>
          <w:lang w:val="fr-CH"/>
        </w:rPr>
        <w:t>’</w:t>
      </w:r>
      <w:r w:rsidRPr="00961388">
        <w:rPr>
          <w:lang w:val="fr-CH"/>
        </w:rPr>
        <w:t>il est son serviteur à gages ou s</w:t>
      </w:r>
      <w:r w:rsidR="00961388">
        <w:rPr>
          <w:lang w:val="fr-CH"/>
        </w:rPr>
        <w:t>’</w:t>
      </w:r>
      <w:r w:rsidRPr="00961388">
        <w:rPr>
          <w:lang w:val="fr-CH"/>
        </w:rPr>
        <w:t>il est instituteur, fonctionnaire ou ministre du culte ou s</w:t>
      </w:r>
      <w:r w:rsidR="00961388">
        <w:rPr>
          <w:lang w:val="fr-CH"/>
        </w:rPr>
        <w:t>’</w:t>
      </w:r>
      <w:r w:rsidRPr="00961388">
        <w:rPr>
          <w:lang w:val="fr-CH"/>
        </w:rPr>
        <w:t>il a été aidé par une ou plusieurs personnes</w:t>
      </w:r>
      <w:r w:rsidR="00F54CE5">
        <w:rPr>
          <w:lang w:val="fr-CH"/>
        </w:rPr>
        <w:t>.</w:t>
      </w:r>
      <w:r w:rsidR="00961388">
        <w:rPr>
          <w:lang w:val="fr-CH"/>
        </w:rPr>
        <w:t>»</w:t>
      </w:r>
      <w:r w:rsidR="00F54CE5">
        <w:rPr>
          <w:lang w:val="fr-CH"/>
        </w:rPr>
        <w:t>.</w:t>
      </w:r>
    </w:p>
    <w:p w:rsidR="00570B62" w:rsidRPr="00961388" w:rsidRDefault="00570B62" w:rsidP="00F54CE5">
      <w:pPr>
        <w:pStyle w:val="SingleTxtG"/>
        <w:rPr>
          <w:lang w:val="fr-CH"/>
        </w:rPr>
      </w:pPr>
      <w:r w:rsidRPr="00961388">
        <w:rPr>
          <w:lang w:val="fr-CH"/>
        </w:rPr>
        <w:t>156.</w:t>
      </w:r>
      <w:r w:rsidRPr="00961388">
        <w:rPr>
          <w:lang w:val="fr-CH"/>
        </w:rPr>
        <w:tab/>
        <w:t>Cependant, il sied d</w:t>
      </w:r>
      <w:r w:rsidR="00961388">
        <w:rPr>
          <w:lang w:val="fr-CH"/>
        </w:rPr>
        <w:t>’</w:t>
      </w:r>
      <w:r w:rsidRPr="00961388">
        <w:rPr>
          <w:lang w:val="fr-CH"/>
        </w:rPr>
        <w:t>indiquer que dans le cadre du renforcement des efforts d</w:t>
      </w:r>
      <w:r w:rsidR="00961388">
        <w:rPr>
          <w:lang w:val="fr-CH"/>
        </w:rPr>
        <w:t>’</w:t>
      </w:r>
      <w:r w:rsidRPr="00961388">
        <w:rPr>
          <w:lang w:val="fr-CH"/>
        </w:rPr>
        <w:t>adaptation de la législation interne aux normes et principes internationaux en la matière, un ensemble de propositions parmi lesquelles l</w:t>
      </w:r>
      <w:r w:rsidR="00961388">
        <w:rPr>
          <w:lang w:val="fr-CH"/>
        </w:rPr>
        <w:t>’</w:t>
      </w:r>
      <w:r w:rsidRPr="00961388">
        <w:rPr>
          <w:lang w:val="fr-CH"/>
        </w:rPr>
        <w:t>adoption d</w:t>
      </w:r>
      <w:r w:rsidR="00961388">
        <w:rPr>
          <w:lang w:val="fr-CH"/>
        </w:rPr>
        <w:t>’</w:t>
      </w:r>
      <w:r w:rsidRPr="00961388">
        <w:rPr>
          <w:lang w:val="fr-CH"/>
        </w:rPr>
        <w:t>une loi spécifique pour l</w:t>
      </w:r>
      <w:r w:rsidR="00961388">
        <w:rPr>
          <w:lang w:val="fr-CH"/>
        </w:rPr>
        <w:t>’</w:t>
      </w:r>
      <w:r w:rsidRPr="00961388">
        <w:rPr>
          <w:lang w:val="fr-CH"/>
        </w:rPr>
        <w:t>incrimination de la traite des personnes a été soumis aux instances concernées. L</w:t>
      </w:r>
      <w:r w:rsidR="00961388">
        <w:rPr>
          <w:lang w:val="fr-CH"/>
        </w:rPr>
        <w:t>’</w:t>
      </w:r>
      <w:r w:rsidRPr="00961388">
        <w:rPr>
          <w:lang w:val="fr-CH"/>
        </w:rPr>
        <w:t>une de ces propositions concerne l</w:t>
      </w:r>
      <w:r w:rsidR="00961388">
        <w:rPr>
          <w:lang w:val="fr-CH"/>
        </w:rPr>
        <w:t>’</w:t>
      </w:r>
      <w:r w:rsidRPr="00961388">
        <w:rPr>
          <w:lang w:val="fr-CH"/>
        </w:rPr>
        <w:t>incrimination et la prévention de la traite des personnes. Un projet de loi a été préparé dans ce sens par les soins du Centre des études juridiques et judiciaires relevant du Ministère de la justice et des droits de l</w:t>
      </w:r>
      <w:r w:rsidR="00961388">
        <w:rPr>
          <w:lang w:val="fr-CH"/>
        </w:rPr>
        <w:t>’</w:t>
      </w:r>
      <w:r w:rsidRPr="00961388">
        <w:rPr>
          <w:lang w:val="fr-CH"/>
        </w:rPr>
        <w:t>homme.</w:t>
      </w:r>
    </w:p>
    <w:p w:rsidR="00570B62" w:rsidRPr="00961388" w:rsidRDefault="00570B62" w:rsidP="00F54CE5">
      <w:pPr>
        <w:pStyle w:val="H23G"/>
        <w:rPr>
          <w:lang w:val="fr-CH"/>
        </w:rPr>
      </w:pPr>
      <w:r w:rsidRPr="00961388">
        <w:rPr>
          <w:lang w:val="fr-CH"/>
        </w:rPr>
        <w:tab/>
      </w:r>
      <w:r w:rsidRPr="00961388">
        <w:rPr>
          <w:lang w:val="fr-CH"/>
        </w:rPr>
        <w:tab/>
        <w:t>Assistance et protection accordées aux victimes de la traite</w:t>
      </w:r>
      <w:r w:rsidR="00961388">
        <w:rPr>
          <w:lang w:val="fr-CH"/>
        </w:rPr>
        <w:t>:</w:t>
      </w:r>
    </w:p>
    <w:p w:rsidR="00570B62" w:rsidRPr="00961388" w:rsidRDefault="00570B62" w:rsidP="00F54CE5">
      <w:pPr>
        <w:pStyle w:val="SingleTxtG"/>
        <w:rPr>
          <w:lang w:val="fr-CH"/>
        </w:rPr>
      </w:pPr>
      <w:r w:rsidRPr="00961388">
        <w:rPr>
          <w:lang w:val="fr-CH"/>
        </w:rPr>
        <w:t>157.</w:t>
      </w:r>
      <w:r w:rsidRPr="00961388">
        <w:rPr>
          <w:lang w:val="fr-CH"/>
        </w:rPr>
        <w:tab/>
        <w:t>La législation tunisienne confère aux victimes de la traite des personnes des droits étendus, notamment le droit de recevoir une aide médicale, sociale, matérielle et juridique, le droit à l</w:t>
      </w:r>
      <w:r w:rsidR="00961388">
        <w:rPr>
          <w:lang w:val="fr-CH"/>
        </w:rPr>
        <w:t>’</w:t>
      </w:r>
      <w:r w:rsidRPr="00961388">
        <w:rPr>
          <w:lang w:val="fr-CH"/>
        </w:rPr>
        <w:t>indemnisation et à la réparation morale</w:t>
      </w:r>
      <w:r w:rsidR="00260BCB">
        <w:rPr>
          <w:rStyle w:val="FootnoteReference"/>
          <w:lang w:val="fr-CH"/>
        </w:rPr>
        <w:footnoteReference w:id="10"/>
      </w:r>
      <w:r w:rsidRPr="00961388">
        <w:rPr>
          <w:lang w:val="fr-CH"/>
        </w:rPr>
        <w:t>, ainsi que le droit d</w:t>
      </w:r>
      <w:r w:rsidR="00961388">
        <w:rPr>
          <w:lang w:val="fr-CH"/>
        </w:rPr>
        <w:t>’</w:t>
      </w:r>
      <w:r w:rsidRPr="00961388">
        <w:rPr>
          <w:lang w:val="fr-CH"/>
        </w:rPr>
        <w:t>être protégé dans le cadre de la procédure pénale</w:t>
      </w:r>
      <w:r w:rsidR="00961388">
        <w:rPr>
          <w:lang w:val="fr-CH"/>
        </w:rPr>
        <w:t>:</w:t>
      </w:r>
      <w:r w:rsidRPr="00961388">
        <w:rPr>
          <w:lang w:val="fr-CH"/>
        </w:rPr>
        <w:t xml:space="preserve"> cela signifie que les juridictions doivent notamment ordonner le huis-clos, soit d</w:t>
      </w:r>
      <w:r w:rsidR="00961388">
        <w:rPr>
          <w:lang w:val="fr-CH"/>
        </w:rPr>
        <w:t>’</w:t>
      </w:r>
      <w:r w:rsidRPr="00961388">
        <w:rPr>
          <w:lang w:val="fr-CH"/>
        </w:rPr>
        <w:t>office, soit à la demande du ministère public pour sauvegarder l</w:t>
      </w:r>
      <w:r w:rsidR="00961388">
        <w:rPr>
          <w:lang w:val="fr-CH"/>
        </w:rPr>
        <w:t>’</w:t>
      </w:r>
      <w:r w:rsidRPr="00961388">
        <w:rPr>
          <w:lang w:val="fr-CH"/>
        </w:rPr>
        <w:t>ordre public ou les bonnes mœurs</w:t>
      </w:r>
      <w:r w:rsidR="00260BCB">
        <w:rPr>
          <w:rStyle w:val="FootnoteReference"/>
          <w:lang w:val="fr-CH"/>
        </w:rPr>
        <w:footnoteReference w:id="11"/>
      </w:r>
      <w:r w:rsidRPr="00961388">
        <w:rPr>
          <w:lang w:val="fr-CH"/>
        </w:rPr>
        <w:t>.</w:t>
      </w:r>
    </w:p>
    <w:p w:rsidR="00570B62" w:rsidRPr="00961388" w:rsidRDefault="00570B62" w:rsidP="00541D1A">
      <w:pPr>
        <w:pStyle w:val="SingleTxtG"/>
        <w:keepNext/>
        <w:keepLines/>
        <w:rPr>
          <w:lang w:val="fr-CH"/>
        </w:rPr>
      </w:pPr>
      <w:r w:rsidRPr="00961388">
        <w:rPr>
          <w:lang w:val="fr-CH"/>
        </w:rPr>
        <w:t>158.</w:t>
      </w:r>
      <w:r w:rsidRPr="00961388">
        <w:rPr>
          <w:lang w:val="fr-CH"/>
        </w:rPr>
        <w:tab/>
        <w:t>Depuis 2002, l</w:t>
      </w:r>
      <w:r w:rsidR="00961388">
        <w:rPr>
          <w:lang w:val="fr-CH"/>
        </w:rPr>
        <w:t>’</w:t>
      </w:r>
      <w:r w:rsidRPr="00961388">
        <w:rPr>
          <w:lang w:val="fr-CH"/>
        </w:rPr>
        <w:t>aide judiciaire peut être accordée en matière pénale à la partie civile ou pour l</w:t>
      </w:r>
      <w:r w:rsidR="00961388">
        <w:rPr>
          <w:lang w:val="fr-CH"/>
        </w:rPr>
        <w:t>’</w:t>
      </w:r>
      <w:r w:rsidRPr="00961388">
        <w:rPr>
          <w:lang w:val="fr-CH"/>
        </w:rPr>
        <w:t>exécution des jugements et l</w:t>
      </w:r>
      <w:r w:rsidR="00961388">
        <w:rPr>
          <w:lang w:val="fr-CH"/>
        </w:rPr>
        <w:t>’</w:t>
      </w:r>
      <w:r w:rsidRPr="00961388">
        <w:rPr>
          <w:lang w:val="fr-CH"/>
        </w:rPr>
        <w:t>exercice du droit de recours. Peut également bénéficier de l</w:t>
      </w:r>
      <w:r w:rsidR="00961388">
        <w:rPr>
          <w:lang w:val="fr-CH"/>
        </w:rPr>
        <w:t>’</w:t>
      </w:r>
      <w:r w:rsidRPr="00961388">
        <w:rPr>
          <w:lang w:val="fr-CH"/>
        </w:rPr>
        <w:t>aide judiciaire l</w:t>
      </w:r>
      <w:r w:rsidR="00961388">
        <w:rPr>
          <w:lang w:val="fr-CH"/>
        </w:rPr>
        <w:t>’</w:t>
      </w:r>
      <w:r w:rsidRPr="00961388">
        <w:rPr>
          <w:lang w:val="fr-CH"/>
        </w:rPr>
        <w:t>étranger lorsque les juridictions tunisiennes sont compétentes pour connaître des litiges dont il fait partie, et ce, en application d</w:t>
      </w:r>
      <w:r w:rsidR="00961388">
        <w:rPr>
          <w:lang w:val="fr-CH"/>
        </w:rPr>
        <w:t>’</w:t>
      </w:r>
      <w:r w:rsidRPr="00961388">
        <w:rPr>
          <w:lang w:val="fr-CH"/>
        </w:rPr>
        <w:t>une convention de coopération judiciaire en matière d</w:t>
      </w:r>
      <w:r w:rsidR="00961388">
        <w:rPr>
          <w:lang w:val="fr-CH"/>
        </w:rPr>
        <w:t>’</w:t>
      </w:r>
      <w:r w:rsidRPr="00961388">
        <w:rPr>
          <w:lang w:val="fr-CH"/>
        </w:rPr>
        <w:t>aide judiciaire conclue avec l</w:t>
      </w:r>
      <w:r w:rsidR="00961388">
        <w:rPr>
          <w:lang w:val="fr-CH"/>
        </w:rPr>
        <w:t>’</w:t>
      </w:r>
      <w:r w:rsidRPr="00961388">
        <w:rPr>
          <w:lang w:val="fr-CH"/>
        </w:rPr>
        <w:t xml:space="preserve">État dont il porte la nationalité </w:t>
      </w:r>
      <w:r w:rsidR="00260BCB">
        <w:rPr>
          <w:lang w:val="fr-CH"/>
        </w:rPr>
        <w:t>et sous réserve de réciprocité</w:t>
      </w:r>
      <w:r w:rsidR="00260BCB">
        <w:rPr>
          <w:rStyle w:val="FootnoteReference"/>
          <w:lang w:val="fr-CH"/>
        </w:rPr>
        <w:footnoteReference w:id="12"/>
      </w:r>
      <w:r w:rsidRPr="00961388">
        <w:rPr>
          <w:lang w:val="fr-CH"/>
        </w:rPr>
        <w:t>.</w:t>
      </w:r>
    </w:p>
    <w:p w:rsidR="00570B62" w:rsidRPr="00961388" w:rsidRDefault="00570B62" w:rsidP="00F54CE5">
      <w:pPr>
        <w:pStyle w:val="H23G"/>
        <w:rPr>
          <w:lang w:val="fr-CH"/>
        </w:rPr>
      </w:pPr>
      <w:r w:rsidRPr="00961388">
        <w:rPr>
          <w:lang w:val="fr-CH"/>
        </w:rPr>
        <w:tab/>
      </w:r>
      <w:r w:rsidRPr="00961388">
        <w:rPr>
          <w:lang w:val="fr-CH"/>
        </w:rPr>
        <w:tab/>
        <w:t>La lutte contre la traite des personnes à des fins d</w:t>
      </w:r>
      <w:r w:rsidR="00961388">
        <w:rPr>
          <w:lang w:val="fr-CH"/>
        </w:rPr>
        <w:t>’</w:t>
      </w:r>
      <w:r w:rsidRPr="00961388">
        <w:rPr>
          <w:lang w:val="fr-CH"/>
        </w:rPr>
        <w:t>exploitation économique</w:t>
      </w:r>
      <w:r w:rsidR="00961388">
        <w:rPr>
          <w:lang w:val="fr-CH"/>
        </w:rPr>
        <w:t>:</w:t>
      </w:r>
    </w:p>
    <w:p w:rsidR="00F54CE5" w:rsidRDefault="00570B62" w:rsidP="00F54CE5">
      <w:pPr>
        <w:pStyle w:val="SingleTxtG"/>
        <w:rPr>
          <w:lang w:val="fr-CH"/>
        </w:rPr>
      </w:pPr>
      <w:r w:rsidRPr="00961388">
        <w:rPr>
          <w:lang w:val="fr-CH"/>
        </w:rPr>
        <w:t>159.</w:t>
      </w:r>
      <w:r w:rsidRPr="00961388">
        <w:rPr>
          <w:lang w:val="fr-CH"/>
        </w:rPr>
        <w:tab/>
        <w:t>La méthode engagée par la Tunisie pour lutter contre le travail forcé ou servile se base sur la protection par la constitution du</w:t>
      </w:r>
      <w:r w:rsidR="00260BCB">
        <w:rPr>
          <w:lang w:val="fr-CH"/>
        </w:rPr>
        <w:t xml:space="preserve"> droit des citoyens au travail</w:t>
      </w:r>
      <w:r w:rsidR="00260BCB">
        <w:rPr>
          <w:rStyle w:val="FootnoteReference"/>
          <w:lang w:val="fr-CH"/>
        </w:rPr>
        <w:footnoteReference w:id="13"/>
      </w:r>
      <w:r w:rsidRPr="00961388">
        <w:rPr>
          <w:lang w:val="fr-CH"/>
        </w:rPr>
        <w:t xml:space="preserve"> dans un cadre de respect des libertés fondamentales et des droits de l</w:t>
      </w:r>
      <w:r w:rsidR="00961388">
        <w:rPr>
          <w:lang w:val="fr-CH"/>
        </w:rPr>
        <w:t>’</w:t>
      </w:r>
      <w:r w:rsidRPr="00961388">
        <w:rPr>
          <w:lang w:val="fr-CH"/>
        </w:rPr>
        <w:t>homme notamment sa dignité</w:t>
      </w:r>
      <w:r w:rsidR="00260BCB">
        <w:rPr>
          <w:rStyle w:val="FootnoteReference"/>
          <w:lang w:val="fr-CH"/>
        </w:rPr>
        <w:footnoteReference w:id="14"/>
      </w:r>
      <w:r w:rsidRPr="00961388">
        <w:rPr>
          <w:lang w:val="fr-CH"/>
        </w:rPr>
        <w:t>.</w:t>
      </w:r>
    </w:p>
    <w:p w:rsidR="00570B62" w:rsidRPr="00961388" w:rsidRDefault="00F54CE5" w:rsidP="00F54CE5">
      <w:pPr>
        <w:pStyle w:val="SingleTxtG"/>
        <w:rPr>
          <w:rtl/>
          <w:lang w:val="fr-CH"/>
        </w:rPr>
      </w:pPr>
      <w:r>
        <w:rPr>
          <w:lang w:val="fr-CH"/>
        </w:rPr>
        <w:t>160.</w:t>
      </w:r>
      <w:r>
        <w:rPr>
          <w:lang w:val="fr-CH"/>
        </w:rPr>
        <w:tab/>
      </w:r>
      <w:r w:rsidR="00570B62" w:rsidRPr="00961388">
        <w:rPr>
          <w:lang w:val="fr-CH"/>
        </w:rPr>
        <w:t>Le Code du travail tunisien et d</w:t>
      </w:r>
      <w:r w:rsidR="00961388">
        <w:rPr>
          <w:lang w:val="fr-CH"/>
        </w:rPr>
        <w:t>’</w:t>
      </w:r>
      <w:r w:rsidR="00570B62" w:rsidRPr="00961388">
        <w:rPr>
          <w:lang w:val="fr-CH"/>
        </w:rPr>
        <w:t>autres textes spéciaux ont adopté des dispositions dissuasives contre l</w:t>
      </w:r>
      <w:r w:rsidR="00961388">
        <w:rPr>
          <w:lang w:val="fr-CH"/>
        </w:rPr>
        <w:t>’</w:t>
      </w:r>
      <w:r w:rsidR="00570B62" w:rsidRPr="00961388">
        <w:rPr>
          <w:lang w:val="fr-CH"/>
        </w:rPr>
        <w:t>exploitation économique des femmes, des enfants, et des étrangers.</w:t>
      </w:r>
    </w:p>
    <w:p w:rsidR="00570B62" w:rsidRPr="00961388" w:rsidRDefault="00570B62" w:rsidP="00F54CE5">
      <w:pPr>
        <w:pStyle w:val="SingleTxtG"/>
        <w:rPr>
          <w:lang w:val="fr-CH"/>
        </w:rPr>
      </w:pPr>
      <w:r w:rsidRPr="00961388">
        <w:rPr>
          <w:lang w:val="fr-CH"/>
        </w:rPr>
        <w:t>161.</w:t>
      </w:r>
      <w:r w:rsidRPr="00961388">
        <w:rPr>
          <w:lang w:val="fr-CH"/>
        </w:rPr>
        <w:tab/>
        <w:t>Selon l</w:t>
      </w:r>
      <w:r w:rsidR="00961388">
        <w:rPr>
          <w:lang w:val="fr-CH"/>
        </w:rPr>
        <w:t>’</w:t>
      </w:r>
      <w:r w:rsidRPr="00961388">
        <w:rPr>
          <w:lang w:val="fr-CH"/>
        </w:rPr>
        <w:t xml:space="preserve">article 5 </w:t>
      </w:r>
      <w:r w:rsidRPr="00961388">
        <w:rPr>
          <w:i/>
          <w:iCs/>
          <w:lang w:val="fr-CH"/>
        </w:rPr>
        <w:t>bis</w:t>
      </w:r>
      <w:r w:rsidRPr="00961388">
        <w:rPr>
          <w:lang w:val="fr-CH"/>
        </w:rPr>
        <w:t xml:space="preserve"> du Code </w:t>
      </w:r>
      <w:r w:rsidR="00961388">
        <w:rPr>
          <w:lang w:val="fr-CH"/>
        </w:rPr>
        <w:t xml:space="preserve">du travail ajouté par la loi </w:t>
      </w:r>
      <w:r w:rsidR="00961388" w:rsidRPr="00961388">
        <w:rPr>
          <w:rFonts w:eastAsia="MS Mincho"/>
          <w:lang w:val="fr-CH"/>
        </w:rPr>
        <w:t>n</w:t>
      </w:r>
      <w:r w:rsidR="00961388" w:rsidRPr="00961388">
        <w:rPr>
          <w:rFonts w:eastAsia="MS Mincho"/>
          <w:vertAlign w:val="superscript"/>
          <w:lang w:val="fr-CH"/>
        </w:rPr>
        <w:t>o</w:t>
      </w:r>
      <w:r w:rsidR="00961388">
        <w:rPr>
          <w:lang w:val="fr-CH"/>
        </w:rPr>
        <w:t xml:space="preserve"> </w:t>
      </w:r>
      <w:r w:rsidRPr="00961388">
        <w:rPr>
          <w:lang w:val="fr-CH"/>
        </w:rPr>
        <w:t>93-66 du 5 juillet 1993</w:t>
      </w:r>
      <w:r w:rsidR="00961388">
        <w:rPr>
          <w:lang w:val="fr-CH"/>
        </w:rPr>
        <w:t>:</w:t>
      </w:r>
      <w:r w:rsidRPr="00961388">
        <w:rPr>
          <w:lang w:val="fr-CH"/>
        </w:rPr>
        <w:t xml:space="preserve"> </w:t>
      </w:r>
      <w:r w:rsidR="00961388">
        <w:rPr>
          <w:lang w:val="fr-CH"/>
        </w:rPr>
        <w:t>«</w:t>
      </w:r>
      <w:r w:rsidRPr="00961388">
        <w:rPr>
          <w:lang w:val="fr-CH"/>
        </w:rPr>
        <w:t>Il ne peut être fait de discrimination entre l</w:t>
      </w:r>
      <w:r w:rsidR="00961388">
        <w:rPr>
          <w:lang w:val="fr-CH"/>
        </w:rPr>
        <w:t>’</w:t>
      </w:r>
      <w:r w:rsidRPr="00961388">
        <w:rPr>
          <w:lang w:val="fr-CH"/>
        </w:rPr>
        <w:t>homme et la femme dans l</w:t>
      </w:r>
      <w:r w:rsidR="00961388">
        <w:rPr>
          <w:lang w:val="fr-CH"/>
        </w:rPr>
        <w:t>’</w:t>
      </w:r>
      <w:r w:rsidRPr="00961388">
        <w:rPr>
          <w:lang w:val="fr-CH"/>
        </w:rPr>
        <w:t>application des dispositions du présent Code et des textes pris pour son application</w:t>
      </w:r>
      <w:r w:rsidR="00961388">
        <w:rPr>
          <w:lang w:val="fr-CH"/>
        </w:rPr>
        <w:t>»</w:t>
      </w:r>
      <w:r w:rsidRPr="00961388">
        <w:rPr>
          <w:lang w:val="fr-CH"/>
        </w:rPr>
        <w:t>, ce principe est reconnu aussi bien dans le secteur privé que dans le secteur public. La femme n</w:t>
      </w:r>
      <w:r w:rsidR="00961388">
        <w:rPr>
          <w:lang w:val="fr-CH"/>
        </w:rPr>
        <w:t>’</w:t>
      </w:r>
      <w:r w:rsidRPr="00961388">
        <w:rPr>
          <w:lang w:val="fr-CH"/>
        </w:rPr>
        <w:t>est plus victime du travail servile, de même, les femmes et les enfants sont protégés contre des travaux pénibles tels que les travaux souterrains dans les mines et les carrières</w:t>
      </w:r>
      <w:r w:rsidR="00260BCB">
        <w:rPr>
          <w:rStyle w:val="FootnoteReference"/>
          <w:lang w:val="fr-CH"/>
        </w:rPr>
        <w:footnoteReference w:id="15"/>
      </w:r>
      <w:r w:rsidRPr="00961388">
        <w:rPr>
          <w:lang w:val="fr-CH"/>
        </w:rPr>
        <w:t xml:space="preserve"> ou la récupération, la transformation ou l</w:t>
      </w:r>
      <w:r w:rsidR="00961388">
        <w:rPr>
          <w:lang w:val="fr-CH"/>
        </w:rPr>
        <w:t>’</w:t>
      </w:r>
      <w:r w:rsidRPr="00961388">
        <w:rPr>
          <w:lang w:val="fr-CH"/>
        </w:rPr>
        <w:t>entreposage des vieux métaux</w:t>
      </w:r>
      <w:r w:rsidR="00260BCB">
        <w:rPr>
          <w:rStyle w:val="FootnoteReference"/>
          <w:lang w:val="fr-CH"/>
        </w:rPr>
        <w:footnoteReference w:id="16"/>
      </w:r>
      <w:r w:rsidRPr="00961388">
        <w:rPr>
          <w:lang w:val="fr-CH"/>
        </w:rPr>
        <w:t>.</w:t>
      </w:r>
    </w:p>
    <w:p w:rsidR="00570B62" w:rsidRPr="00961388" w:rsidRDefault="00570B62" w:rsidP="00F54CE5">
      <w:pPr>
        <w:pStyle w:val="SingleTxtG"/>
        <w:rPr>
          <w:lang w:val="fr-CH"/>
        </w:rPr>
      </w:pPr>
      <w:r w:rsidRPr="00961388">
        <w:rPr>
          <w:lang w:val="fr-CH"/>
        </w:rPr>
        <w:t>162.</w:t>
      </w:r>
      <w:r w:rsidRPr="00961388">
        <w:rPr>
          <w:lang w:val="fr-CH"/>
        </w:rPr>
        <w:tab/>
        <w:t>Les enfants de moins de 16 ans ne peuvent être employés dans toutes les activités régies par le Code du travail, sous réserve des dispositions spéciales</w:t>
      </w:r>
      <w:r w:rsidR="000C6AAB">
        <w:rPr>
          <w:rStyle w:val="FootnoteReference"/>
          <w:lang w:val="fr-CH"/>
        </w:rPr>
        <w:footnoteReference w:id="17"/>
      </w:r>
      <w:r w:rsidRPr="00961388">
        <w:rPr>
          <w:lang w:val="fr-CH"/>
        </w:rPr>
        <w:t>. Par ailleurs, les enfants de moins de 18 ans ne peuvent être employés dans toutes les activités qu</w:t>
      </w:r>
      <w:r w:rsidR="00961388">
        <w:rPr>
          <w:lang w:val="fr-CH"/>
        </w:rPr>
        <w:t>’</w:t>
      </w:r>
      <w:r w:rsidRPr="00961388">
        <w:rPr>
          <w:lang w:val="fr-CH"/>
        </w:rPr>
        <w:t>après un examen médical approfondi justifiant leur aptitude d</w:t>
      </w:r>
      <w:r w:rsidR="00961388">
        <w:rPr>
          <w:lang w:val="fr-CH"/>
        </w:rPr>
        <w:t>’</w:t>
      </w:r>
      <w:r w:rsidRPr="00961388">
        <w:rPr>
          <w:lang w:val="fr-CH"/>
        </w:rPr>
        <w:t>effectuer le travail dont ils seront chargés, cet examen médical d</w:t>
      </w:r>
      <w:r w:rsidR="00961388">
        <w:rPr>
          <w:lang w:val="fr-CH"/>
        </w:rPr>
        <w:t>’</w:t>
      </w:r>
      <w:r w:rsidRPr="00961388">
        <w:rPr>
          <w:lang w:val="fr-CH"/>
        </w:rPr>
        <w:t>aptitude à l</w:t>
      </w:r>
      <w:r w:rsidR="00961388">
        <w:rPr>
          <w:lang w:val="fr-CH"/>
        </w:rPr>
        <w:t>’</w:t>
      </w:r>
      <w:r w:rsidRPr="00961388">
        <w:rPr>
          <w:lang w:val="fr-CH"/>
        </w:rPr>
        <w:t>emploi est effectué gratuitement par le médecin du travail</w:t>
      </w:r>
      <w:r w:rsidR="000C6AAB">
        <w:rPr>
          <w:rStyle w:val="FootnoteReference"/>
          <w:lang w:val="fr-CH"/>
        </w:rPr>
        <w:footnoteReference w:id="18"/>
      </w:r>
      <w:r w:rsidRPr="00961388">
        <w:rPr>
          <w:lang w:val="fr-CH"/>
        </w:rPr>
        <w:t>.</w:t>
      </w:r>
    </w:p>
    <w:p w:rsidR="00570B62" w:rsidRPr="00961388" w:rsidRDefault="00570B62" w:rsidP="00F54CE5">
      <w:pPr>
        <w:pStyle w:val="SingleTxtG"/>
        <w:rPr>
          <w:lang w:val="fr-CH"/>
        </w:rPr>
      </w:pPr>
      <w:r w:rsidRPr="00961388">
        <w:rPr>
          <w:lang w:val="fr-CH"/>
        </w:rPr>
        <w:t>163.</w:t>
      </w:r>
      <w:r w:rsidRPr="00961388">
        <w:rPr>
          <w:lang w:val="fr-CH"/>
        </w:rPr>
        <w:tab/>
        <w:t>Une des solutions apportée par le Code du travail pour lutter contre l</w:t>
      </w:r>
      <w:r w:rsidR="00961388">
        <w:rPr>
          <w:lang w:val="fr-CH"/>
        </w:rPr>
        <w:t>’</w:t>
      </w:r>
      <w:r w:rsidRPr="00961388">
        <w:rPr>
          <w:lang w:val="fr-CH"/>
        </w:rPr>
        <w:t>exploitation économique se fonde sur l</w:t>
      </w:r>
      <w:r w:rsidR="00961388">
        <w:rPr>
          <w:lang w:val="fr-CH"/>
        </w:rPr>
        <w:t>’</w:t>
      </w:r>
      <w:r w:rsidRPr="00961388">
        <w:rPr>
          <w:lang w:val="fr-CH"/>
        </w:rPr>
        <w:t>interdiction du travail de nuit des femmes et des enfants pendant une période dont le nombre d</w:t>
      </w:r>
      <w:r w:rsidR="00961388">
        <w:rPr>
          <w:lang w:val="fr-CH"/>
        </w:rPr>
        <w:t>’</w:t>
      </w:r>
      <w:r w:rsidRPr="00961388">
        <w:rPr>
          <w:lang w:val="fr-CH"/>
        </w:rPr>
        <w:t>heures varie selon la nature de l</w:t>
      </w:r>
      <w:r w:rsidR="00961388">
        <w:rPr>
          <w:lang w:val="fr-CH"/>
        </w:rPr>
        <w:t>’</w:t>
      </w:r>
      <w:r w:rsidRPr="00961388">
        <w:rPr>
          <w:lang w:val="fr-CH"/>
        </w:rPr>
        <w:t>activité (agricole ou non agricole) ou l</w:t>
      </w:r>
      <w:r w:rsidR="00961388">
        <w:rPr>
          <w:lang w:val="fr-CH"/>
        </w:rPr>
        <w:t>’</w:t>
      </w:r>
      <w:r w:rsidRPr="00961388">
        <w:rPr>
          <w:lang w:val="fr-CH"/>
        </w:rPr>
        <w:t>âge de l</w:t>
      </w:r>
      <w:r w:rsidR="00961388">
        <w:rPr>
          <w:lang w:val="fr-CH"/>
        </w:rPr>
        <w:t>’</w:t>
      </w:r>
      <w:r w:rsidRPr="00961388">
        <w:rPr>
          <w:lang w:val="fr-CH"/>
        </w:rPr>
        <w:t>enfant employé</w:t>
      </w:r>
      <w:r w:rsidR="000C6AAB">
        <w:rPr>
          <w:rStyle w:val="FootnoteReference"/>
          <w:lang w:val="fr-CH"/>
        </w:rPr>
        <w:footnoteReference w:id="19"/>
      </w:r>
      <w:r w:rsidRPr="00961388">
        <w:rPr>
          <w:lang w:val="fr-CH"/>
        </w:rPr>
        <w:t>, sous réserve de dispositions spéciales.</w:t>
      </w:r>
    </w:p>
    <w:p w:rsidR="00570B62" w:rsidRPr="00961388" w:rsidRDefault="00570B62" w:rsidP="00F54CE5">
      <w:pPr>
        <w:pStyle w:val="SingleTxtG"/>
        <w:rPr>
          <w:lang w:val="fr-CH"/>
        </w:rPr>
      </w:pPr>
      <w:r w:rsidRPr="00961388">
        <w:rPr>
          <w:lang w:val="fr-CH"/>
        </w:rPr>
        <w:t>164.</w:t>
      </w:r>
      <w:r w:rsidRPr="00961388">
        <w:rPr>
          <w:lang w:val="fr-CH"/>
        </w:rPr>
        <w:tab/>
        <w:t>Aussi, toute personne qui utilise un enfant âgé de moins de dix-huit ans pour la mendicité est punie d</w:t>
      </w:r>
      <w:r w:rsidR="00961388">
        <w:rPr>
          <w:lang w:val="fr-CH"/>
        </w:rPr>
        <w:t>’</w:t>
      </w:r>
      <w:r w:rsidRPr="00961388">
        <w:rPr>
          <w:lang w:val="fr-CH"/>
        </w:rPr>
        <w:t>un an de prison. La peine est portée au double si cet emploi se fait sous forme de groupes organisés</w:t>
      </w:r>
      <w:r w:rsidR="000C6AAB">
        <w:rPr>
          <w:rStyle w:val="FootnoteReference"/>
          <w:lang w:val="fr-CH"/>
        </w:rPr>
        <w:footnoteReference w:id="20"/>
      </w:r>
      <w:r w:rsidRPr="00961388">
        <w:rPr>
          <w:lang w:val="fr-CH"/>
        </w:rPr>
        <w:t xml:space="preserve">. </w:t>
      </w:r>
    </w:p>
    <w:p w:rsidR="00570B62" w:rsidRPr="00961388" w:rsidRDefault="00570B62" w:rsidP="00F54CE5">
      <w:pPr>
        <w:pStyle w:val="SingleTxtG"/>
        <w:rPr>
          <w:lang w:val="fr-CH"/>
        </w:rPr>
      </w:pPr>
      <w:r w:rsidRPr="00961388">
        <w:rPr>
          <w:lang w:val="fr-CH"/>
        </w:rPr>
        <w:t>165.</w:t>
      </w:r>
      <w:r w:rsidRPr="00961388">
        <w:rPr>
          <w:lang w:val="fr-CH"/>
        </w:rPr>
        <w:tab/>
        <w:t>La mendicité est interdite, le décret du 3 avril 1939 prévoit des peines à l</w:t>
      </w:r>
      <w:r w:rsidR="00961388">
        <w:rPr>
          <w:lang w:val="fr-CH"/>
        </w:rPr>
        <w:t>’</w:t>
      </w:r>
      <w:r w:rsidRPr="00961388">
        <w:rPr>
          <w:lang w:val="fr-CH"/>
        </w:rPr>
        <w:t>encontre de celui qui se livre à la mendicité en vue d</w:t>
      </w:r>
      <w:r w:rsidR="00961388">
        <w:rPr>
          <w:lang w:val="fr-CH"/>
        </w:rPr>
        <w:t>’</w:t>
      </w:r>
      <w:r w:rsidRPr="00961388">
        <w:rPr>
          <w:lang w:val="fr-CH"/>
        </w:rPr>
        <w:t>obtenir l</w:t>
      </w:r>
      <w:r w:rsidR="00961388">
        <w:rPr>
          <w:lang w:val="fr-CH"/>
        </w:rPr>
        <w:t>’</w:t>
      </w:r>
      <w:r w:rsidRPr="00961388">
        <w:rPr>
          <w:lang w:val="fr-CH"/>
        </w:rPr>
        <w:t>aumône.</w:t>
      </w:r>
    </w:p>
    <w:p w:rsidR="00570B62" w:rsidRPr="00961388" w:rsidRDefault="00570B62" w:rsidP="00F54CE5">
      <w:pPr>
        <w:pStyle w:val="SingleTxtG"/>
        <w:rPr>
          <w:lang w:val="fr-CH"/>
        </w:rPr>
      </w:pPr>
      <w:r w:rsidRPr="00961388">
        <w:rPr>
          <w:lang w:val="fr-CH"/>
        </w:rPr>
        <w:t>166.</w:t>
      </w:r>
      <w:r w:rsidRPr="00961388">
        <w:rPr>
          <w:lang w:val="fr-CH"/>
        </w:rPr>
        <w:tab/>
        <w:t>Les travailleurs, hommes, femmes, enfants, ou étrangers, ne peuvent être licenciés par l</w:t>
      </w:r>
      <w:r w:rsidR="00961388">
        <w:rPr>
          <w:lang w:val="fr-CH"/>
        </w:rPr>
        <w:t>’</w:t>
      </w:r>
      <w:r w:rsidRPr="00961388">
        <w:rPr>
          <w:lang w:val="fr-CH"/>
        </w:rPr>
        <w:t>employeur que si les causes du licenciement sont indiquées dans une lettre de préavis. Est considéré abusif le licenciement intervenu sans l</w:t>
      </w:r>
      <w:r w:rsidR="00961388">
        <w:rPr>
          <w:lang w:val="fr-CH"/>
        </w:rPr>
        <w:t>’</w:t>
      </w:r>
      <w:r w:rsidRPr="00961388">
        <w:rPr>
          <w:lang w:val="fr-CH"/>
        </w:rPr>
        <w:t>existence d</w:t>
      </w:r>
      <w:r w:rsidR="00961388">
        <w:rPr>
          <w:lang w:val="fr-CH"/>
        </w:rPr>
        <w:t>’</w:t>
      </w:r>
      <w:r w:rsidRPr="00961388">
        <w:rPr>
          <w:lang w:val="fr-CH"/>
        </w:rPr>
        <w:t>une cause réelle et sérieuse le justifiant ou sans respect des procédures légales, réglementaires ou conventionnelles</w:t>
      </w:r>
      <w:r w:rsidR="001E3A4A">
        <w:rPr>
          <w:rStyle w:val="FootnoteReference"/>
          <w:lang w:val="fr-CH"/>
        </w:rPr>
        <w:footnoteReference w:id="21"/>
      </w:r>
      <w:r w:rsidRPr="00961388">
        <w:rPr>
          <w:lang w:val="fr-CH"/>
        </w:rPr>
        <w:t>.</w:t>
      </w:r>
    </w:p>
    <w:p w:rsidR="00570B62" w:rsidRPr="00961388" w:rsidRDefault="00570B62" w:rsidP="00F54CE5">
      <w:pPr>
        <w:pStyle w:val="SingleTxtG"/>
        <w:rPr>
          <w:lang w:val="fr-CH"/>
        </w:rPr>
      </w:pPr>
      <w:r w:rsidRPr="00961388">
        <w:rPr>
          <w:lang w:val="fr-CH"/>
        </w:rPr>
        <w:t>167.</w:t>
      </w:r>
      <w:r w:rsidRPr="00961388">
        <w:rPr>
          <w:lang w:val="fr-CH"/>
        </w:rPr>
        <w:tab/>
        <w:t>La rupture abusive du contrat du travail par l</w:t>
      </w:r>
      <w:r w:rsidR="00961388">
        <w:rPr>
          <w:lang w:val="fr-CH"/>
        </w:rPr>
        <w:t>’</w:t>
      </w:r>
      <w:r w:rsidRPr="00961388">
        <w:rPr>
          <w:lang w:val="fr-CH"/>
        </w:rPr>
        <w:t>employeur ouvre droit à des dommages-intérêts</w:t>
      </w:r>
      <w:r w:rsidR="001E3A4A">
        <w:rPr>
          <w:rStyle w:val="FootnoteReference"/>
          <w:lang w:val="fr-CH"/>
        </w:rPr>
        <w:footnoteReference w:id="22"/>
      </w:r>
      <w:r w:rsidRPr="00961388">
        <w:rPr>
          <w:lang w:val="fr-CH"/>
        </w:rPr>
        <w:t>.</w:t>
      </w:r>
    </w:p>
    <w:p w:rsidR="00570B62" w:rsidRPr="00961388" w:rsidRDefault="00570B62" w:rsidP="00F54CE5">
      <w:pPr>
        <w:pStyle w:val="SingleTxtG"/>
        <w:rPr>
          <w:lang w:val="fr-CH"/>
        </w:rPr>
      </w:pPr>
      <w:r w:rsidRPr="00961388">
        <w:rPr>
          <w:lang w:val="fr-CH"/>
        </w:rPr>
        <w:t>168.</w:t>
      </w:r>
      <w:r w:rsidRPr="00961388">
        <w:rPr>
          <w:lang w:val="fr-CH"/>
        </w:rPr>
        <w:tab/>
        <w:t>Pour empêcher toute servitude de quelque nature qu</w:t>
      </w:r>
      <w:r w:rsidR="00961388">
        <w:rPr>
          <w:lang w:val="fr-CH"/>
        </w:rPr>
        <w:t>’</w:t>
      </w:r>
      <w:r w:rsidRPr="00961388">
        <w:rPr>
          <w:lang w:val="fr-CH"/>
        </w:rPr>
        <w:t>elle soit, les heures supplémentaires de travail effectuées au-delà de la durée normale sont rémunérées</w:t>
      </w:r>
      <w:r w:rsidR="001E3A4A">
        <w:rPr>
          <w:rStyle w:val="FootnoteReference"/>
          <w:lang w:val="fr-CH"/>
        </w:rPr>
        <w:footnoteReference w:id="23"/>
      </w:r>
      <w:r w:rsidRPr="00961388">
        <w:rPr>
          <w:lang w:val="fr-CH"/>
        </w:rPr>
        <w:t>. Les employeurs sont tenus de donner, sous réserve de dérogations spéciales, un repos hebdomadaire de vingt-quatre heures consécutives</w:t>
      </w:r>
      <w:r w:rsidR="001E3A4A">
        <w:rPr>
          <w:rStyle w:val="FootnoteReference"/>
          <w:lang w:val="fr-CH"/>
        </w:rPr>
        <w:footnoteReference w:id="24"/>
      </w:r>
      <w:r w:rsidRPr="00961388">
        <w:rPr>
          <w:lang w:val="fr-CH"/>
        </w:rPr>
        <w:t>.</w:t>
      </w:r>
    </w:p>
    <w:p w:rsidR="00570B62" w:rsidRPr="00961388" w:rsidRDefault="00570B62" w:rsidP="00F54CE5">
      <w:pPr>
        <w:pStyle w:val="SingleTxtG"/>
        <w:rPr>
          <w:lang w:val="fr-CH"/>
        </w:rPr>
      </w:pPr>
      <w:r w:rsidRPr="00961388">
        <w:rPr>
          <w:lang w:val="fr-CH"/>
        </w:rPr>
        <w:t>169.</w:t>
      </w:r>
      <w:r w:rsidRPr="00961388">
        <w:rPr>
          <w:lang w:val="fr-CH"/>
        </w:rPr>
        <w:tab/>
        <w:t>Tout salarié a droit aux jours fériés, chômés et payés, dans les activités où le travail ne peut être interrompu. Les salariés occupés pendant ces journées ont droit, à la charge de leur employeur et en plus du salaire correspondant au travail effectué, à une indemnité égale au montant de ce salaire. Cette dérogation ne s</w:t>
      </w:r>
      <w:r w:rsidR="00961388">
        <w:rPr>
          <w:lang w:val="fr-CH"/>
        </w:rPr>
        <w:t>’</w:t>
      </w:r>
      <w:r w:rsidRPr="00961388">
        <w:rPr>
          <w:lang w:val="fr-CH"/>
        </w:rPr>
        <w:t>applique pas aux femmes et aux enfants de moins de huit ans</w:t>
      </w:r>
      <w:r w:rsidR="001E3A4A">
        <w:rPr>
          <w:rStyle w:val="FootnoteReference"/>
          <w:lang w:val="fr-CH"/>
        </w:rPr>
        <w:footnoteReference w:id="25"/>
      </w:r>
      <w:r w:rsidRPr="00961388">
        <w:rPr>
          <w:lang w:val="fr-CH"/>
        </w:rPr>
        <w:t>.</w:t>
      </w:r>
    </w:p>
    <w:p w:rsidR="00570B62" w:rsidRPr="00961388" w:rsidRDefault="00570B62" w:rsidP="00F54CE5">
      <w:pPr>
        <w:pStyle w:val="SingleTxtG"/>
        <w:rPr>
          <w:lang w:val="fr-CH"/>
        </w:rPr>
      </w:pPr>
      <w:r w:rsidRPr="00961388">
        <w:rPr>
          <w:lang w:val="fr-CH"/>
        </w:rPr>
        <w:t>170.</w:t>
      </w:r>
      <w:r w:rsidRPr="00961388">
        <w:rPr>
          <w:lang w:val="fr-CH"/>
        </w:rPr>
        <w:tab/>
        <w:t>Les travailleurs ont droit chaque année, à un congé payé à la charge de l</w:t>
      </w:r>
      <w:r w:rsidR="00961388">
        <w:rPr>
          <w:lang w:val="fr-CH"/>
        </w:rPr>
        <w:t>’</w:t>
      </w:r>
      <w:r w:rsidRPr="00961388">
        <w:rPr>
          <w:lang w:val="fr-CH"/>
        </w:rPr>
        <w:t>employeur</w:t>
      </w:r>
      <w:r w:rsidR="001E3A4A">
        <w:rPr>
          <w:rStyle w:val="FootnoteReference"/>
          <w:lang w:val="fr-CH"/>
        </w:rPr>
        <w:footnoteReference w:id="26"/>
      </w:r>
      <w:r w:rsidRPr="00961388">
        <w:rPr>
          <w:lang w:val="fr-CH"/>
        </w:rPr>
        <w:t>.</w:t>
      </w:r>
    </w:p>
    <w:p w:rsidR="00570B62" w:rsidRPr="00961388" w:rsidRDefault="00570B62" w:rsidP="00F54CE5">
      <w:pPr>
        <w:pStyle w:val="SingleTxtG"/>
        <w:rPr>
          <w:lang w:val="fr-CH"/>
        </w:rPr>
      </w:pPr>
      <w:r w:rsidRPr="00961388">
        <w:rPr>
          <w:lang w:val="fr-CH"/>
        </w:rPr>
        <w:t>171.</w:t>
      </w:r>
      <w:r w:rsidRPr="00961388">
        <w:rPr>
          <w:lang w:val="fr-CH"/>
        </w:rPr>
        <w:tab/>
        <w:t>La rémunération des travailleurs est déterminée, soit par accord direct entre les parties, soit par voie de convention collective, dans le respect du salaire minimum garanti fixé par décret</w:t>
      </w:r>
      <w:r w:rsidR="001E3A4A">
        <w:rPr>
          <w:rStyle w:val="FootnoteReference"/>
          <w:lang w:val="fr-CH"/>
        </w:rPr>
        <w:footnoteReference w:id="27"/>
      </w:r>
      <w:r w:rsidRPr="00961388">
        <w:rPr>
          <w:lang w:val="fr-CH"/>
        </w:rPr>
        <w:t>.</w:t>
      </w:r>
    </w:p>
    <w:p w:rsidR="00570B62" w:rsidRPr="00961388" w:rsidRDefault="00570B62" w:rsidP="00F54CE5">
      <w:pPr>
        <w:pStyle w:val="SingleTxtG"/>
        <w:rPr>
          <w:lang w:val="fr-CH"/>
        </w:rPr>
      </w:pPr>
      <w:r w:rsidRPr="00961388">
        <w:rPr>
          <w:lang w:val="fr-CH"/>
        </w:rPr>
        <w:t>172.</w:t>
      </w:r>
      <w:r w:rsidRPr="00961388">
        <w:rPr>
          <w:lang w:val="fr-CH"/>
        </w:rPr>
        <w:tab/>
        <w:t>L</w:t>
      </w:r>
      <w:r w:rsidR="00961388">
        <w:rPr>
          <w:lang w:val="fr-CH"/>
        </w:rPr>
        <w:t>’</w:t>
      </w:r>
      <w:r w:rsidRPr="00961388">
        <w:rPr>
          <w:lang w:val="fr-CH"/>
        </w:rPr>
        <w:t>inspection du travail est chargé de veiller à l</w:t>
      </w:r>
      <w:r w:rsidR="00961388">
        <w:rPr>
          <w:lang w:val="fr-CH"/>
        </w:rPr>
        <w:t>’</w:t>
      </w:r>
      <w:r w:rsidRPr="00961388">
        <w:rPr>
          <w:lang w:val="fr-CH"/>
        </w:rPr>
        <w:t>application des dispositions légales, réglementaires et conventionnelles organisant les relations du travail et prescrire le cas échéant des mesures destinées à éliminer les déficiences ou abus</w:t>
      </w:r>
      <w:r w:rsidR="001E3A4A">
        <w:rPr>
          <w:rStyle w:val="FootnoteReference"/>
          <w:lang w:val="fr-CH"/>
        </w:rPr>
        <w:footnoteReference w:id="28"/>
      </w:r>
      <w:r w:rsidRPr="00961388">
        <w:rPr>
          <w:lang w:val="fr-CH"/>
        </w:rPr>
        <w:t>. Elle doit porter à l</w:t>
      </w:r>
      <w:r w:rsidR="00961388">
        <w:rPr>
          <w:lang w:val="fr-CH"/>
        </w:rPr>
        <w:t>’</w:t>
      </w:r>
      <w:r w:rsidRPr="00961388">
        <w:rPr>
          <w:lang w:val="fr-CH"/>
        </w:rPr>
        <w:t>attention des autorités compétentes toute</w:t>
      </w:r>
      <w:r w:rsidR="001E3A4A">
        <w:rPr>
          <w:lang w:val="fr-CH"/>
        </w:rPr>
        <w:t xml:space="preserve"> infraction à ces dispositions.</w:t>
      </w:r>
    </w:p>
    <w:p w:rsidR="00570B62" w:rsidRPr="00961388" w:rsidRDefault="00570B62" w:rsidP="00F54CE5">
      <w:pPr>
        <w:pStyle w:val="SingleTxtG"/>
        <w:rPr>
          <w:lang w:val="fr-CH"/>
        </w:rPr>
      </w:pPr>
      <w:r w:rsidRPr="00961388">
        <w:rPr>
          <w:lang w:val="fr-CH"/>
        </w:rPr>
        <w:t>173.</w:t>
      </w:r>
      <w:r w:rsidRPr="00961388">
        <w:rPr>
          <w:lang w:val="fr-CH"/>
        </w:rPr>
        <w:tab/>
        <w:t>Par ailleurs, tout employeur est tenu de prendre les mesures nécessaires et appropriées pour la protection des travailleurs et la préventi</w:t>
      </w:r>
      <w:r w:rsidR="009D78BE">
        <w:rPr>
          <w:lang w:val="fr-CH"/>
        </w:rPr>
        <w:t>on des risques professionnels. À</w:t>
      </w:r>
      <w:r w:rsidRPr="00961388">
        <w:rPr>
          <w:lang w:val="fr-CH"/>
        </w:rPr>
        <w:t xml:space="preserve"> cet égard, il est institué un régime de réparation des préjudices résultant des accidents du travail et des maladies professionnelles au profit des victimes ou de leurs ayant</w:t>
      </w:r>
      <w:r w:rsidRPr="00961388">
        <w:rPr>
          <w:rtl/>
          <w:lang w:val="fr-CH"/>
        </w:rPr>
        <w:t>-</w:t>
      </w:r>
      <w:r w:rsidRPr="00961388">
        <w:rPr>
          <w:lang w:val="fr-CH"/>
        </w:rPr>
        <w:t>droit</w:t>
      </w:r>
      <w:r w:rsidR="001E3A4A">
        <w:rPr>
          <w:rStyle w:val="FootnoteReference"/>
          <w:lang w:val="fr-CH"/>
        </w:rPr>
        <w:footnoteReference w:id="29"/>
      </w:r>
      <w:r w:rsidRPr="00961388">
        <w:rPr>
          <w:lang w:val="fr-CH"/>
        </w:rPr>
        <w:t>.</w:t>
      </w:r>
    </w:p>
    <w:p w:rsidR="00570B62" w:rsidRPr="00961388" w:rsidRDefault="00570B62" w:rsidP="00F54CE5">
      <w:pPr>
        <w:pStyle w:val="SingleTxtG"/>
        <w:rPr>
          <w:lang w:val="fr-CH"/>
        </w:rPr>
      </w:pPr>
      <w:r w:rsidRPr="00961388">
        <w:rPr>
          <w:lang w:val="fr-CH"/>
        </w:rPr>
        <w:t>174.</w:t>
      </w:r>
      <w:r w:rsidRPr="00961388">
        <w:rPr>
          <w:lang w:val="fr-CH"/>
        </w:rPr>
        <w:tab/>
        <w:t>Il convient de signaler que les travailleurs bénéficiaient déjà, quelques années après l</w:t>
      </w:r>
      <w:r w:rsidR="00961388">
        <w:rPr>
          <w:lang w:val="fr-CH"/>
        </w:rPr>
        <w:t>’</w:t>
      </w:r>
      <w:r w:rsidRPr="00961388">
        <w:rPr>
          <w:lang w:val="fr-CH"/>
        </w:rPr>
        <w:t>indépendance, des régimes de sécurité sociale, destinés à les protéger ainsi que leur famille contre les risques, susceptibles d</w:t>
      </w:r>
      <w:r w:rsidR="00961388">
        <w:rPr>
          <w:lang w:val="fr-CH"/>
        </w:rPr>
        <w:t>’</w:t>
      </w:r>
      <w:r w:rsidRPr="00961388">
        <w:rPr>
          <w:lang w:val="fr-CH"/>
        </w:rPr>
        <w:t>affecter les conditions matérielles et morales</w:t>
      </w:r>
      <w:r w:rsidR="001E3A4A">
        <w:rPr>
          <w:rStyle w:val="FootnoteReference"/>
          <w:lang w:val="fr-CH"/>
        </w:rPr>
        <w:footnoteReference w:id="30"/>
      </w:r>
      <w:r w:rsidRPr="00961388">
        <w:rPr>
          <w:lang w:val="fr-CH"/>
        </w:rPr>
        <w:t>. Le salarié affilié à ce régime bénéficie, entre autres, des prestations familiales, de l</w:t>
      </w:r>
      <w:r w:rsidR="00961388">
        <w:rPr>
          <w:lang w:val="fr-CH"/>
        </w:rPr>
        <w:t>’</w:t>
      </w:r>
      <w:r w:rsidRPr="00961388">
        <w:rPr>
          <w:lang w:val="fr-CH"/>
        </w:rPr>
        <w:t>octroi des soins, et surtout du droit de percevoir une retraite lorsqu</w:t>
      </w:r>
      <w:r w:rsidR="00961388">
        <w:rPr>
          <w:lang w:val="fr-CH"/>
        </w:rPr>
        <w:t>’</w:t>
      </w:r>
      <w:r w:rsidRPr="00961388">
        <w:rPr>
          <w:lang w:val="fr-CH"/>
        </w:rPr>
        <w:t>il atteint l</w:t>
      </w:r>
      <w:r w:rsidR="00961388">
        <w:rPr>
          <w:lang w:val="fr-CH"/>
        </w:rPr>
        <w:t>’</w:t>
      </w:r>
      <w:r w:rsidRPr="00961388">
        <w:rPr>
          <w:lang w:val="fr-CH"/>
        </w:rPr>
        <w:t>âge légal de la retraite.</w:t>
      </w:r>
    </w:p>
    <w:p w:rsidR="00570B62" w:rsidRPr="00961388" w:rsidRDefault="00F54CE5" w:rsidP="00F54CE5">
      <w:pPr>
        <w:pStyle w:val="H4G"/>
        <w:rPr>
          <w:lang w:val="fr-CH"/>
        </w:rPr>
      </w:pPr>
      <w:r>
        <w:rPr>
          <w:lang w:val="fr-CH"/>
        </w:rPr>
        <w:tab/>
        <w:t>3.</w:t>
      </w:r>
      <w:r>
        <w:rPr>
          <w:lang w:val="fr-CH"/>
        </w:rPr>
        <w:tab/>
      </w:r>
      <w:r w:rsidR="00570B62" w:rsidRPr="00961388">
        <w:rPr>
          <w:lang w:val="fr-CH"/>
        </w:rPr>
        <w:t>Informations sur les mesures prises pour assurer une formation spécialisée en matière de traite aux membres de la police, aux gardes des frontières, aux avocats et au personnel judiciaire, et donner des renseignements sur l</w:t>
      </w:r>
      <w:r w:rsidR="00961388">
        <w:rPr>
          <w:lang w:val="fr-CH"/>
        </w:rPr>
        <w:t>’</w:t>
      </w:r>
      <w:r w:rsidR="00570B62" w:rsidRPr="00961388">
        <w:rPr>
          <w:lang w:val="fr-CH"/>
        </w:rPr>
        <w:t>efficacité de ces mesures</w:t>
      </w:r>
    </w:p>
    <w:p w:rsidR="00570B62" w:rsidRPr="00961388" w:rsidRDefault="00570B62" w:rsidP="00F54CE5">
      <w:pPr>
        <w:pStyle w:val="SingleTxtG"/>
        <w:rPr>
          <w:lang w:val="fr-CH"/>
        </w:rPr>
      </w:pPr>
      <w:r w:rsidRPr="00961388">
        <w:rPr>
          <w:lang w:val="fr-CH"/>
        </w:rPr>
        <w:t>175.</w:t>
      </w:r>
      <w:r w:rsidRPr="00961388">
        <w:rPr>
          <w:lang w:val="fr-CH"/>
        </w:rPr>
        <w:tab/>
        <w:t>Les</w:t>
      </w:r>
      <w:r w:rsidRPr="00961388">
        <w:rPr>
          <w:rtl/>
          <w:lang w:val="fr-CH"/>
        </w:rPr>
        <w:t xml:space="preserve"> </w:t>
      </w:r>
      <w:r w:rsidRPr="00961388">
        <w:rPr>
          <w:lang w:val="fr-CH"/>
        </w:rPr>
        <w:t>établissements spécialisés chargés de la formation des agents de l</w:t>
      </w:r>
      <w:r w:rsidR="00961388">
        <w:rPr>
          <w:lang w:val="fr-CH"/>
        </w:rPr>
        <w:t>’</w:t>
      </w:r>
      <w:r w:rsidRPr="00961388">
        <w:rPr>
          <w:lang w:val="fr-CH"/>
        </w:rPr>
        <w:t>État (Institut supérieur de la magistrature, École supérieure des agents de l</w:t>
      </w:r>
      <w:r w:rsidR="00961388">
        <w:rPr>
          <w:lang w:val="fr-CH"/>
        </w:rPr>
        <w:t>’</w:t>
      </w:r>
      <w:r w:rsidRPr="00961388">
        <w:rPr>
          <w:lang w:val="fr-CH"/>
        </w:rPr>
        <w:t>administration pénitentiaire, École supérieure des agents de la sûreté nationale et l</w:t>
      </w:r>
      <w:r w:rsidR="00961388">
        <w:rPr>
          <w:lang w:val="fr-CH"/>
        </w:rPr>
        <w:t>’</w:t>
      </w:r>
      <w:r w:rsidRPr="00961388">
        <w:rPr>
          <w:lang w:val="fr-CH"/>
        </w:rPr>
        <w:t>Institut supérieur des avocats) dispensent tous un enseignement en rapport avec les droits de l</w:t>
      </w:r>
      <w:r w:rsidR="00961388">
        <w:rPr>
          <w:lang w:val="fr-CH"/>
        </w:rPr>
        <w:t>’</w:t>
      </w:r>
      <w:r w:rsidRPr="00961388">
        <w:rPr>
          <w:lang w:val="fr-CH"/>
        </w:rPr>
        <w:t xml:space="preserve">homme, les libertés fondamentales et la lutte contre la criminalité sous toutes ses formes. </w:t>
      </w:r>
    </w:p>
    <w:p w:rsidR="00570B62" w:rsidRPr="00961388" w:rsidRDefault="00570B62" w:rsidP="00F54CE5">
      <w:pPr>
        <w:pStyle w:val="SingleTxtG"/>
        <w:rPr>
          <w:lang w:val="fr-CH"/>
        </w:rPr>
      </w:pPr>
      <w:r w:rsidRPr="00961388">
        <w:rPr>
          <w:lang w:val="fr-CH"/>
        </w:rPr>
        <w:t>176.</w:t>
      </w:r>
      <w:r w:rsidRPr="00961388">
        <w:rPr>
          <w:lang w:val="fr-CH"/>
        </w:rPr>
        <w:tab/>
        <w:t>S</w:t>
      </w:r>
      <w:r w:rsidR="00961388">
        <w:rPr>
          <w:lang w:val="fr-CH"/>
        </w:rPr>
        <w:t>’</w:t>
      </w:r>
      <w:r w:rsidRPr="00961388">
        <w:rPr>
          <w:lang w:val="fr-CH"/>
        </w:rPr>
        <w:t>agissant de la formation continue des magistrats en exercice, l</w:t>
      </w:r>
      <w:r w:rsidR="00961388">
        <w:rPr>
          <w:lang w:val="fr-CH"/>
        </w:rPr>
        <w:t>’</w:t>
      </w:r>
      <w:r w:rsidRPr="00961388">
        <w:rPr>
          <w:lang w:val="fr-CH"/>
        </w:rPr>
        <w:t xml:space="preserve">Institut supérieur de la magistrature organise des colloques et des symposiums portant sur des thèmes tels que </w:t>
      </w:r>
      <w:r w:rsidR="00961388">
        <w:rPr>
          <w:lang w:val="fr-CH"/>
        </w:rPr>
        <w:t>«</w:t>
      </w:r>
      <w:r w:rsidRPr="00961388">
        <w:rPr>
          <w:lang w:val="fr-CH"/>
        </w:rPr>
        <w:t>les droits de la victime, les droits de l</w:t>
      </w:r>
      <w:r w:rsidR="00961388">
        <w:rPr>
          <w:lang w:val="fr-CH"/>
        </w:rPr>
        <w:t>’</w:t>
      </w:r>
      <w:r w:rsidRPr="00961388">
        <w:rPr>
          <w:lang w:val="fr-CH"/>
        </w:rPr>
        <w:t>homme, le pouvoir judiciaire et les droits de l</w:t>
      </w:r>
      <w:r w:rsidR="00961388">
        <w:rPr>
          <w:lang w:val="fr-CH"/>
        </w:rPr>
        <w:t>’</w:t>
      </w:r>
      <w:r w:rsidRPr="00961388">
        <w:rPr>
          <w:lang w:val="fr-CH"/>
        </w:rPr>
        <w:t>homme, les droits de l</w:t>
      </w:r>
      <w:r w:rsidR="00961388">
        <w:rPr>
          <w:lang w:val="fr-CH"/>
        </w:rPr>
        <w:t>’</w:t>
      </w:r>
      <w:r w:rsidRPr="00961388">
        <w:rPr>
          <w:lang w:val="fr-CH"/>
        </w:rPr>
        <w:t>homme en droit tunisien, le Conseil constitutionnel, le juge pénal et les droits de l</w:t>
      </w:r>
      <w:r w:rsidR="00961388">
        <w:rPr>
          <w:lang w:val="fr-CH"/>
        </w:rPr>
        <w:t>’</w:t>
      </w:r>
      <w:r w:rsidRPr="00961388">
        <w:rPr>
          <w:lang w:val="fr-CH"/>
        </w:rPr>
        <w:t>homme, la Tunisie et les droits de l</w:t>
      </w:r>
      <w:r w:rsidR="00961388">
        <w:rPr>
          <w:lang w:val="fr-CH"/>
        </w:rPr>
        <w:t>’</w:t>
      </w:r>
      <w:r w:rsidRPr="00961388">
        <w:rPr>
          <w:lang w:val="fr-CH"/>
        </w:rPr>
        <w:t>homme, la femme et la loi, la femme et la modernité, l</w:t>
      </w:r>
      <w:r w:rsidR="00961388">
        <w:rPr>
          <w:lang w:val="fr-CH"/>
        </w:rPr>
        <w:t>’</w:t>
      </w:r>
      <w:r w:rsidRPr="00961388">
        <w:rPr>
          <w:lang w:val="fr-CH"/>
        </w:rPr>
        <w:t>aide judiciaire, les mécanismes de protection de l</w:t>
      </w:r>
      <w:r w:rsidR="00961388">
        <w:rPr>
          <w:lang w:val="fr-CH"/>
        </w:rPr>
        <w:t>’</w:t>
      </w:r>
      <w:r w:rsidRPr="00961388">
        <w:rPr>
          <w:lang w:val="fr-CH"/>
        </w:rPr>
        <w:t>enfant en droit tunisien, les droits de la famille dans le Code du droit international privé, …..».</w:t>
      </w:r>
    </w:p>
    <w:p w:rsidR="00570B62" w:rsidRPr="00961388" w:rsidRDefault="00570B62" w:rsidP="00F54CE5">
      <w:pPr>
        <w:pStyle w:val="SingleTxtG"/>
        <w:rPr>
          <w:lang w:val="fr-CH"/>
        </w:rPr>
      </w:pPr>
      <w:r w:rsidRPr="00961388">
        <w:rPr>
          <w:lang w:val="fr-CH"/>
        </w:rPr>
        <w:t>177.</w:t>
      </w:r>
      <w:r w:rsidRPr="00961388">
        <w:rPr>
          <w:lang w:val="fr-CH"/>
        </w:rPr>
        <w:tab/>
        <w:t>En outre, et dans le cadre de la coopération entre le Ministère de la justice et des droits de l</w:t>
      </w:r>
      <w:r w:rsidR="00961388">
        <w:rPr>
          <w:lang w:val="fr-CH"/>
        </w:rPr>
        <w:t>’</w:t>
      </w:r>
      <w:r w:rsidRPr="00961388">
        <w:rPr>
          <w:lang w:val="fr-CH"/>
        </w:rPr>
        <w:t>homme et les Instituts régionaux et internationaux spécialisés en matière des droits de l</w:t>
      </w:r>
      <w:r w:rsidR="00961388">
        <w:rPr>
          <w:lang w:val="fr-CH"/>
        </w:rPr>
        <w:t>’</w:t>
      </w:r>
      <w:r w:rsidRPr="00961388">
        <w:rPr>
          <w:lang w:val="fr-CH"/>
        </w:rPr>
        <w:t>homme (Institut Arabe des DH, Institut «Wellenbourg des droits humains</w:t>
      </w:r>
      <w:r w:rsidR="00961388">
        <w:rPr>
          <w:lang w:val="fr-CH"/>
        </w:rPr>
        <w:t>»</w:t>
      </w:r>
      <w:r w:rsidRPr="00961388">
        <w:rPr>
          <w:lang w:val="fr-CH"/>
        </w:rPr>
        <w:t xml:space="preserve"> et </w:t>
      </w:r>
      <w:r w:rsidR="00961388">
        <w:rPr>
          <w:lang w:val="fr-CH"/>
        </w:rPr>
        <w:t>«</w:t>
      </w:r>
      <w:r w:rsidRPr="00961388">
        <w:rPr>
          <w:i/>
          <w:iCs/>
          <w:lang w:val="fr-CH"/>
        </w:rPr>
        <w:t>The</w:t>
      </w:r>
      <w:r w:rsidRPr="00961388">
        <w:rPr>
          <w:lang w:val="fr-CH"/>
        </w:rPr>
        <w:t xml:space="preserve"> </w:t>
      </w:r>
      <w:r w:rsidRPr="00961388">
        <w:rPr>
          <w:i/>
          <w:iCs/>
          <w:lang w:val="fr-CH"/>
        </w:rPr>
        <w:t>United Nations Asia and Far East Institute for the Prevention of Crime and the Treatment of Offenders</w:t>
      </w:r>
      <w:r w:rsidR="00961388">
        <w:rPr>
          <w:i/>
          <w:iCs/>
          <w:lang w:val="fr-CH"/>
        </w:rPr>
        <w:t>»</w:t>
      </w:r>
      <w:r w:rsidRPr="00961388">
        <w:rPr>
          <w:lang w:val="fr-CH"/>
        </w:rPr>
        <w:t xml:space="preserve"> (UNAFEI), plusieurs magistrats ont pu participer à des stages et sessions de formation dans ce domaine que se soit en Tunisie ou ailleurs (Suède, Liban, Jordanie, et Japon). C</w:t>
      </w:r>
      <w:r w:rsidR="00961388">
        <w:rPr>
          <w:lang w:val="fr-CH"/>
        </w:rPr>
        <w:t>’</w:t>
      </w:r>
      <w:r w:rsidRPr="00961388">
        <w:rPr>
          <w:lang w:val="fr-CH"/>
        </w:rPr>
        <w:t>est ainsi qu</w:t>
      </w:r>
      <w:r w:rsidR="00961388">
        <w:rPr>
          <w:lang w:val="fr-CH"/>
        </w:rPr>
        <w:t>’</w:t>
      </w:r>
      <w:r w:rsidRPr="00961388">
        <w:rPr>
          <w:lang w:val="fr-CH"/>
        </w:rPr>
        <w:t>une trentaine de magistrats tunisiens ont participé à côté d</w:t>
      </w:r>
      <w:r w:rsidR="00961388">
        <w:rPr>
          <w:lang w:val="fr-CH"/>
        </w:rPr>
        <w:t>’</w:t>
      </w:r>
      <w:r w:rsidRPr="00961388">
        <w:rPr>
          <w:lang w:val="fr-CH"/>
        </w:rPr>
        <w:t>autres collègues de différents pays arabes, à trois formations sur les principaux instruments internationaux des droits de l</w:t>
      </w:r>
      <w:r w:rsidR="00961388">
        <w:rPr>
          <w:lang w:val="fr-CH"/>
        </w:rPr>
        <w:t>’</w:t>
      </w:r>
      <w:r w:rsidRPr="00961388">
        <w:rPr>
          <w:lang w:val="fr-CH"/>
        </w:rPr>
        <w:t>homme ainsi que sur les mécanismes conventionnels et non conventionnels chargés de veiller au respect des normes et dispositions internationales en la matière.</w:t>
      </w:r>
    </w:p>
    <w:p w:rsidR="00570B62" w:rsidRPr="00961388" w:rsidRDefault="00570B62" w:rsidP="00F54CE5">
      <w:pPr>
        <w:pStyle w:val="SingleTxtG"/>
        <w:rPr>
          <w:lang w:val="fr-CH"/>
        </w:rPr>
      </w:pPr>
      <w:r w:rsidRPr="00961388">
        <w:rPr>
          <w:lang w:val="fr-CH"/>
        </w:rPr>
        <w:t>178.</w:t>
      </w:r>
      <w:r w:rsidRPr="00961388">
        <w:rPr>
          <w:lang w:val="fr-CH"/>
        </w:rPr>
        <w:tab/>
        <w:t>Par ailleurs, le Ministère des affaires sociales, de la solidarité et des Tunisiens à l</w:t>
      </w:r>
      <w:r w:rsidR="00961388">
        <w:rPr>
          <w:lang w:val="fr-CH"/>
        </w:rPr>
        <w:t>’</w:t>
      </w:r>
      <w:r w:rsidRPr="00961388">
        <w:rPr>
          <w:lang w:val="fr-CH"/>
        </w:rPr>
        <w:t>étranger a mis en place un programme de mise à niveau des ressources humaines qui vise le renforcement des compétences et l</w:t>
      </w:r>
      <w:r w:rsidR="00961388">
        <w:rPr>
          <w:lang w:val="fr-CH"/>
        </w:rPr>
        <w:t>’</w:t>
      </w:r>
      <w:r w:rsidRPr="00961388">
        <w:rPr>
          <w:lang w:val="fr-CH"/>
        </w:rPr>
        <w:t>amélioration des pratiques de prise en charge des victimes de la traite des personnes.</w:t>
      </w:r>
    </w:p>
    <w:p w:rsidR="00570B62" w:rsidRPr="00961388" w:rsidRDefault="00570B62" w:rsidP="00F54CE5">
      <w:pPr>
        <w:pStyle w:val="SingleTxtG"/>
        <w:rPr>
          <w:lang w:val="fr-CH"/>
        </w:rPr>
      </w:pPr>
      <w:r w:rsidRPr="00961388">
        <w:rPr>
          <w:lang w:val="fr-CH"/>
        </w:rPr>
        <w:t>179.</w:t>
      </w:r>
      <w:r w:rsidRPr="00961388">
        <w:rPr>
          <w:lang w:val="fr-CH"/>
        </w:rPr>
        <w:tab/>
        <w:t>Dans ce contexte, un programme de formation des travailleurs sociaux (dont le nombre est de 1400) a été élaboré comportant 30 modules de formation en matière de prise en charge des enfants et des familles en difficulté.</w:t>
      </w:r>
    </w:p>
    <w:p w:rsidR="00570B62" w:rsidRPr="00961388" w:rsidRDefault="00570B62" w:rsidP="00F54CE5">
      <w:pPr>
        <w:pStyle w:val="SingleTxtG"/>
        <w:rPr>
          <w:lang w:val="fr-CH"/>
        </w:rPr>
      </w:pPr>
      <w:r w:rsidRPr="00961388">
        <w:rPr>
          <w:lang w:val="fr-CH"/>
        </w:rPr>
        <w:t>180.</w:t>
      </w:r>
      <w:r w:rsidRPr="00961388">
        <w:rPr>
          <w:lang w:val="fr-CH"/>
        </w:rPr>
        <w:tab/>
        <w:t>Dans le même contexte, et afin de mieux aborder les problématiques liées aux troubles psychologiques dus aux situations précaires des populations cibles, le Ministère des affaires sociales, de la solidarité et des Tunisiens à l</w:t>
      </w:r>
      <w:r w:rsidR="00961388">
        <w:rPr>
          <w:lang w:val="fr-CH"/>
        </w:rPr>
        <w:t>’</w:t>
      </w:r>
      <w:r w:rsidRPr="00961388">
        <w:rPr>
          <w:lang w:val="fr-CH"/>
        </w:rPr>
        <w:t>étranger a procédé à la formation de psychologues travaillant dans les structures sociales. Cette formation a porté sur les problématiques émergentes telles que les problèmes familiaux, la délinquance juvénile et l</w:t>
      </w:r>
      <w:r w:rsidR="00961388">
        <w:rPr>
          <w:lang w:val="fr-CH"/>
        </w:rPr>
        <w:t>’</w:t>
      </w:r>
      <w:r w:rsidRPr="00961388">
        <w:rPr>
          <w:lang w:val="fr-CH"/>
        </w:rPr>
        <w:t>enfance sans soutien familial.</w:t>
      </w:r>
    </w:p>
    <w:p w:rsidR="00570B62" w:rsidRPr="00961388" w:rsidRDefault="00570B62" w:rsidP="00F54CE5">
      <w:pPr>
        <w:pStyle w:val="SingleTxtG"/>
        <w:rPr>
          <w:lang w:val="fr-CH"/>
        </w:rPr>
      </w:pPr>
      <w:r w:rsidRPr="00961388">
        <w:rPr>
          <w:lang w:val="fr-CH"/>
        </w:rPr>
        <w:t>181.</w:t>
      </w:r>
      <w:r w:rsidRPr="00961388">
        <w:rPr>
          <w:lang w:val="fr-CH"/>
        </w:rPr>
        <w:tab/>
        <w:t>Des efforts sont également déployés afin d</w:t>
      </w:r>
      <w:r w:rsidR="00961388">
        <w:rPr>
          <w:lang w:val="fr-CH"/>
        </w:rPr>
        <w:t>’</w:t>
      </w:r>
      <w:r w:rsidRPr="00961388">
        <w:rPr>
          <w:lang w:val="fr-CH"/>
        </w:rPr>
        <w:t>organiser plus de campagnes de sensibilisation sur l</w:t>
      </w:r>
      <w:r w:rsidR="00961388">
        <w:rPr>
          <w:lang w:val="fr-CH"/>
        </w:rPr>
        <w:t>’</w:t>
      </w:r>
      <w:r w:rsidRPr="00961388">
        <w:rPr>
          <w:lang w:val="fr-CH"/>
        </w:rPr>
        <w:t>exploitation sexuelle des enfants, de former le personnel qualifié et de mettre en place les structures appropriées dans la prise en charge de ce type de situations difficiles. Les efforts se poursuivront en matière de diffusion à très grande échelle des instruments et mécanismes de protection.</w:t>
      </w:r>
    </w:p>
    <w:p w:rsidR="00570B62" w:rsidRPr="00961388" w:rsidRDefault="00570B62" w:rsidP="00F54CE5">
      <w:pPr>
        <w:pStyle w:val="SingleTxtG"/>
        <w:rPr>
          <w:lang w:val="fr-CH"/>
        </w:rPr>
      </w:pPr>
      <w:r w:rsidRPr="00961388">
        <w:rPr>
          <w:lang w:val="fr-CH"/>
        </w:rPr>
        <w:t>182.</w:t>
      </w:r>
      <w:r w:rsidRPr="00961388">
        <w:rPr>
          <w:lang w:val="fr-CH"/>
        </w:rPr>
        <w:tab/>
        <w:t>Les services de la sûreté nationale continuent, quant à eux, à bénéficier d</w:t>
      </w:r>
      <w:r w:rsidR="00961388">
        <w:rPr>
          <w:lang w:val="fr-CH"/>
        </w:rPr>
        <w:t>’</w:t>
      </w:r>
      <w:r w:rsidRPr="00961388">
        <w:rPr>
          <w:lang w:val="fr-CH"/>
        </w:rPr>
        <w:t>une campagne de sensibilisation dans ce cadre.</w:t>
      </w:r>
    </w:p>
    <w:p w:rsidR="00570B62" w:rsidRPr="00961388" w:rsidRDefault="00F54CE5" w:rsidP="00F54CE5">
      <w:pPr>
        <w:pStyle w:val="H23G"/>
        <w:rPr>
          <w:lang w:val="fr-CH"/>
        </w:rPr>
      </w:pPr>
      <w:r>
        <w:rPr>
          <w:lang w:val="fr-CH"/>
        </w:rPr>
        <w:tab/>
      </w:r>
      <w:r>
        <w:rPr>
          <w:lang w:val="fr-CH"/>
        </w:rPr>
        <w:tab/>
      </w:r>
      <w:r w:rsidR="00570B62" w:rsidRPr="00961388">
        <w:rPr>
          <w:lang w:val="fr-CH"/>
        </w:rPr>
        <w:t xml:space="preserve">Réponse au paragraphe 18 </w:t>
      </w:r>
      <w:r w:rsidR="00910D7D">
        <w:rPr>
          <w:lang w:val="fr-CH"/>
        </w:rPr>
        <w:t>de la liste de points à traiter</w:t>
      </w:r>
    </w:p>
    <w:p w:rsidR="00570B62" w:rsidRPr="00961388" w:rsidRDefault="00F54CE5" w:rsidP="00F54CE5">
      <w:pPr>
        <w:pStyle w:val="H4G"/>
        <w:rPr>
          <w:lang w:val="fr-CH"/>
        </w:rPr>
      </w:pPr>
      <w:r>
        <w:rPr>
          <w:lang w:val="fr-CH"/>
        </w:rPr>
        <w:tab/>
        <w:t>1.</w:t>
      </w:r>
      <w:r>
        <w:rPr>
          <w:lang w:val="fr-CH"/>
        </w:rPr>
        <w:tab/>
      </w:r>
      <w:r w:rsidR="00570B62" w:rsidRPr="00961388">
        <w:rPr>
          <w:lang w:val="fr-CH"/>
        </w:rPr>
        <w:t>Statistiques, si disponibles, sur le nombre de femmes et de jeunes filles qui se prostituent, soit clandestinement soit dans des maisons de prostitution légalement autorisées (</w:t>
      </w:r>
      <w:r w:rsidR="00961388">
        <w:rPr>
          <w:lang w:val="fr-CH"/>
        </w:rPr>
        <w:t>«</w:t>
      </w:r>
      <w:r w:rsidR="00570B62" w:rsidRPr="00961388">
        <w:rPr>
          <w:lang w:val="fr-CH"/>
        </w:rPr>
        <w:t>maisons de tolérance</w:t>
      </w:r>
      <w:r w:rsidR="00961388">
        <w:rPr>
          <w:lang w:val="fr-CH"/>
        </w:rPr>
        <w:t>»</w:t>
      </w:r>
      <w:r w:rsidR="00570B62" w:rsidRPr="00961388">
        <w:rPr>
          <w:lang w:val="fr-CH"/>
        </w:rPr>
        <w:t>)</w:t>
      </w:r>
    </w:p>
    <w:p w:rsidR="00570B62" w:rsidRPr="00961388" w:rsidRDefault="00570B62" w:rsidP="00F54CE5">
      <w:pPr>
        <w:pStyle w:val="SingleTxtG"/>
        <w:rPr>
          <w:lang w:val="fr-CH"/>
        </w:rPr>
      </w:pPr>
      <w:r w:rsidRPr="00961388">
        <w:rPr>
          <w:lang w:val="fr-CH"/>
        </w:rPr>
        <w:t>183.</w:t>
      </w:r>
      <w:r w:rsidRPr="00961388">
        <w:rPr>
          <w:lang w:val="fr-CH"/>
        </w:rPr>
        <w:tab/>
        <w:t>Il n</w:t>
      </w:r>
      <w:r w:rsidR="00961388">
        <w:rPr>
          <w:lang w:val="fr-CH"/>
        </w:rPr>
        <w:t>’</w:t>
      </w:r>
      <w:r w:rsidRPr="00961388">
        <w:rPr>
          <w:lang w:val="fr-CH"/>
        </w:rPr>
        <w:t xml:space="preserve">existe pas de statistiques précises concernant le nombre exact de femmes prostituées en Tunisie. La Tunisie étant un pays ouvert et à grande vocation touristique, le phénomène de la prostitution clandestine est toutefois difficilement contrôlable. </w:t>
      </w:r>
    </w:p>
    <w:p w:rsidR="00570B62" w:rsidRPr="00961388" w:rsidRDefault="00570B62" w:rsidP="00F54CE5">
      <w:pPr>
        <w:pStyle w:val="SingleTxtG"/>
        <w:rPr>
          <w:lang w:val="fr-CH"/>
        </w:rPr>
      </w:pPr>
      <w:r w:rsidRPr="00961388">
        <w:rPr>
          <w:lang w:val="fr-CH"/>
        </w:rPr>
        <w:t>184.</w:t>
      </w:r>
      <w:r w:rsidRPr="00961388">
        <w:rPr>
          <w:lang w:val="fr-CH"/>
        </w:rPr>
        <w:tab/>
        <w:t>Néanmoins, le nombre de celles travaillant dans des maisons de prostitution légalement autorisées (</w:t>
      </w:r>
      <w:r w:rsidR="00961388">
        <w:rPr>
          <w:lang w:val="fr-CH"/>
        </w:rPr>
        <w:t>«</w:t>
      </w:r>
      <w:r w:rsidRPr="00961388">
        <w:rPr>
          <w:lang w:val="fr-CH"/>
        </w:rPr>
        <w:t>maisons de tolérance</w:t>
      </w:r>
      <w:r w:rsidR="00961388">
        <w:rPr>
          <w:lang w:val="fr-CH"/>
        </w:rPr>
        <w:t>»</w:t>
      </w:r>
      <w:r w:rsidRPr="00961388">
        <w:rPr>
          <w:lang w:val="fr-CH"/>
        </w:rPr>
        <w:t>), est en nette baisse. Une baisse engendrée par le fait que la politique législative et administrative vise à limiter au maximum et dans la mesure du possible les espaces autorisés réservés à ce type d</w:t>
      </w:r>
      <w:r w:rsidR="00961388">
        <w:rPr>
          <w:lang w:val="fr-CH"/>
        </w:rPr>
        <w:t>’</w:t>
      </w:r>
      <w:r w:rsidRPr="00961388">
        <w:rPr>
          <w:lang w:val="fr-CH"/>
        </w:rPr>
        <w:t xml:space="preserve">activité. </w:t>
      </w:r>
    </w:p>
    <w:p w:rsidR="00570B62" w:rsidRPr="00961388" w:rsidRDefault="00570B62" w:rsidP="00F54CE5">
      <w:pPr>
        <w:pStyle w:val="SingleTxtG"/>
        <w:rPr>
          <w:lang w:val="fr-CH"/>
        </w:rPr>
      </w:pPr>
      <w:r w:rsidRPr="00961388">
        <w:rPr>
          <w:lang w:val="fr-CH"/>
        </w:rPr>
        <w:t>Selon le rapport élaboré par le Ministère de la santé publique en Tunisie, chargé du suivi sanitaire et hygiénique de ces établissements, le nombre de prostituées autorisées ne dépasserait plus actuellement les 400 femmes, réparties sur une dizaine d</w:t>
      </w:r>
      <w:r w:rsidR="00961388">
        <w:rPr>
          <w:lang w:val="fr-CH"/>
        </w:rPr>
        <w:t>’</w:t>
      </w:r>
      <w:r w:rsidRPr="00961388">
        <w:rPr>
          <w:lang w:val="fr-CH"/>
        </w:rPr>
        <w:t>établissements.</w:t>
      </w:r>
    </w:p>
    <w:p w:rsidR="00570B62" w:rsidRPr="00961388" w:rsidRDefault="00570B62" w:rsidP="00F54CE5">
      <w:pPr>
        <w:pStyle w:val="SingleTxtG"/>
        <w:rPr>
          <w:lang w:val="fr-CH"/>
        </w:rPr>
      </w:pPr>
      <w:r w:rsidRPr="00961388">
        <w:rPr>
          <w:lang w:val="fr-CH"/>
        </w:rPr>
        <w:t>185.</w:t>
      </w:r>
      <w:r w:rsidRPr="00961388">
        <w:rPr>
          <w:lang w:val="fr-CH"/>
        </w:rPr>
        <w:tab/>
        <w:t>Le Ministère de la santé publique soumet ces établissements de prostitution autorisée à un très strict contrôle médical et sanitaire grâce à un dispositif de suivi et de contrôle sanitaire périodique clinique et biologique pour protéger la santé des prostituées et celle de leur clientèle. Chaque maison est encadrée par un médecin conventionné et chaque prostituée dispose d</w:t>
      </w:r>
      <w:r w:rsidR="00961388">
        <w:rPr>
          <w:lang w:val="fr-CH"/>
        </w:rPr>
        <w:t>’</w:t>
      </w:r>
      <w:r w:rsidRPr="00961388">
        <w:rPr>
          <w:lang w:val="fr-CH"/>
        </w:rPr>
        <w:t xml:space="preserve">un carnet de santé. </w:t>
      </w:r>
    </w:p>
    <w:p w:rsidR="00570B62" w:rsidRPr="00961388" w:rsidRDefault="00570B62" w:rsidP="00F54CE5">
      <w:pPr>
        <w:pStyle w:val="SingleTxtG"/>
        <w:rPr>
          <w:lang w:val="fr-CH"/>
        </w:rPr>
      </w:pPr>
      <w:r w:rsidRPr="00961388">
        <w:rPr>
          <w:lang w:val="fr-CH"/>
        </w:rPr>
        <w:t>186.</w:t>
      </w:r>
      <w:r w:rsidRPr="00961388">
        <w:rPr>
          <w:lang w:val="fr-CH"/>
        </w:rPr>
        <w:tab/>
        <w:t>Les prostituées qui y travaillent bénéficient de ce fait, d</w:t>
      </w:r>
      <w:r w:rsidR="00961388">
        <w:rPr>
          <w:lang w:val="fr-CH"/>
        </w:rPr>
        <w:t>’</w:t>
      </w:r>
      <w:r w:rsidRPr="00961388">
        <w:rPr>
          <w:lang w:val="fr-CH"/>
        </w:rPr>
        <w:t>un contrôle médical hebdomadaire chapeauté par le Centre de santé Publique, structure sanitaire présente dans chaque ville, et un contrôle policier continu. Aussi, il est à signaler que chaque établissement dispose d</w:t>
      </w:r>
      <w:r w:rsidR="00961388">
        <w:rPr>
          <w:lang w:val="fr-CH"/>
        </w:rPr>
        <w:t>’</w:t>
      </w:r>
      <w:r w:rsidRPr="00961388">
        <w:rPr>
          <w:lang w:val="fr-CH"/>
        </w:rPr>
        <w:t>un registre des résultats des contrôles médicaux et policiers opérés par les autorités publiques. Ce registre doit être remis chaque semaine aux services des mœurs de la ville où il est situé. Ces derniers ont pour mission de veiller au respect des normes en vigueur dans les maisons closes. Dès lors, aucune prostituée, n</w:t>
      </w:r>
      <w:r w:rsidR="00961388">
        <w:rPr>
          <w:lang w:val="fr-CH"/>
        </w:rPr>
        <w:t>’</w:t>
      </w:r>
      <w:r w:rsidRPr="00961388">
        <w:rPr>
          <w:lang w:val="fr-CH"/>
        </w:rPr>
        <w:t>a le droit de quitter la ville sans autorisation de ce service des mœurs. Toutes ces données nous confirment en dernier lieu que l</w:t>
      </w:r>
      <w:r w:rsidR="00961388">
        <w:rPr>
          <w:lang w:val="fr-CH"/>
        </w:rPr>
        <w:t>’</w:t>
      </w:r>
      <w:r w:rsidRPr="00961388">
        <w:rPr>
          <w:lang w:val="fr-CH"/>
        </w:rPr>
        <w:t xml:space="preserve">activité de la prostitution est régie en Tunisie par une réglementation stricte. </w:t>
      </w:r>
    </w:p>
    <w:p w:rsidR="00570B62" w:rsidRPr="00961388" w:rsidRDefault="00F54CE5" w:rsidP="00F54CE5">
      <w:pPr>
        <w:pStyle w:val="H4G"/>
        <w:rPr>
          <w:lang w:val="fr-CH"/>
        </w:rPr>
      </w:pPr>
      <w:r>
        <w:rPr>
          <w:lang w:val="fr-CH"/>
        </w:rPr>
        <w:tab/>
        <w:t>2.</w:t>
      </w:r>
      <w:r>
        <w:rPr>
          <w:lang w:val="fr-CH"/>
        </w:rPr>
        <w:tab/>
      </w:r>
      <w:r w:rsidR="00570B62" w:rsidRPr="00961388">
        <w:rPr>
          <w:lang w:val="fr-CH"/>
        </w:rPr>
        <w:t>Lois et mesures de prévention et répression de l</w:t>
      </w:r>
      <w:r w:rsidR="00961388">
        <w:rPr>
          <w:lang w:val="fr-CH"/>
        </w:rPr>
        <w:t>’</w:t>
      </w:r>
      <w:r w:rsidR="00570B62" w:rsidRPr="00961388">
        <w:rPr>
          <w:lang w:val="fr-CH"/>
        </w:rPr>
        <w:t xml:space="preserve">exploitation à des fins de prostitution </w:t>
      </w:r>
    </w:p>
    <w:p w:rsidR="00570B62" w:rsidRPr="00961388" w:rsidRDefault="00570B62" w:rsidP="00F54CE5">
      <w:pPr>
        <w:pStyle w:val="SingleTxtG"/>
        <w:rPr>
          <w:lang w:val="fr-CH"/>
        </w:rPr>
      </w:pPr>
      <w:r w:rsidRPr="00961388">
        <w:rPr>
          <w:lang w:val="fr-CH"/>
        </w:rPr>
        <w:t>187.</w:t>
      </w:r>
      <w:r w:rsidRPr="00961388">
        <w:rPr>
          <w:lang w:val="fr-CH"/>
        </w:rPr>
        <w:tab/>
        <w:t>Outre le dispositif répressif et les mécanismes de protection contre la traite des personnes tels que décrits dans la réponse précédente sur la traite des personnes, une attention particulière a été prêtée aux zones économiquement et socialement défavorisées afin de s</w:t>
      </w:r>
      <w:r w:rsidR="00961388">
        <w:rPr>
          <w:lang w:val="fr-CH"/>
        </w:rPr>
        <w:t>’</w:t>
      </w:r>
      <w:r w:rsidRPr="00961388">
        <w:rPr>
          <w:lang w:val="fr-CH"/>
        </w:rPr>
        <w:t xml:space="preserve">attaquer aux causes profondes de la traite des personnes. </w:t>
      </w:r>
    </w:p>
    <w:p w:rsidR="00570B62" w:rsidRPr="00961388" w:rsidRDefault="00570B62" w:rsidP="00F54CE5">
      <w:pPr>
        <w:pStyle w:val="SingleTxtG"/>
        <w:rPr>
          <w:lang w:val="fr-CH"/>
        </w:rPr>
      </w:pPr>
      <w:r w:rsidRPr="00961388">
        <w:rPr>
          <w:lang w:val="fr-CH"/>
        </w:rPr>
        <w:t>188.</w:t>
      </w:r>
      <w:r w:rsidRPr="00961388">
        <w:rPr>
          <w:lang w:val="fr-CH"/>
        </w:rPr>
        <w:tab/>
        <w:t>En effet, la Tunisie a mis sur pied un dispositif préventif de lutte contre la pauvreté, en accordant une attention particulière aux catégories sociales les plus faibles et aux personnes démunies ou sans soutien familial et ce, à travers notamment des mécanismes tels que le Fonds national de solidarité 26-26 ou le Fonds national 21-21 pour la promotion de l</w:t>
      </w:r>
      <w:r w:rsidR="00961388">
        <w:rPr>
          <w:lang w:val="fr-CH"/>
        </w:rPr>
        <w:t>’</w:t>
      </w:r>
      <w:r w:rsidRPr="00961388">
        <w:rPr>
          <w:lang w:val="fr-CH"/>
        </w:rPr>
        <w:t>emploi des jeunes, le système d</w:t>
      </w:r>
      <w:r w:rsidR="00961388">
        <w:rPr>
          <w:lang w:val="fr-CH"/>
        </w:rPr>
        <w:t>’</w:t>
      </w:r>
      <w:r w:rsidRPr="00961388">
        <w:rPr>
          <w:lang w:val="fr-CH"/>
        </w:rPr>
        <w:t>aides permanentes et d</w:t>
      </w:r>
      <w:r w:rsidR="00961388">
        <w:rPr>
          <w:lang w:val="fr-CH"/>
        </w:rPr>
        <w:t>’</w:t>
      </w:r>
      <w:r w:rsidRPr="00961388">
        <w:rPr>
          <w:lang w:val="fr-CH"/>
        </w:rPr>
        <w:t>aides exceptionnelles, l</w:t>
      </w:r>
      <w:r w:rsidR="00961388">
        <w:rPr>
          <w:lang w:val="fr-CH"/>
        </w:rPr>
        <w:t>’</w:t>
      </w:r>
      <w:r w:rsidRPr="00961388">
        <w:rPr>
          <w:lang w:val="fr-CH"/>
        </w:rPr>
        <w:t>insertion économique des groupes vulnérables, la mise en place du régime de protection des travailleurs licenciés pour des raisons économiques</w:t>
      </w:r>
    </w:p>
    <w:p w:rsidR="00570B62" w:rsidRPr="00961388" w:rsidRDefault="00570B62" w:rsidP="00F54CE5">
      <w:pPr>
        <w:pStyle w:val="SingleTxtG"/>
        <w:rPr>
          <w:lang w:val="fr-CH"/>
        </w:rPr>
      </w:pPr>
      <w:r w:rsidRPr="00961388">
        <w:rPr>
          <w:lang w:val="fr-CH"/>
        </w:rPr>
        <w:t>189.</w:t>
      </w:r>
      <w:r w:rsidRPr="00961388">
        <w:rPr>
          <w:lang w:val="fr-CH"/>
        </w:rPr>
        <w:tab/>
        <w:t>Des efforts sont également déployés afin d</w:t>
      </w:r>
      <w:r w:rsidR="00961388">
        <w:rPr>
          <w:lang w:val="fr-CH"/>
        </w:rPr>
        <w:t>’</w:t>
      </w:r>
      <w:r w:rsidRPr="00961388">
        <w:rPr>
          <w:lang w:val="fr-CH"/>
        </w:rPr>
        <w:t>organiser plus de campagnes de sensibilisation sur l</w:t>
      </w:r>
      <w:r w:rsidR="00961388">
        <w:rPr>
          <w:lang w:val="fr-CH"/>
        </w:rPr>
        <w:t>’</w:t>
      </w:r>
      <w:r w:rsidRPr="00961388">
        <w:rPr>
          <w:lang w:val="fr-CH"/>
        </w:rPr>
        <w:t>exploitation sexuelle, de former le personnel qualifié et de mettre en place les structures appropriées dans la prise en charge de ce type de situations difficiles. Les efforts se poursuivront en matière de diffusion à très grande échelle des instruments et mécanismes de protection.</w:t>
      </w:r>
    </w:p>
    <w:p w:rsidR="00570B62" w:rsidRPr="00961388" w:rsidRDefault="00570B62" w:rsidP="00F54CE5">
      <w:pPr>
        <w:pStyle w:val="SingleTxtG"/>
        <w:rPr>
          <w:lang w:val="fr-CH"/>
        </w:rPr>
      </w:pPr>
      <w:r w:rsidRPr="00961388">
        <w:rPr>
          <w:lang w:val="fr-CH"/>
        </w:rPr>
        <w:t>190.</w:t>
      </w:r>
      <w:r w:rsidRPr="00961388">
        <w:rPr>
          <w:lang w:val="fr-CH"/>
        </w:rPr>
        <w:tab/>
        <w:t>Les services de la sûreté nationale et les magistrats du siège et du Parquet continuent, quant à eux, à bénéficier d</w:t>
      </w:r>
      <w:r w:rsidR="00961388">
        <w:rPr>
          <w:lang w:val="fr-CH"/>
        </w:rPr>
        <w:t>’</w:t>
      </w:r>
      <w:r w:rsidRPr="00961388">
        <w:rPr>
          <w:lang w:val="fr-CH"/>
        </w:rPr>
        <w:t>une campagne de sensibilisation dans ce cadre.</w:t>
      </w:r>
    </w:p>
    <w:p w:rsidR="00570B62" w:rsidRPr="00961388" w:rsidRDefault="00F54CE5" w:rsidP="00F54CE5">
      <w:pPr>
        <w:pStyle w:val="H4G"/>
        <w:rPr>
          <w:lang w:val="fr-CH"/>
        </w:rPr>
      </w:pPr>
      <w:r>
        <w:rPr>
          <w:lang w:val="fr-CH"/>
        </w:rPr>
        <w:tab/>
        <w:t>3.</w:t>
      </w:r>
      <w:r>
        <w:rPr>
          <w:lang w:val="fr-CH"/>
        </w:rPr>
        <w:tab/>
      </w:r>
      <w:r w:rsidR="00570B62" w:rsidRPr="00961388">
        <w:rPr>
          <w:lang w:val="fr-CH"/>
        </w:rPr>
        <w:t xml:space="preserve">Mesures de réhabilitation et de soutien à la réinsertion sociale en faveur des femmes qui ne veulent plus se prostituer. </w:t>
      </w:r>
    </w:p>
    <w:p w:rsidR="00570B62" w:rsidRPr="00961388" w:rsidRDefault="00570B62" w:rsidP="00F54CE5">
      <w:pPr>
        <w:pStyle w:val="SingleTxtG"/>
        <w:rPr>
          <w:lang w:val="fr-CH"/>
        </w:rPr>
      </w:pPr>
      <w:r w:rsidRPr="00961388">
        <w:rPr>
          <w:lang w:val="fr-CH"/>
        </w:rPr>
        <w:t>191.</w:t>
      </w:r>
      <w:r w:rsidRPr="00961388">
        <w:rPr>
          <w:lang w:val="fr-CH"/>
        </w:rPr>
        <w:tab/>
        <w:t xml:space="preserve">Comme indiqué dans le rapport, la Tunisie a développé un bon nombre de mécanismes de nature à faciliter la réadaptation et la réinsertion des femmes victimes ou en détresse. Ces mécanismes profitent à toutes les femmes qui ne veulent plus se prostituer. </w:t>
      </w:r>
    </w:p>
    <w:p w:rsidR="00F54CE5" w:rsidRDefault="00570B62" w:rsidP="00F54CE5">
      <w:pPr>
        <w:pStyle w:val="SingleTxtG"/>
        <w:rPr>
          <w:lang w:val="fr-CH"/>
        </w:rPr>
      </w:pPr>
      <w:r w:rsidRPr="00961388">
        <w:rPr>
          <w:lang w:val="fr-CH"/>
        </w:rPr>
        <w:t>192.</w:t>
      </w:r>
      <w:r w:rsidRPr="00961388">
        <w:rPr>
          <w:lang w:val="fr-CH"/>
        </w:rPr>
        <w:tab/>
        <w:t>Il s</w:t>
      </w:r>
      <w:r w:rsidR="00961388">
        <w:rPr>
          <w:lang w:val="fr-CH"/>
        </w:rPr>
        <w:t>’</w:t>
      </w:r>
      <w:r w:rsidRPr="00961388">
        <w:rPr>
          <w:lang w:val="fr-CH"/>
        </w:rPr>
        <w:t>agit notamment de</w:t>
      </w:r>
      <w:r w:rsidR="00961388">
        <w:rPr>
          <w:lang w:val="fr-CH"/>
        </w:rPr>
        <w:t>:</w:t>
      </w:r>
    </w:p>
    <w:p w:rsidR="00570B62" w:rsidRPr="00961388" w:rsidRDefault="00570B62" w:rsidP="00F54CE5">
      <w:pPr>
        <w:pStyle w:val="Bullet1G"/>
        <w:rPr>
          <w:lang w:val="fr-CH"/>
        </w:rPr>
      </w:pPr>
      <w:r w:rsidRPr="00961388">
        <w:rPr>
          <w:lang w:val="fr-CH"/>
        </w:rPr>
        <w:t>La stratégie nationale de défense et d</w:t>
      </w:r>
      <w:r w:rsidR="00961388">
        <w:rPr>
          <w:lang w:val="fr-CH"/>
        </w:rPr>
        <w:t>’</w:t>
      </w:r>
      <w:r w:rsidRPr="00961388">
        <w:rPr>
          <w:lang w:val="fr-CH"/>
        </w:rPr>
        <w:t>intégration sociales mise en place depuis 1992, s</w:t>
      </w:r>
      <w:r w:rsidR="00961388">
        <w:rPr>
          <w:lang w:val="fr-CH"/>
        </w:rPr>
        <w:t>’</w:t>
      </w:r>
      <w:r w:rsidRPr="00961388">
        <w:rPr>
          <w:lang w:val="fr-CH"/>
        </w:rPr>
        <w:t>inscrivant dans le cadre d</w:t>
      </w:r>
      <w:r w:rsidR="00961388">
        <w:rPr>
          <w:lang w:val="fr-CH"/>
        </w:rPr>
        <w:t>’</w:t>
      </w:r>
      <w:r w:rsidRPr="00961388">
        <w:rPr>
          <w:lang w:val="fr-CH"/>
        </w:rPr>
        <w:t>une politique sociale ayant pour objectif la prévention de toutes formes d</w:t>
      </w:r>
      <w:r w:rsidR="00961388">
        <w:rPr>
          <w:lang w:val="fr-CH"/>
        </w:rPr>
        <w:t>’</w:t>
      </w:r>
      <w:r w:rsidRPr="00961388">
        <w:rPr>
          <w:lang w:val="fr-CH"/>
        </w:rPr>
        <w:t>exclusion sociale, de déviance, de délinquance, d</w:t>
      </w:r>
      <w:r w:rsidR="00961388">
        <w:rPr>
          <w:lang w:val="fr-CH"/>
        </w:rPr>
        <w:t>’</w:t>
      </w:r>
      <w:r w:rsidRPr="00961388">
        <w:rPr>
          <w:lang w:val="fr-CH"/>
        </w:rPr>
        <w:t xml:space="preserve">exploitation économique et sexuelle et la prévention des familles de la dislocation. </w:t>
      </w:r>
    </w:p>
    <w:p w:rsidR="00570B62" w:rsidRPr="00961388" w:rsidRDefault="00570B62" w:rsidP="00F54CE5">
      <w:pPr>
        <w:pStyle w:val="SingleTxtG"/>
        <w:rPr>
          <w:lang w:val="fr-CH"/>
        </w:rPr>
      </w:pPr>
      <w:r w:rsidRPr="00961388">
        <w:rPr>
          <w:lang w:val="fr-CH"/>
        </w:rPr>
        <w:t>Onze centres d</w:t>
      </w:r>
      <w:r w:rsidR="00961388">
        <w:rPr>
          <w:lang w:val="fr-CH"/>
        </w:rPr>
        <w:t>’</w:t>
      </w:r>
      <w:r w:rsidRPr="00961388">
        <w:rPr>
          <w:lang w:val="fr-CH"/>
        </w:rPr>
        <w:t>intégration et de défense sociale ont été créés dans ce cadre. Ils sont spécialisés dans la prise en charge des personnes et catégories menacées de marginalisation. Cette prise en charge prend des formes diverses notamment la prise en charge psychologique, la médiation et la conciliation familiale.</w:t>
      </w:r>
    </w:p>
    <w:p w:rsidR="00F54CE5" w:rsidRDefault="00570B62" w:rsidP="00F54CE5">
      <w:pPr>
        <w:pStyle w:val="Bullet1G"/>
        <w:rPr>
          <w:lang w:val="fr-CH"/>
        </w:rPr>
      </w:pPr>
      <w:r w:rsidRPr="00961388">
        <w:rPr>
          <w:lang w:val="fr-CH"/>
        </w:rPr>
        <w:t>Centres d</w:t>
      </w:r>
      <w:r w:rsidR="00961388">
        <w:rPr>
          <w:lang w:val="fr-CH"/>
        </w:rPr>
        <w:t>’</w:t>
      </w:r>
      <w:r w:rsidRPr="00961388">
        <w:rPr>
          <w:lang w:val="fr-CH"/>
        </w:rPr>
        <w:t>écoute et d</w:t>
      </w:r>
      <w:r w:rsidR="00961388">
        <w:rPr>
          <w:lang w:val="fr-CH"/>
        </w:rPr>
        <w:t>’</w:t>
      </w:r>
      <w:r w:rsidRPr="00961388">
        <w:rPr>
          <w:lang w:val="fr-CH"/>
        </w:rPr>
        <w:t>accueil des femmes en détresse tant au niveau des institutions gouvernementales que des ONG. En effet, le tissu associatif a été impliqué dans l</w:t>
      </w:r>
      <w:r w:rsidR="00961388">
        <w:rPr>
          <w:lang w:val="fr-CH"/>
        </w:rPr>
        <w:t>’</w:t>
      </w:r>
      <w:r w:rsidRPr="00961388">
        <w:rPr>
          <w:lang w:val="fr-CH"/>
        </w:rPr>
        <w:t>effort de soutien et de réhabilitation des femmes. Il contribue à leur apporter les solutions appropriées par la mise en place de services d</w:t>
      </w:r>
      <w:r w:rsidR="00961388">
        <w:rPr>
          <w:lang w:val="fr-CH"/>
        </w:rPr>
        <w:t>’</w:t>
      </w:r>
      <w:r w:rsidRPr="00961388">
        <w:rPr>
          <w:lang w:val="fr-CH"/>
        </w:rPr>
        <w:t xml:space="preserve">accueil et de consultation juridique au sein des locaux de plusieurs ONG féminines. </w:t>
      </w:r>
    </w:p>
    <w:p w:rsidR="00F54CE5" w:rsidRDefault="00570B62" w:rsidP="00F54CE5">
      <w:pPr>
        <w:pStyle w:val="Bullet1G"/>
        <w:rPr>
          <w:lang w:val="fr-CH"/>
        </w:rPr>
      </w:pPr>
      <w:r w:rsidRPr="00961388">
        <w:rPr>
          <w:lang w:val="fr-CH"/>
        </w:rPr>
        <w:t>L</w:t>
      </w:r>
      <w:r w:rsidR="00961388">
        <w:rPr>
          <w:lang w:val="fr-CH"/>
        </w:rPr>
        <w:t>’</w:t>
      </w:r>
      <w:r w:rsidRPr="00961388">
        <w:rPr>
          <w:lang w:val="fr-CH"/>
        </w:rPr>
        <w:t>Union nationale de la femme tunisienne (UNFT) assure l</w:t>
      </w:r>
      <w:r w:rsidR="00961388">
        <w:rPr>
          <w:lang w:val="fr-CH"/>
        </w:rPr>
        <w:t>’</w:t>
      </w:r>
      <w:r w:rsidRPr="00961388">
        <w:rPr>
          <w:lang w:val="fr-CH"/>
        </w:rPr>
        <w:t>accueil des femmes en détresse en leur accordant une prise en charge (provisoire) juridique, médicale et psychologique dans des «Centres d</w:t>
      </w:r>
      <w:r w:rsidR="00961388">
        <w:rPr>
          <w:lang w:val="fr-CH"/>
        </w:rPr>
        <w:t>’</w:t>
      </w:r>
      <w:r w:rsidRPr="00961388">
        <w:rPr>
          <w:lang w:val="fr-CH"/>
        </w:rPr>
        <w:t>accueil et d</w:t>
      </w:r>
      <w:r w:rsidR="00961388">
        <w:rPr>
          <w:lang w:val="fr-CH"/>
        </w:rPr>
        <w:t>’</w:t>
      </w:r>
      <w:r w:rsidRPr="00961388">
        <w:rPr>
          <w:lang w:val="fr-CH"/>
        </w:rPr>
        <w:t>orientation des femmes en détresse».</w:t>
      </w:r>
    </w:p>
    <w:p w:rsidR="00F54CE5" w:rsidRDefault="00570B62" w:rsidP="00F54CE5">
      <w:pPr>
        <w:pStyle w:val="Bullet1G"/>
        <w:rPr>
          <w:lang w:val="fr-CH"/>
        </w:rPr>
      </w:pPr>
      <w:r w:rsidRPr="00961388">
        <w:rPr>
          <w:lang w:val="fr-CH"/>
        </w:rPr>
        <w:t>L</w:t>
      </w:r>
      <w:r w:rsidR="00961388">
        <w:rPr>
          <w:lang w:val="fr-CH"/>
        </w:rPr>
        <w:t>’</w:t>
      </w:r>
      <w:r w:rsidRPr="00961388">
        <w:rPr>
          <w:lang w:val="fr-CH"/>
        </w:rPr>
        <w:t>Organisation tunisienne des mères (OTM) qui a ouvert, dans son siège, un local pour l</w:t>
      </w:r>
      <w:r w:rsidR="00961388">
        <w:rPr>
          <w:lang w:val="fr-CH"/>
        </w:rPr>
        <w:t>’</w:t>
      </w:r>
      <w:r w:rsidRPr="00961388">
        <w:rPr>
          <w:lang w:val="fr-CH"/>
        </w:rPr>
        <w:t>accueil des femmes en détresse, avec une capacité d</w:t>
      </w:r>
      <w:r w:rsidR="00961388">
        <w:rPr>
          <w:lang w:val="fr-CH"/>
        </w:rPr>
        <w:t>’</w:t>
      </w:r>
      <w:r w:rsidRPr="00961388">
        <w:rPr>
          <w:lang w:val="fr-CH"/>
        </w:rPr>
        <w:t xml:space="preserve">accueil dépassant les 20 </w:t>
      </w:r>
      <w:r w:rsidR="00F54CE5" w:rsidRPr="00961388">
        <w:rPr>
          <w:lang w:val="fr-CH"/>
        </w:rPr>
        <w:t>lits.</w:t>
      </w:r>
    </w:p>
    <w:p w:rsidR="00570B62" w:rsidRPr="00961388" w:rsidRDefault="00570B62" w:rsidP="00F54CE5">
      <w:pPr>
        <w:pStyle w:val="Bullet1G"/>
        <w:rPr>
          <w:lang w:val="fr-CH"/>
        </w:rPr>
      </w:pPr>
      <w:r w:rsidRPr="00961388">
        <w:rPr>
          <w:lang w:val="fr-CH"/>
        </w:rPr>
        <w:t>L</w:t>
      </w:r>
      <w:r w:rsidR="00961388">
        <w:rPr>
          <w:lang w:val="fr-CH"/>
        </w:rPr>
        <w:t>’</w:t>
      </w:r>
      <w:r w:rsidRPr="00961388">
        <w:rPr>
          <w:lang w:val="fr-CH"/>
        </w:rPr>
        <w:t>Association tunisienne des femmes démocrates (ATFD) contribue également à cet effort en accueillant les femmes en détresse et en leur offrant un service de prise en charge psychologique et juridique.</w:t>
      </w:r>
    </w:p>
    <w:p w:rsidR="00570B62" w:rsidRPr="00961388" w:rsidRDefault="00F54CE5" w:rsidP="00F54CE5">
      <w:pPr>
        <w:pStyle w:val="H4G"/>
        <w:rPr>
          <w:lang w:val="fr-CH"/>
        </w:rPr>
      </w:pPr>
      <w:r>
        <w:rPr>
          <w:lang w:val="fr-CH"/>
        </w:rPr>
        <w:tab/>
        <w:t>4.</w:t>
      </w:r>
      <w:r>
        <w:rPr>
          <w:lang w:val="fr-CH"/>
        </w:rPr>
        <w:tab/>
      </w:r>
      <w:r w:rsidR="00570B62" w:rsidRPr="00961388">
        <w:rPr>
          <w:lang w:val="fr-CH"/>
        </w:rPr>
        <w:t>Explications de l</w:t>
      </w:r>
      <w:r w:rsidR="00961388">
        <w:rPr>
          <w:lang w:val="fr-CH"/>
        </w:rPr>
        <w:t>’</w:t>
      </w:r>
      <w:r w:rsidR="00570B62" w:rsidRPr="00961388">
        <w:rPr>
          <w:lang w:val="fr-CH"/>
        </w:rPr>
        <w:t>apparente contradiction entre l</w:t>
      </w:r>
      <w:r w:rsidR="00961388">
        <w:rPr>
          <w:lang w:val="fr-CH"/>
        </w:rPr>
        <w:t>’</w:t>
      </w:r>
      <w:r w:rsidR="00570B62" w:rsidRPr="00961388">
        <w:rPr>
          <w:lang w:val="fr-CH"/>
        </w:rPr>
        <w:t>interdiction légale de la prostitution et l</w:t>
      </w:r>
      <w:r w:rsidR="00961388">
        <w:rPr>
          <w:lang w:val="fr-CH"/>
        </w:rPr>
        <w:t>’</w:t>
      </w:r>
      <w:r w:rsidR="00570B62" w:rsidRPr="00961388">
        <w:rPr>
          <w:lang w:val="fr-CH"/>
        </w:rPr>
        <w:t>existence de maisons closes légalement autorisées</w:t>
      </w:r>
    </w:p>
    <w:p w:rsidR="00570B62" w:rsidRPr="00961388" w:rsidRDefault="00570B62" w:rsidP="00F54CE5">
      <w:pPr>
        <w:pStyle w:val="SingleTxtG"/>
        <w:rPr>
          <w:lang w:val="fr-CH"/>
        </w:rPr>
      </w:pPr>
      <w:r w:rsidRPr="00961388">
        <w:rPr>
          <w:lang w:val="fr-CH"/>
        </w:rPr>
        <w:t>193.</w:t>
      </w:r>
      <w:r w:rsidRPr="00961388">
        <w:rPr>
          <w:lang w:val="fr-CH"/>
        </w:rPr>
        <w:tab/>
        <w:t>Tout d</w:t>
      </w:r>
      <w:r w:rsidR="00961388">
        <w:rPr>
          <w:lang w:val="fr-CH"/>
        </w:rPr>
        <w:t>’</w:t>
      </w:r>
      <w:r w:rsidRPr="00961388">
        <w:rPr>
          <w:lang w:val="fr-CH"/>
        </w:rPr>
        <w:t>abord, il est important de rappeler l</w:t>
      </w:r>
      <w:r w:rsidR="00961388">
        <w:rPr>
          <w:lang w:val="fr-CH"/>
        </w:rPr>
        <w:t>’</w:t>
      </w:r>
      <w:r w:rsidRPr="00961388">
        <w:rPr>
          <w:lang w:val="fr-CH"/>
        </w:rPr>
        <w:t>origine même de ces maisons closes. Elles datent de l</w:t>
      </w:r>
      <w:r w:rsidR="00961388">
        <w:rPr>
          <w:lang w:val="fr-CH"/>
        </w:rPr>
        <w:t>’</w:t>
      </w:r>
      <w:r w:rsidRPr="00961388">
        <w:rPr>
          <w:lang w:val="fr-CH"/>
        </w:rPr>
        <w:t>époque coloniale, et demeurent néanmoins légales. Il est à souligner, à ce sujet, qu</w:t>
      </w:r>
      <w:r w:rsidR="00961388">
        <w:rPr>
          <w:lang w:val="fr-CH"/>
        </w:rPr>
        <w:t>’</w:t>
      </w:r>
      <w:r w:rsidRPr="00961388">
        <w:rPr>
          <w:lang w:val="fr-CH"/>
        </w:rPr>
        <w:t>à la vielle de l</w:t>
      </w:r>
      <w:r w:rsidR="00961388">
        <w:rPr>
          <w:lang w:val="fr-CH"/>
        </w:rPr>
        <w:t>’</w:t>
      </w:r>
      <w:r w:rsidRPr="00961388">
        <w:rPr>
          <w:lang w:val="fr-CH"/>
        </w:rPr>
        <w:t xml:space="preserve">Indépendance, plus de cinquante (50) maisons closes étaient réparties sur tout le territoire national. </w:t>
      </w:r>
    </w:p>
    <w:p w:rsidR="00570B62" w:rsidRPr="00961388" w:rsidRDefault="00570B62" w:rsidP="00F54CE5">
      <w:pPr>
        <w:pStyle w:val="SingleTxtG"/>
        <w:rPr>
          <w:lang w:val="fr-CH"/>
        </w:rPr>
      </w:pPr>
      <w:r w:rsidRPr="00961388">
        <w:rPr>
          <w:lang w:val="fr-CH"/>
        </w:rPr>
        <w:t>194.</w:t>
      </w:r>
      <w:r w:rsidRPr="00961388">
        <w:rPr>
          <w:lang w:val="fr-CH"/>
        </w:rPr>
        <w:tab/>
        <w:t>La fermeture de ces maisons entraînerait aujourd</w:t>
      </w:r>
      <w:r w:rsidR="00961388">
        <w:rPr>
          <w:lang w:val="fr-CH"/>
        </w:rPr>
        <w:t>’</w:t>
      </w:r>
      <w:r w:rsidRPr="00961388">
        <w:rPr>
          <w:lang w:val="fr-CH"/>
        </w:rPr>
        <w:t>hui la mise à la porte d</w:t>
      </w:r>
      <w:r w:rsidR="00961388">
        <w:rPr>
          <w:lang w:val="fr-CH"/>
        </w:rPr>
        <w:t>’</w:t>
      </w:r>
      <w:r w:rsidRPr="00961388">
        <w:rPr>
          <w:lang w:val="fr-CH"/>
        </w:rPr>
        <w:t>un bon nombre de femmes qui n</w:t>
      </w:r>
      <w:r w:rsidR="00961388">
        <w:rPr>
          <w:lang w:val="fr-CH"/>
        </w:rPr>
        <w:t>’</w:t>
      </w:r>
      <w:r w:rsidRPr="00961388">
        <w:rPr>
          <w:lang w:val="fr-CH"/>
        </w:rPr>
        <w:t>ont pas de solutions immédiates qui leur garantiraient de subvenir à leurs besoins. Les services publics sociaux y travaillent en concertation avec les institutions officielles chargées de la promotion des droits de l</w:t>
      </w:r>
      <w:r w:rsidR="00961388">
        <w:rPr>
          <w:lang w:val="fr-CH"/>
        </w:rPr>
        <w:t>’</w:t>
      </w:r>
      <w:r w:rsidRPr="00961388">
        <w:rPr>
          <w:lang w:val="fr-CH"/>
        </w:rPr>
        <w:t>homme en général et des droits de la femme en particulier.</w:t>
      </w:r>
    </w:p>
    <w:p w:rsidR="00570B62" w:rsidRPr="00961388" w:rsidRDefault="00570B62" w:rsidP="00F54CE5">
      <w:pPr>
        <w:pStyle w:val="SingleTxtG"/>
        <w:rPr>
          <w:lang w:val="fr-CH"/>
        </w:rPr>
      </w:pPr>
      <w:r w:rsidRPr="00961388">
        <w:rPr>
          <w:lang w:val="fr-CH"/>
        </w:rPr>
        <w:t>195.</w:t>
      </w:r>
      <w:r w:rsidRPr="00961388">
        <w:rPr>
          <w:lang w:val="fr-CH"/>
        </w:rPr>
        <w:tab/>
        <w:t>Certes, il ne reste aujourd</w:t>
      </w:r>
      <w:r w:rsidR="00961388">
        <w:rPr>
          <w:lang w:val="fr-CH"/>
        </w:rPr>
        <w:t>’</w:t>
      </w:r>
      <w:r w:rsidRPr="00961388">
        <w:rPr>
          <w:lang w:val="fr-CH"/>
        </w:rPr>
        <w:t>hui que près de 10 maisons qui exercent en toute légalité et au sein desquelles les prostituées bénéficient d</w:t>
      </w:r>
      <w:r w:rsidR="00961388">
        <w:rPr>
          <w:lang w:val="fr-CH"/>
        </w:rPr>
        <w:t>’</w:t>
      </w:r>
      <w:r w:rsidRPr="00961388">
        <w:rPr>
          <w:lang w:val="fr-CH"/>
        </w:rPr>
        <w:t>un titre de congé, de la capacité de changer leur activité, ainsi que d</w:t>
      </w:r>
      <w:r w:rsidR="00961388">
        <w:rPr>
          <w:lang w:val="fr-CH"/>
        </w:rPr>
        <w:t>’</w:t>
      </w:r>
      <w:r w:rsidRPr="00961388">
        <w:rPr>
          <w:lang w:val="fr-CH"/>
        </w:rPr>
        <w:t xml:space="preserve">une prise en charge médicale et sécuritaire. </w:t>
      </w:r>
    </w:p>
    <w:p w:rsidR="00570B62" w:rsidRPr="00961388" w:rsidRDefault="00570B62" w:rsidP="00F54CE5">
      <w:pPr>
        <w:pStyle w:val="SingleTxtG"/>
        <w:rPr>
          <w:lang w:val="fr-CH"/>
        </w:rPr>
      </w:pPr>
      <w:r w:rsidRPr="00961388">
        <w:rPr>
          <w:lang w:val="fr-CH"/>
        </w:rPr>
        <w:t>196.</w:t>
      </w:r>
      <w:r w:rsidRPr="00961388">
        <w:rPr>
          <w:lang w:val="fr-CH"/>
        </w:rPr>
        <w:tab/>
        <w:t>En effet, adhérant aux normes internationales relatives à l</w:t>
      </w:r>
      <w:r w:rsidR="00961388">
        <w:rPr>
          <w:lang w:val="fr-CH"/>
        </w:rPr>
        <w:t>’</w:t>
      </w:r>
      <w:r w:rsidRPr="00961388">
        <w:rPr>
          <w:lang w:val="fr-CH"/>
        </w:rPr>
        <w:t>interdiction et à la répression de la traite des personnes notamment les femmes et les enfants, la Tunisie ne cesse d</w:t>
      </w:r>
      <w:r w:rsidR="00961388">
        <w:rPr>
          <w:lang w:val="fr-CH"/>
        </w:rPr>
        <w:t>’</w:t>
      </w:r>
      <w:r w:rsidRPr="00961388">
        <w:rPr>
          <w:lang w:val="fr-CH"/>
        </w:rPr>
        <w:t>œuvrer pour la fermeture de ces établissements. Chaque établissement fermé n</w:t>
      </w:r>
      <w:r w:rsidR="00961388">
        <w:rPr>
          <w:lang w:val="fr-CH"/>
        </w:rPr>
        <w:t>’</w:t>
      </w:r>
      <w:r w:rsidRPr="00961388">
        <w:rPr>
          <w:lang w:val="fr-CH"/>
        </w:rPr>
        <w:t>est pas remplacé aujourd</w:t>
      </w:r>
      <w:r w:rsidR="00961388">
        <w:rPr>
          <w:lang w:val="fr-CH"/>
        </w:rPr>
        <w:t>’</w:t>
      </w:r>
      <w:r w:rsidRPr="00961388">
        <w:rPr>
          <w:lang w:val="fr-CH"/>
        </w:rPr>
        <w:t>hui. L</w:t>
      </w:r>
      <w:r w:rsidR="00961388">
        <w:rPr>
          <w:lang w:val="fr-CH"/>
        </w:rPr>
        <w:t>’</w:t>
      </w:r>
      <w:r w:rsidRPr="00961388">
        <w:rPr>
          <w:lang w:val="fr-CH"/>
        </w:rPr>
        <w:t>idée étant que la liquidation de ces établissements devrait se faire d</w:t>
      </w:r>
      <w:r w:rsidR="00961388">
        <w:rPr>
          <w:lang w:val="fr-CH"/>
        </w:rPr>
        <w:t>’</w:t>
      </w:r>
      <w:r w:rsidRPr="00961388">
        <w:rPr>
          <w:lang w:val="fr-CH"/>
        </w:rPr>
        <w:t>une manière plus au moins naturelle qui ne heurterait, ni ceux qui y travaillent ni encore ceux qui s</w:t>
      </w:r>
      <w:r w:rsidR="00961388">
        <w:rPr>
          <w:lang w:val="fr-CH"/>
        </w:rPr>
        <w:t>’</w:t>
      </w:r>
      <w:r w:rsidRPr="00961388">
        <w:rPr>
          <w:lang w:val="fr-CH"/>
        </w:rPr>
        <w:t>y rendent assez fréquemment. De plus, la société tunisienne étant tolérante, la réduction de la prostitution autorisée ne peut intervenir que progressivement à mesure que se consolident les équilibres sociologiques et les rapports hommes/femmes bâtis sur l</w:t>
      </w:r>
      <w:r w:rsidR="00961388">
        <w:rPr>
          <w:lang w:val="fr-CH"/>
        </w:rPr>
        <w:t>’</w:t>
      </w:r>
      <w:r w:rsidRPr="00961388">
        <w:rPr>
          <w:lang w:val="fr-CH"/>
        </w:rPr>
        <w:t>égalité et la réciprocité, notamment dans le milieu des jeunes en zone rurale comme en zone urbaine.</w:t>
      </w:r>
    </w:p>
    <w:p w:rsidR="00570B62" w:rsidRPr="00961388" w:rsidRDefault="00570B62" w:rsidP="00F54CE5">
      <w:pPr>
        <w:pStyle w:val="SingleTxtG"/>
        <w:rPr>
          <w:b/>
          <w:bCs/>
          <w:lang w:val="fr-CH"/>
        </w:rPr>
      </w:pPr>
      <w:r w:rsidRPr="00961388">
        <w:rPr>
          <w:lang w:val="fr-CH"/>
        </w:rPr>
        <w:t>197.</w:t>
      </w:r>
      <w:r w:rsidRPr="00961388">
        <w:rPr>
          <w:lang w:val="fr-CH"/>
        </w:rPr>
        <w:tab/>
        <w:t>La Tunisie reste enfin convaincue que le nombre de prostituées diminuera à fur et à mesure que se développe la politique d</w:t>
      </w:r>
      <w:r w:rsidR="00961388">
        <w:rPr>
          <w:lang w:val="fr-CH"/>
        </w:rPr>
        <w:t>’</w:t>
      </w:r>
      <w:r w:rsidRPr="00961388">
        <w:rPr>
          <w:lang w:val="fr-CH"/>
        </w:rPr>
        <w:t>émancipation féminine en Tunisie.</w:t>
      </w:r>
    </w:p>
    <w:p w:rsidR="00570B62" w:rsidRPr="00961388" w:rsidRDefault="00570B62" w:rsidP="00F54CE5">
      <w:pPr>
        <w:pStyle w:val="H1G"/>
        <w:rPr>
          <w:lang w:val="fr-CH"/>
        </w:rPr>
      </w:pPr>
      <w:r w:rsidRPr="00961388">
        <w:rPr>
          <w:lang w:val="fr-CH"/>
        </w:rPr>
        <w:tab/>
      </w:r>
      <w:r w:rsidRPr="00961388">
        <w:rPr>
          <w:lang w:val="fr-CH"/>
        </w:rPr>
        <w:tab/>
        <w:t>Participation à la vie politique et publique</w:t>
      </w:r>
    </w:p>
    <w:p w:rsidR="00570B62" w:rsidRPr="00961388" w:rsidRDefault="00F54CE5" w:rsidP="00F54CE5">
      <w:pPr>
        <w:pStyle w:val="H23G"/>
        <w:rPr>
          <w:lang w:val="fr-CH"/>
        </w:rPr>
      </w:pPr>
      <w:r>
        <w:rPr>
          <w:lang w:val="fr-CH"/>
        </w:rPr>
        <w:tab/>
      </w:r>
      <w:r>
        <w:rPr>
          <w:lang w:val="fr-CH"/>
        </w:rPr>
        <w:tab/>
      </w:r>
      <w:r w:rsidR="00570B62" w:rsidRPr="00961388">
        <w:rPr>
          <w:lang w:val="fr-CH"/>
        </w:rPr>
        <w:t xml:space="preserve">Réponse au paragraphe 19 </w:t>
      </w:r>
      <w:r w:rsidR="00910D7D">
        <w:rPr>
          <w:lang w:val="fr-CH"/>
        </w:rPr>
        <w:t>de la liste de points à traiter</w:t>
      </w:r>
    </w:p>
    <w:p w:rsidR="00570B62" w:rsidRPr="00961388" w:rsidRDefault="00570B62" w:rsidP="00F54CE5">
      <w:pPr>
        <w:pStyle w:val="SingleTxtG"/>
        <w:rPr>
          <w:lang w:val="fr-CH"/>
        </w:rPr>
      </w:pPr>
      <w:r w:rsidRPr="00961388">
        <w:rPr>
          <w:lang w:val="fr-CH"/>
        </w:rPr>
        <w:t>198.</w:t>
      </w:r>
      <w:r w:rsidRPr="00961388">
        <w:rPr>
          <w:lang w:val="fr-CH"/>
        </w:rPr>
        <w:tab/>
        <w:t>Conformément aux objectifs que le Président de la République a fixé au profit de la femme et de la famille, dans le cadre du point 7 du programme présidentiel 2009-2014 «Ensemble, relevons les défis</w:t>
      </w:r>
      <w:r w:rsidR="00961388">
        <w:rPr>
          <w:lang w:val="fr-CH"/>
        </w:rPr>
        <w:t>»</w:t>
      </w:r>
      <w:r w:rsidRPr="00961388">
        <w:rPr>
          <w:lang w:val="fr-CH"/>
        </w:rPr>
        <w:t>, la participation et la présence de la femme a été renforcée lors des dernières élections.</w:t>
      </w:r>
    </w:p>
    <w:p w:rsidR="00570B62" w:rsidRPr="00961388" w:rsidRDefault="00570B62" w:rsidP="00F54CE5">
      <w:pPr>
        <w:pStyle w:val="SingleTxtG"/>
        <w:rPr>
          <w:lang w:val="fr-CH"/>
        </w:rPr>
      </w:pPr>
      <w:r w:rsidRPr="00961388">
        <w:rPr>
          <w:lang w:val="fr-CH"/>
        </w:rPr>
        <w:t>199.</w:t>
      </w:r>
      <w:r w:rsidRPr="00961388">
        <w:rPr>
          <w:lang w:val="fr-CH"/>
        </w:rPr>
        <w:tab/>
        <w:t>En effet, suite aux élections présidentielles et législatives du 25 octobre 2009, la présence des femmes à la Chambre des députés a atteint 27,57</w:t>
      </w:r>
      <w:r w:rsidR="001973D8">
        <w:rPr>
          <w:lang w:val="fr-CH"/>
        </w:rPr>
        <w:t xml:space="preserve"> %</w:t>
      </w:r>
      <w:r w:rsidRPr="00961388">
        <w:rPr>
          <w:lang w:val="fr-CH"/>
        </w:rPr>
        <w:t>, (59 femmes sur 214 sièges) dont 25</w:t>
      </w:r>
      <w:r w:rsidR="001973D8">
        <w:rPr>
          <w:lang w:val="fr-CH"/>
        </w:rPr>
        <w:t xml:space="preserve"> %</w:t>
      </w:r>
      <w:r w:rsidRPr="00961388">
        <w:rPr>
          <w:lang w:val="fr-CH"/>
        </w:rPr>
        <w:t xml:space="preserve"> appartenant aux partis de l</w:t>
      </w:r>
      <w:r w:rsidR="00961388">
        <w:rPr>
          <w:lang w:val="fr-CH"/>
        </w:rPr>
        <w:t>’</w:t>
      </w:r>
      <w:r w:rsidRPr="00961388">
        <w:rPr>
          <w:lang w:val="fr-CH"/>
        </w:rPr>
        <w:t>opposition.</w:t>
      </w:r>
    </w:p>
    <w:p w:rsidR="00570B62" w:rsidRPr="00961388" w:rsidRDefault="00570B62" w:rsidP="00F54CE5">
      <w:pPr>
        <w:pStyle w:val="SingleTxtG"/>
        <w:rPr>
          <w:lang w:val="fr-CH"/>
        </w:rPr>
      </w:pPr>
      <w:r w:rsidRPr="00961388">
        <w:rPr>
          <w:lang w:val="fr-CH"/>
        </w:rPr>
        <w:t>200.</w:t>
      </w:r>
      <w:r w:rsidRPr="00961388">
        <w:rPr>
          <w:lang w:val="fr-CH"/>
        </w:rPr>
        <w:tab/>
        <w:t>La présence de la femme sur les listes de candidatures aux élections législatives du 25/10/2009 a atteint 18</w:t>
      </w:r>
      <w:r w:rsidR="001973D8">
        <w:rPr>
          <w:lang w:val="fr-CH"/>
        </w:rPr>
        <w:t xml:space="preserve"> %</w:t>
      </w:r>
      <w:r w:rsidR="00961388">
        <w:rPr>
          <w:lang w:val="fr-CH"/>
        </w:rPr>
        <w:t>;</w:t>
      </w:r>
      <w:r w:rsidRPr="00961388">
        <w:rPr>
          <w:lang w:val="fr-CH"/>
        </w:rPr>
        <w:t xml:space="preserve"> elle n</w:t>
      </w:r>
      <w:r w:rsidR="00961388">
        <w:rPr>
          <w:lang w:val="fr-CH"/>
        </w:rPr>
        <w:t>’</w:t>
      </w:r>
      <w:r w:rsidRPr="00961388">
        <w:rPr>
          <w:lang w:val="fr-CH"/>
        </w:rPr>
        <w:t>était que de 15</w:t>
      </w:r>
      <w:r w:rsidR="001973D8">
        <w:rPr>
          <w:lang w:val="fr-CH"/>
        </w:rPr>
        <w:t xml:space="preserve"> %</w:t>
      </w:r>
      <w:r w:rsidRPr="00961388">
        <w:rPr>
          <w:lang w:val="fr-CH"/>
        </w:rPr>
        <w:t xml:space="preserve"> en 2004. Pour le Rassemblement Constitutionnel Démocratique (RCD), Parti au pouvoir, le pourcentage de femmes candidates aux élections législatives est passé de 25</w:t>
      </w:r>
      <w:r w:rsidR="001973D8">
        <w:rPr>
          <w:lang w:val="fr-CH"/>
        </w:rPr>
        <w:t xml:space="preserve"> %</w:t>
      </w:r>
      <w:r w:rsidRPr="00961388">
        <w:rPr>
          <w:lang w:val="fr-CH"/>
        </w:rPr>
        <w:t xml:space="preserve"> en 2004 à 31</w:t>
      </w:r>
      <w:r w:rsidR="001973D8">
        <w:rPr>
          <w:lang w:val="fr-CH"/>
        </w:rPr>
        <w:t xml:space="preserve"> %</w:t>
      </w:r>
      <w:r w:rsidRPr="00961388">
        <w:rPr>
          <w:lang w:val="fr-CH"/>
        </w:rPr>
        <w:t xml:space="preserve"> en 2009.</w:t>
      </w:r>
    </w:p>
    <w:p w:rsidR="00570B62" w:rsidRPr="00961388" w:rsidRDefault="00570B62" w:rsidP="00F54CE5">
      <w:pPr>
        <w:pStyle w:val="SingleTxtG"/>
        <w:rPr>
          <w:lang w:val="fr-CH"/>
        </w:rPr>
      </w:pPr>
      <w:r w:rsidRPr="00961388">
        <w:rPr>
          <w:lang w:val="fr-CH"/>
        </w:rPr>
        <w:t>201.</w:t>
      </w:r>
      <w:r w:rsidRPr="00961388">
        <w:rPr>
          <w:lang w:val="fr-CH"/>
        </w:rPr>
        <w:tab/>
        <w:t>Au sein du Parlement, la présence de la femme est passée de 21,16</w:t>
      </w:r>
      <w:r w:rsidR="001973D8">
        <w:rPr>
          <w:lang w:val="fr-CH"/>
        </w:rPr>
        <w:t xml:space="preserve"> %</w:t>
      </w:r>
      <w:r w:rsidRPr="00961388">
        <w:rPr>
          <w:lang w:val="fr-CH"/>
        </w:rPr>
        <w:t xml:space="preserve"> en 2004 à 26,17</w:t>
      </w:r>
      <w:r w:rsidR="001973D8">
        <w:rPr>
          <w:lang w:val="fr-CH"/>
        </w:rPr>
        <w:t xml:space="preserve"> %</w:t>
      </w:r>
      <w:r w:rsidRPr="00961388">
        <w:rPr>
          <w:lang w:val="fr-CH"/>
        </w:rPr>
        <w:t xml:space="preserve"> en 2009</w:t>
      </w:r>
      <w:r w:rsidR="00961388">
        <w:rPr>
          <w:lang w:val="fr-CH"/>
        </w:rPr>
        <w:t>;</w:t>
      </w:r>
      <w:r w:rsidRPr="00961388">
        <w:rPr>
          <w:lang w:val="fr-CH"/>
        </w:rPr>
        <w:t xml:space="preserve"> le tableau suivant retrace l</w:t>
      </w:r>
      <w:r w:rsidR="00961388">
        <w:rPr>
          <w:lang w:val="fr-CH"/>
        </w:rPr>
        <w:t>’</w:t>
      </w:r>
      <w:r w:rsidRPr="00961388">
        <w:rPr>
          <w:lang w:val="fr-CH"/>
        </w:rPr>
        <w:t>évolution positive avérée de la place de la femme dans la vie politique lors des deux dernières élections législatives.</w:t>
      </w:r>
    </w:p>
    <w:p w:rsidR="00570B62" w:rsidRPr="00F54CE5" w:rsidRDefault="00570B62" w:rsidP="00F54CE5">
      <w:pPr>
        <w:pStyle w:val="SingleTxtG"/>
        <w:rPr>
          <w:b/>
          <w:lang w:val="fr-CH"/>
        </w:rPr>
      </w:pPr>
      <w:r w:rsidRPr="00961388">
        <w:rPr>
          <w:lang w:val="fr-CH"/>
        </w:rPr>
        <w:t>202.</w:t>
      </w:r>
      <w:r w:rsidRPr="00961388">
        <w:rPr>
          <w:lang w:val="fr-CH"/>
        </w:rPr>
        <w:tab/>
      </w:r>
      <w:r w:rsidRPr="00F54CE5">
        <w:rPr>
          <w:b/>
          <w:lang w:val="fr-CH"/>
        </w:rPr>
        <w:t>Résultat de la participation aux élections législatives par genre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99"/>
        <w:gridCol w:w="785"/>
        <w:gridCol w:w="692"/>
        <w:gridCol w:w="748"/>
        <w:gridCol w:w="687"/>
        <w:gridCol w:w="707"/>
        <w:gridCol w:w="584"/>
        <w:gridCol w:w="678"/>
        <w:gridCol w:w="690"/>
      </w:tblGrid>
      <w:tr w:rsidR="00541D1A" w:rsidRPr="00541D1A" w:rsidTr="00541D1A">
        <w:trPr>
          <w:tblHeader/>
        </w:trPr>
        <w:tc>
          <w:tcPr>
            <w:tcW w:w="2141" w:type="dxa"/>
            <w:tcBorders>
              <w:top w:val="single" w:sz="4" w:space="0" w:color="auto"/>
              <w:bottom w:val="single" w:sz="4" w:space="0" w:color="auto"/>
            </w:tcBorders>
            <w:shd w:val="clear" w:color="auto" w:fill="auto"/>
            <w:vAlign w:val="bottom"/>
          </w:tcPr>
          <w:p w:rsidR="00570B62" w:rsidRPr="00541D1A" w:rsidRDefault="00570B62" w:rsidP="00541D1A">
            <w:pPr>
              <w:spacing w:before="80" w:after="80" w:line="200" w:lineRule="exact"/>
              <w:rPr>
                <w:i/>
                <w:sz w:val="16"/>
                <w:lang w:val="fr-CH"/>
              </w:rPr>
            </w:pPr>
            <w:r w:rsidRPr="00541D1A">
              <w:rPr>
                <w:i/>
                <w:sz w:val="16"/>
                <w:lang w:val="fr-CH"/>
              </w:rPr>
              <w:t>Année</w:t>
            </w:r>
          </w:p>
        </w:tc>
        <w:tc>
          <w:tcPr>
            <w:tcW w:w="3458" w:type="dxa"/>
            <w:gridSpan w:val="4"/>
            <w:tcBorders>
              <w:top w:val="single" w:sz="4" w:space="0" w:color="auto"/>
              <w:bottom w:val="single" w:sz="4" w:space="0" w:color="auto"/>
            </w:tcBorders>
            <w:shd w:val="clear" w:color="auto" w:fill="auto"/>
            <w:vAlign w:val="bottom"/>
          </w:tcPr>
          <w:p w:rsidR="00570B62" w:rsidRPr="00541D1A" w:rsidRDefault="00570B62" w:rsidP="00541D1A">
            <w:pPr>
              <w:spacing w:before="80" w:after="80" w:line="200" w:lineRule="exact"/>
              <w:jc w:val="center"/>
              <w:rPr>
                <w:bCs/>
                <w:i/>
                <w:iCs/>
                <w:sz w:val="16"/>
                <w:lang w:val="fr-CH"/>
              </w:rPr>
            </w:pPr>
            <w:r w:rsidRPr="00541D1A">
              <w:rPr>
                <w:bCs/>
                <w:i/>
                <w:iCs/>
                <w:sz w:val="16"/>
                <w:lang w:val="fr-CH"/>
              </w:rPr>
              <w:t xml:space="preserve">Élections </w:t>
            </w:r>
            <w:r w:rsidRPr="00541D1A">
              <w:rPr>
                <w:i/>
                <w:sz w:val="16"/>
                <w:lang w:val="fr-CH"/>
              </w:rPr>
              <w:t>2004</w:t>
            </w:r>
          </w:p>
        </w:tc>
        <w:tc>
          <w:tcPr>
            <w:tcW w:w="3156" w:type="dxa"/>
            <w:gridSpan w:val="4"/>
            <w:tcBorders>
              <w:top w:val="single" w:sz="4" w:space="0" w:color="auto"/>
              <w:bottom w:val="single" w:sz="4" w:space="0" w:color="auto"/>
            </w:tcBorders>
            <w:shd w:val="clear" w:color="auto" w:fill="auto"/>
            <w:vAlign w:val="bottom"/>
          </w:tcPr>
          <w:p w:rsidR="00570B62" w:rsidRPr="00541D1A" w:rsidRDefault="00570B62" w:rsidP="00541D1A">
            <w:pPr>
              <w:spacing w:before="80" w:after="80" w:line="200" w:lineRule="exact"/>
              <w:jc w:val="center"/>
              <w:rPr>
                <w:bCs/>
                <w:i/>
                <w:iCs/>
                <w:sz w:val="16"/>
                <w:lang w:val="fr-CH"/>
              </w:rPr>
            </w:pPr>
            <w:r w:rsidRPr="00541D1A">
              <w:rPr>
                <w:bCs/>
                <w:i/>
                <w:iCs/>
                <w:sz w:val="16"/>
                <w:lang w:val="fr-CH"/>
              </w:rPr>
              <w:t xml:space="preserve">Élections </w:t>
            </w:r>
            <w:r w:rsidRPr="00541D1A">
              <w:rPr>
                <w:i/>
                <w:sz w:val="16"/>
                <w:lang w:val="fr-CH"/>
              </w:rPr>
              <w:t>2009</w:t>
            </w:r>
          </w:p>
        </w:tc>
      </w:tr>
      <w:tr w:rsidR="00541D1A" w:rsidRPr="00541D1A" w:rsidTr="00541D1A">
        <w:tc>
          <w:tcPr>
            <w:tcW w:w="2141" w:type="dxa"/>
            <w:tcBorders>
              <w:top w:val="single" w:sz="4" w:space="0" w:color="auto"/>
              <w:bottom w:val="single" w:sz="12" w:space="0" w:color="auto"/>
            </w:tcBorders>
            <w:shd w:val="clear" w:color="auto" w:fill="auto"/>
          </w:tcPr>
          <w:p w:rsidR="00570B62" w:rsidRPr="00541D1A" w:rsidRDefault="00570B62" w:rsidP="00541D1A">
            <w:pPr>
              <w:spacing w:before="80" w:after="80" w:line="200" w:lineRule="exact"/>
              <w:rPr>
                <w:i/>
                <w:sz w:val="16"/>
                <w:lang w:val="fr-CH"/>
              </w:rPr>
            </w:pPr>
            <w:r w:rsidRPr="00541D1A">
              <w:rPr>
                <w:i/>
                <w:sz w:val="16"/>
                <w:lang w:val="fr-CH"/>
              </w:rPr>
              <w:t xml:space="preserve">Nombre de députés </w:t>
            </w:r>
          </w:p>
        </w:tc>
        <w:tc>
          <w:tcPr>
            <w:tcW w:w="932" w:type="dxa"/>
            <w:tcBorders>
              <w:top w:val="single" w:sz="4" w:space="0" w:color="auto"/>
              <w:bottom w:val="single" w:sz="12" w:space="0" w:color="auto"/>
            </w:tcBorders>
            <w:shd w:val="clear" w:color="auto" w:fill="auto"/>
            <w:vAlign w:val="bottom"/>
          </w:tcPr>
          <w:p w:rsidR="00570B62" w:rsidRPr="00541D1A" w:rsidRDefault="00570B62" w:rsidP="00541D1A">
            <w:pPr>
              <w:spacing w:before="80" w:after="80" w:line="200" w:lineRule="exact"/>
              <w:jc w:val="right"/>
              <w:rPr>
                <w:i/>
                <w:sz w:val="16"/>
                <w:lang w:val="fr-CH"/>
              </w:rPr>
            </w:pPr>
            <w:r w:rsidRPr="00541D1A">
              <w:rPr>
                <w:i/>
                <w:sz w:val="16"/>
                <w:lang w:val="fr-CH"/>
              </w:rPr>
              <w:t>Homme</w:t>
            </w:r>
          </w:p>
        </w:tc>
        <w:tc>
          <w:tcPr>
            <w:tcW w:w="822" w:type="dxa"/>
            <w:tcBorders>
              <w:top w:val="single" w:sz="4" w:space="0" w:color="auto"/>
              <w:bottom w:val="single" w:sz="12" w:space="0" w:color="auto"/>
            </w:tcBorders>
            <w:shd w:val="clear" w:color="auto" w:fill="auto"/>
            <w:vAlign w:val="bottom"/>
          </w:tcPr>
          <w:p w:rsidR="00570B62" w:rsidRPr="00541D1A" w:rsidRDefault="001973D8" w:rsidP="00541D1A">
            <w:pPr>
              <w:spacing w:before="80" w:after="80" w:line="200" w:lineRule="exact"/>
              <w:jc w:val="right"/>
              <w:rPr>
                <w:i/>
                <w:sz w:val="16"/>
                <w:lang w:val="fr-CH"/>
              </w:rPr>
            </w:pPr>
            <w:r w:rsidRPr="00541D1A">
              <w:rPr>
                <w:i/>
                <w:sz w:val="16"/>
                <w:lang w:val="fr-CH"/>
              </w:rPr>
              <w:t xml:space="preserve"> %</w:t>
            </w:r>
          </w:p>
        </w:tc>
        <w:tc>
          <w:tcPr>
            <w:tcW w:w="888" w:type="dxa"/>
            <w:tcBorders>
              <w:top w:val="single" w:sz="4" w:space="0" w:color="auto"/>
              <w:bottom w:val="single" w:sz="12" w:space="0" w:color="auto"/>
            </w:tcBorders>
            <w:shd w:val="clear" w:color="auto" w:fill="auto"/>
            <w:vAlign w:val="bottom"/>
          </w:tcPr>
          <w:p w:rsidR="00570B62" w:rsidRPr="00541D1A" w:rsidRDefault="00570B62" w:rsidP="00541D1A">
            <w:pPr>
              <w:spacing w:before="80" w:after="80" w:line="200" w:lineRule="exact"/>
              <w:jc w:val="right"/>
              <w:rPr>
                <w:i/>
                <w:sz w:val="16"/>
                <w:lang w:val="fr-CH"/>
              </w:rPr>
            </w:pPr>
            <w:r w:rsidRPr="00541D1A">
              <w:rPr>
                <w:i/>
                <w:sz w:val="16"/>
                <w:lang w:val="fr-CH"/>
              </w:rPr>
              <w:t>Femme</w:t>
            </w:r>
          </w:p>
        </w:tc>
        <w:tc>
          <w:tcPr>
            <w:tcW w:w="816" w:type="dxa"/>
            <w:tcBorders>
              <w:top w:val="single" w:sz="4" w:space="0" w:color="auto"/>
              <w:bottom w:val="single" w:sz="12" w:space="0" w:color="auto"/>
            </w:tcBorders>
            <w:shd w:val="clear" w:color="auto" w:fill="auto"/>
            <w:vAlign w:val="bottom"/>
          </w:tcPr>
          <w:p w:rsidR="00570B62" w:rsidRPr="00541D1A" w:rsidRDefault="001973D8" w:rsidP="00541D1A">
            <w:pPr>
              <w:spacing w:before="80" w:after="80" w:line="200" w:lineRule="exact"/>
              <w:jc w:val="right"/>
              <w:rPr>
                <w:i/>
                <w:sz w:val="16"/>
                <w:lang w:val="fr-CH"/>
              </w:rPr>
            </w:pPr>
            <w:r w:rsidRPr="00541D1A">
              <w:rPr>
                <w:i/>
                <w:sz w:val="16"/>
                <w:lang w:val="fr-CH"/>
              </w:rPr>
              <w:t xml:space="preserve"> %</w:t>
            </w:r>
          </w:p>
        </w:tc>
        <w:tc>
          <w:tcPr>
            <w:tcW w:w="839" w:type="dxa"/>
            <w:tcBorders>
              <w:top w:val="single" w:sz="4" w:space="0" w:color="auto"/>
              <w:bottom w:val="single" w:sz="12" w:space="0" w:color="auto"/>
            </w:tcBorders>
            <w:shd w:val="clear" w:color="auto" w:fill="auto"/>
            <w:vAlign w:val="bottom"/>
          </w:tcPr>
          <w:p w:rsidR="00570B62" w:rsidRPr="00541D1A" w:rsidRDefault="00570B62" w:rsidP="00541D1A">
            <w:pPr>
              <w:spacing w:before="80" w:after="80" w:line="200" w:lineRule="exact"/>
              <w:jc w:val="right"/>
              <w:rPr>
                <w:i/>
                <w:sz w:val="16"/>
                <w:lang w:val="fr-CH"/>
              </w:rPr>
            </w:pPr>
            <w:r w:rsidRPr="00541D1A">
              <w:rPr>
                <w:i/>
                <w:sz w:val="16"/>
                <w:lang w:val="fr-CH"/>
              </w:rPr>
              <w:t>Homme</w:t>
            </w:r>
          </w:p>
        </w:tc>
        <w:tc>
          <w:tcPr>
            <w:tcW w:w="693" w:type="dxa"/>
            <w:tcBorders>
              <w:top w:val="single" w:sz="4" w:space="0" w:color="auto"/>
              <w:bottom w:val="single" w:sz="12" w:space="0" w:color="auto"/>
            </w:tcBorders>
            <w:shd w:val="clear" w:color="auto" w:fill="auto"/>
            <w:vAlign w:val="bottom"/>
          </w:tcPr>
          <w:p w:rsidR="00570B62" w:rsidRPr="00541D1A" w:rsidRDefault="001973D8" w:rsidP="00541D1A">
            <w:pPr>
              <w:spacing w:before="80" w:after="80" w:line="200" w:lineRule="exact"/>
              <w:jc w:val="right"/>
              <w:rPr>
                <w:i/>
                <w:sz w:val="16"/>
                <w:lang w:val="fr-CH"/>
              </w:rPr>
            </w:pPr>
            <w:r w:rsidRPr="00541D1A">
              <w:rPr>
                <w:i/>
                <w:sz w:val="16"/>
                <w:lang w:val="fr-CH"/>
              </w:rPr>
              <w:t xml:space="preserve"> %</w:t>
            </w:r>
          </w:p>
        </w:tc>
        <w:tc>
          <w:tcPr>
            <w:tcW w:w="805" w:type="dxa"/>
            <w:tcBorders>
              <w:top w:val="single" w:sz="4" w:space="0" w:color="auto"/>
              <w:bottom w:val="single" w:sz="12" w:space="0" w:color="auto"/>
            </w:tcBorders>
            <w:shd w:val="clear" w:color="auto" w:fill="auto"/>
            <w:vAlign w:val="bottom"/>
          </w:tcPr>
          <w:p w:rsidR="00570B62" w:rsidRPr="00541D1A" w:rsidRDefault="00570B62" w:rsidP="00541D1A">
            <w:pPr>
              <w:spacing w:before="80" w:after="80" w:line="200" w:lineRule="exact"/>
              <w:jc w:val="right"/>
              <w:rPr>
                <w:i/>
                <w:sz w:val="16"/>
                <w:lang w:val="fr-CH"/>
              </w:rPr>
            </w:pPr>
            <w:r w:rsidRPr="00541D1A">
              <w:rPr>
                <w:i/>
                <w:sz w:val="16"/>
                <w:lang w:val="fr-CH"/>
              </w:rPr>
              <w:t>Femme</w:t>
            </w:r>
          </w:p>
        </w:tc>
        <w:tc>
          <w:tcPr>
            <w:tcW w:w="819" w:type="dxa"/>
            <w:tcBorders>
              <w:top w:val="single" w:sz="4" w:space="0" w:color="auto"/>
              <w:bottom w:val="single" w:sz="12" w:space="0" w:color="auto"/>
            </w:tcBorders>
            <w:shd w:val="clear" w:color="auto" w:fill="auto"/>
            <w:vAlign w:val="bottom"/>
          </w:tcPr>
          <w:p w:rsidR="00570B62" w:rsidRPr="00541D1A" w:rsidRDefault="001973D8" w:rsidP="00541D1A">
            <w:pPr>
              <w:spacing w:before="80" w:after="80" w:line="200" w:lineRule="exact"/>
              <w:jc w:val="right"/>
              <w:rPr>
                <w:i/>
                <w:sz w:val="16"/>
                <w:lang w:val="fr-CH"/>
              </w:rPr>
            </w:pPr>
            <w:r w:rsidRPr="00541D1A">
              <w:rPr>
                <w:i/>
                <w:sz w:val="16"/>
                <w:lang w:val="fr-CH"/>
              </w:rPr>
              <w:t xml:space="preserve"> %</w:t>
            </w:r>
          </w:p>
        </w:tc>
      </w:tr>
      <w:tr w:rsidR="00541D1A" w:rsidRPr="00541D1A" w:rsidTr="00541D1A">
        <w:tc>
          <w:tcPr>
            <w:tcW w:w="2141" w:type="dxa"/>
            <w:tcBorders>
              <w:top w:val="single" w:sz="12" w:space="0" w:color="auto"/>
            </w:tcBorders>
            <w:shd w:val="clear" w:color="auto" w:fill="auto"/>
          </w:tcPr>
          <w:p w:rsidR="00570B62" w:rsidRPr="00541D1A" w:rsidRDefault="00570B62" w:rsidP="00541D1A">
            <w:pPr>
              <w:spacing w:before="40" w:after="40" w:line="220" w:lineRule="exact"/>
              <w:rPr>
                <w:sz w:val="18"/>
                <w:lang w:val="fr-CH"/>
              </w:rPr>
            </w:pPr>
            <w:r w:rsidRPr="00541D1A">
              <w:rPr>
                <w:sz w:val="18"/>
                <w:lang w:val="fr-CH"/>
              </w:rPr>
              <w:t>Parti au pouvoir (RCD)</w:t>
            </w:r>
          </w:p>
        </w:tc>
        <w:tc>
          <w:tcPr>
            <w:tcW w:w="932" w:type="dxa"/>
            <w:tcBorders>
              <w:top w:val="single" w:sz="12" w:space="0" w:color="auto"/>
            </w:tcBorders>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lang w:val="fr-CH"/>
              </w:rPr>
              <w:t>116</w:t>
            </w:r>
          </w:p>
        </w:tc>
        <w:tc>
          <w:tcPr>
            <w:tcW w:w="822" w:type="dxa"/>
            <w:tcBorders>
              <w:top w:val="single" w:sz="12" w:space="0" w:color="auto"/>
            </w:tcBorders>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lang w:val="fr-CH"/>
              </w:rPr>
              <w:t>7</w:t>
            </w:r>
            <w:r w:rsidRPr="00DF2EA3">
              <w:rPr>
                <w:sz w:val="18"/>
                <w:szCs w:val="18"/>
                <w:rtl/>
                <w:lang w:val="fr-CH"/>
              </w:rPr>
              <w:t>7</w:t>
            </w:r>
            <w:r w:rsidRPr="00DF2EA3">
              <w:rPr>
                <w:sz w:val="18"/>
                <w:szCs w:val="18"/>
                <w:lang w:val="fr-CH"/>
              </w:rPr>
              <w:t>.</w:t>
            </w:r>
            <w:r w:rsidRPr="00DF2EA3">
              <w:rPr>
                <w:sz w:val="18"/>
                <w:szCs w:val="18"/>
                <w:rtl/>
                <w:lang w:val="fr-CH"/>
              </w:rPr>
              <w:t>85</w:t>
            </w:r>
          </w:p>
        </w:tc>
        <w:tc>
          <w:tcPr>
            <w:tcW w:w="888" w:type="dxa"/>
            <w:tcBorders>
              <w:top w:val="single" w:sz="12" w:space="0" w:color="auto"/>
            </w:tcBorders>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lang w:val="fr-CH"/>
              </w:rPr>
              <w:t>36</w:t>
            </w:r>
          </w:p>
        </w:tc>
        <w:tc>
          <w:tcPr>
            <w:tcW w:w="816" w:type="dxa"/>
            <w:tcBorders>
              <w:top w:val="single" w:sz="12" w:space="0" w:color="auto"/>
            </w:tcBorders>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rtl/>
                <w:lang w:val="fr-CH"/>
              </w:rPr>
              <w:t>90</w:t>
            </w:r>
          </w:p>
        </w:tc>
        <w:tc>
          <w:tcPr>
            <w:tcW w:w="839" w:type="dxa"/>
            <w:tcBorders>
              <w:top w:val="single" w:sz="12" w:space="0" w:color="auto"/>
            </w:tcBorders>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lang w:val="fr-CH"/>
              </w:rPr>
              <w:t>113</w:t>
            </w:r>
          </w:p>
        </w:tc>
        <w:tc>
          <w:tcPr>
            <w:tcW w:w="693" w:type="dxa"/>
            <w:tcBorders>
              <w:top w:val="single" w:sz="12" w:space="0" w:color="auto"/>
            </w:tcBorders>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lang w:val="fr-CH"/>
              </w:rPr>
              <w:t>7</w:t>
            </w:r>
            <w:r w:rsidRPr="00DF2EA3">
              <w:rPr>
                <w:sz w:val="18"/>
                <w:szCs w:val="18"/>
                <w:rtl/>
                <w:lang w:val="fr-CH"/>
              </w:rPr>
              <w:t>1</w:t>
            </w:r>
            <w:r w:rsidRPr="00DF2EA3">
              <w:rPr>
                <w:sz w:val="18"/>
                <w:szCs w:val="18"/>
                <w:lang w:val="fr-CH"/>
              </w:rPr>
              <w:t>.</w:t>
            </w:r>
            <w:r w:rsidRPr="00DF2EA3">
              <w:rPr>
                <w:sz w:val="18"/>
                <w:szCs w:val="18"/>
                <w:rtl/>
                <w:lang w:val="fr-CH"/>
              </w:rPr>
              <w:t>51</w:t>
            </w:r>
          </w:p>
        </w:tc>
        <w:tc>
          <w:tcPr>
            <w:tcW w:w="805" w:type="dxa"/>
            <w:tcBorders>
              <w:top w:val="single" w:sz="12" w:space="0" w:color="auto"/>
            </w:tcBorders>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lang w:val="fr-CH"/>
              </w:rPr>
              <w:t>48</w:t>
            </w:r>
          </w:p>
        </w:tc>
        <w:tc>
          <w:tcPr>
            <w:tcW w:w="819" w:type="dxa"/>
            <w:tcBorders>
              <w:top w:val="single" w:sz="12" w:space="0" w:color="auto"/>
            </w:tcBorders>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rtl/>
                <w:lang w:val="fr-CH"/>
              </w:rPr>
              <w:t>85</w:t>
            </w:r>
            <w:r w:rsidRPr="00DF2EA3">
              <w:rPr>
                <w:sz w:val="18"/>
                <w:szCs w:val="18"/>
                <w:lang w:val="fr-CH"/>
              </w:rPr>
              <w:t>.</w:t>
            </w:r>
            <w:r w:rsidRPr="00DF2EA3">
              <w:rPr>
                <w:sz w:val="18"/>
                <w:szCs w:val="18"/>
                <w:rtl/>
                <w:lang w:val="fr-CH"/>
              </w:rPr>
              <w:t>7</w:t>
            </w:r>
            <w:r w:rsidRPr="00DF2EA3">
              <w:rPr>
                <w:sz w:val="18"/>
                <w:szCs w:val="18"/>
                <w:lang w:val="fr-CH"/>
              </w:rPr>
              <w:t>1</w:t>
            </w:r>
          </w:p>
        </w:tc>
      </w:tr>
      <w:tr w:rsidR="00541D1A" w:rsidRPr="00541D1A" w:rsidTr="00541D1A">
        <w:tc>
          <w:tcPr>
            <w:tcW w:w="2141" w:type="dxa"/>
            <w:shd w:val="clear" w:color="auto" w:fill="auto"/>
          </w:tcPr>
          <w:p w:rsidR="00570B62" w:rsidRPr="00541D1A" w:rsidRDefault="00570B62" w:rsidP="00541D1A">
            <w:pPr>
              <w:spacing w:before="40" w:after="40" w:line="220" w:lineRule="exact"/>
              <w:rPr>
                <w:sz w:val="18"/>
                <w:lang w:val="fr-CH"/>
              </w:rPr>
            </w:pPr>
            <w:r w:rsidRPr="00541D1A">
              <w:rPr>
                <w:sz w:val="18"/>
                <w:lang w:val="fr-CH"/>
              </w:rPr>
              <w:t>Partis d</w:t>
            </w:r>
            <w:r w:rsidR="00961388" w:rsidRPr="00541D1A">
              <w:rPr>
                <w:sz w:val="18"/>
                <w:lang w:val="fr-CH"/>
              </w:rPr>
              <w:t>’</w:t>
            </w:r>
            <w:r w:rsidRPr="00541D1A">
              <w:rPr>
                <w:sz w:val="18"/>
                <w:lang w:val="fr-CH"/>
              </w:rPr>
              <w:t>opposition</w:t>
            </w:r>
          </w:p>
        </w:tc>
        <w:tc>
          <w:tcPr>
            <w:tcW w:w="932" w:type="dxa"/>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lang w:val="fr-CH"/>
              </w:rPr>
              <w:t>33</w:t>
            </w:r>
          </w:p>
        </w:tc>
        <w:tc>
          <w:tcPr>
            <w:tcW w:w="822" w:type="dxa"/>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rtl/>
                <w:lang w:val="fr-CH"/>
              </w:rPr>
              <w:t>22</w:t>
            </w:r>
            <w:r w:rsidRPr="00DF2EA3">
              <w:rPr>
                <w:sz w:val="18"/>
                <w:szCs w:val="18"/>
                <w:lang w:val="fr-CH"/>
              </w:rPr>
              <w:t>.</w:t>
            </w:r>
            <w:r w:rsidRPr="00DF2EA3">
              <w:rPr>
                <w:sz w:val="18"/>
                <w:szCs w:val="18"/>
                <w:rtl/>
                <w:lang w:val="fr-CH"/>
              </w:rPr>
              <w:t>15</w:t>
            </w:r>
          </w:p>
        </w:tc>
        <w:tc>
          <w:tcPr>
            <w:tcW w:w="888" w:type="dxa"/>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lang w:val="fr-CH"/>
              </w:rPr>
              <w:t>4</w:t>
            </w:r>
          </w:p>
        </w:tc>
        <w:tc>
          <w:tcPr>
            <w:tcW w:w="816" w:type="dxa"/>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lang w:val="fr-CH"/>
              </w:rPr>
              <w:t>10</w:t>
            </w:r>
          </w:p>
        </w:tc>
        <w:tc>
          <w:tcPr>
            <w:tcW w:w="839" w:type="dxa"/>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lang w:val="fr-CH"/>
              </w:rPr>
              <w:t>45</w:t>
            </w:r>
          </w:p>
        </w:tc>
        <w:tc>
          <w:tcPr>
            <w:tcW w:w="693" w:type="dxa"/>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rtl/>
                <w:lang w:val="fr-CH"/>
              </w:rPr>
              <w:t>28</w:t>
            </w:r>
            <w:r w:rsidRPr="00DF2EA3">
              <w:rPr>
                <w:sz w:val="18"/>
                <w:szCs w:val="18"/>
                <w:lang w:val="fr-CH"/>
              </w:rPr>
              <w:t>.</w:t>
            </w:r>
            <w:r w:rsidRPr="00DF2EA3">
              <w:rPr>
                <w:sz w:val="18"/>
                <w:szCs w:val="18"/>
                <w:rtl/>
                <w:lang w:val="fr-CH"/>
              </w:rPr>
              <w:t>49</w:t>
            </w:r>
          </w:p>
        </w:tc>
        <w:tc>
          <w:tcPr>
            <w:tcW w:w="805" w:type="dxa"/>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lang w:val="fr-CH"/>
              </w:rPr>
              <w:t>8</w:t>
            </w:r>
          </w:p>
        </w:tc>
        <w:tc>
          <w:tcPr>
            <w:tcW w:w="819" w:type="dxa"/>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lang w:val="fr-CH"/>
              </w:rPr>
              <w:t>1</w:t>
            </w:r>
            <w:r w:rsidRPr="00DF2EA3">
              <w:rPr>
                <w:sz w:val="18"/>
                <w:szCs w:val="18"/>
                <w:rtl/>
                <w:lang w:val="fr-CH"/>
              </w:rPr>
              <w:t>4</w:t>
            </w:r>
            <w:r w:rsidRPr="00DF2EA3">
              <w:rPr>
                <w:sz w:val="18"/>
                <w:szCs w:val="18"/>
                <w:lang w:val="fr-CH"/>
              </w:rPr>
              <w:t>.</w:t>
            </w:r>
            <w:r w:rsidRPr="00DF2EA3">
              <w:rPr>
                <w:sz w:val="18"/>
                <w:szCs w:val="18"/>
                <w:rtl/>
                <w:lang w:val="fr-CH"/>
              </w:rPr>
              <w:t>29</w:t>
            </w:r>
          </w:p>
        </w:tc>
      </w:tr>
      <w:tr w:rsidR="00541D1A" w:rsidRPr="00541D1A" w:rsidTr="00541D1A">
        <w:tc>
          <w:tcPr>
            <w:tcW w:w="2141" w:type="dxa"/>
            <w:shd w:val="clear" w:color="auto" w:fill="auto"/>
          </w:tcPr>
          <w:p w:rsidR="00570B62" w:rsidRPr="00541D1A" w:rsidRDefault="00570B62" w:rsidP="00541D1A">
            <w:pPr>
              <w:spacing w:before="40" w:after="40" w:line="220" w:lineRule="exact"/>
              <w:rPr>
                <w:sz w:val="18"/>
                <w:lang w:val="fr-CH"/>
              </w:rPr>
            </w:pPr>
            <w:r w:rsidRPr="00541D1A">
              <w:rPr>
                <w:sz w:val="18"/>
                <w:lang w:val="fr-CH"/>
              </w:rPr>
              <w:t xml:space="preserve">Total/genre </w:t>
            </w:r>
          </w:p>
        </w:tc>
        <w:tc>
          <w:tcPr>
            <w:tcW w:w="932" w:type="dxa"/>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lang w:val="fr-CH"/>
              </w:rPr>
              <w:t>149</w:t>
            </w:r>
          </w:p>
        </w:tc>
        <w:tc>
          <w:tcPr>
            <w:tcW w:w="822" w:type="dxa"/>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lang w:val="fr-CH"/>
              </w:rPr>
              <w:t>78,84</w:t>
            </w:r>
          </w:p>
        </w:tc>
        <w:tc>
          <w:tcPr>
            <w:tcW w:w="888" w:type="dxa"/>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lang w:val="fr-CH"/>
              </w:rPr>
              <w:t>40</w:t>
            </w:r>
          </w:p>
        </w:tc>
        <w:tc>
          <w:tcPr>
            <w:tcW w:w="816" w:type="dxa"/>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lang w:val="fr-CH"/>
              </w:rPr>
              <w:t>21,16</w:t>
            </w:r>
          </w:p>
        </w:tc>
        <w:tc>
          <w:tcPr>
            <w:tcW w:w="839" w:type="dxa"/>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lang w:val="fr-CH"/>
              </w:rPr>
              <w:t>158</w:t>
            </w:r>
          </w:p>
        </w:tc>
        <w:tc>
          <w:tcPr>
            <w:tcW w:w="693" w:type="dxa"/>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lang w:val="fr-CH"/>
              </w:rPr>
              <w:t>73,83</w:t>
            </w:r>
          </w:p>
        </w:tc>
        <w:tc>
          <w:tcPr>
            <w:tcW w:w="805" w:type="dxa"/>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lang w:val="fr-CH"/>
              </w:rPr>
              <w:t>56</w:t>
            </w:r>
          </w:p>
        </w:tc>
        <w:tc>
          <w:tcPr>
            <w:tcW w:w="819" w:type="dxa"/>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lang w:val="fr-CH"/>
              </w:rPr>
              <w:t>26,17</w:t>
            </w:r>
          </w:p>
        </w:tc>
      </w:tr>
      <w:tr w:rsidR="00570B62" w:rsidRPr="00541D1A" w:rsidTr="00541D1A">
        <w:tc>
          <w:tcPr>
            <w:tcW w:w="2141" w:type="dxa"/>
            <w:shd w:val="clear" w:color="auto" w:fill="auto"/>
          </w:tcPr>
          <w:p w:rsidR="00570B62" w:rsidRPr="00541D1A" w:rsidRDefault="00570B62" w:rsidP="00541D1A">
            <w:pPr>
              <w:spacing w:before="40" w:after="40" w:line="220" w:lineRule="exact"/>
              <w:rPr>
                <w:sz w:val="18"/>
                <w:lang w:val="fr-CH"/>
              </w:rPr>
            </w:pPr>
            <w:r w:rsidRPr="00541D1A">
              <w:rPr>
                <w:sz w:val="18"/>
                <w:lang w:val="fr-CH"/>
              </w:rPr>
              <w:t xml:space="preserve">Total des députés </w:t>
            </w:r>
          </w:p>
        </w:tc>
        <w:tc>
          <w:tcPr>
            <w:tcW w:w="3458" w:type="dxa"/>
            <w:gridSpan w:val="4"/>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lang w:val="fr-CH"/>
              </w:rPr>
              <w:t>189</w:t>
            </w:r>
          </w:p>
        </w:tc>
        <w:tc>
          <w:tcPr>
            <w:tcW w:w="3156" w:type="dxa"/>
            <w:gridSpan w:val="4"/>
            <w:shd w:val="clear" w:color="auto" w:fill="auto"/>
            <w:vAlign w:val="bottom"/>
          </w:tcPr>
          <w:p w:rsidR="00570B62" w:rsidRPr="00DF2EA3" w:rsidRDefault="00570B62" w:rsidP="00541D1A">
            <w:pPr>
              <w:spacing w:before="40" w:after="40" w:line="220" w:lineRule="exact"/>
              <w:jc w:val="right"/>
              <w:rPr>
                <w:sz w:val="18"/>
                <w:szCs w:val="18"/>
                <w:lang w:val="fr-CH"/>
              </w:rPr>
            </w:pPr>
            <w:r w:rsidRPr="00DF2EA3">
              <w:rPr>
                <w:sz w:val="18"/>
                <w:szCs w:val="18"/>
                <w:lang w:val="fr-CH"/>
              </w:rPr>
              <w:t>214</w:t>
            </w:r>
          </w:p>
        </w:tc>
      </w:tr>
    </w:tbl>
    <w:p w:rsidR="00570B62" w:rsidRPr="00961388" w:rsidRDefault="00570B62" w:rsidP="00F54CE5">
      <w:pPr>
        <w:pStyle w:val="SingleTxtG"/>
        <w:spacing w:before="240"/>
        <w:rPr>
          <w:lang w:val="fr-CH"/>
        </w:rPr>
      </w:pPr>
      <w:r w:rsidRPr="00961388">
        <w:rPr>
          <w:lang w:val="fr-CH"/>
        </w:rPr>
        <w:t>203.</w:t>
      </w:r>
      <w:r w:rsidRPr="00961388">
        <w:rPr>
          <w:lang w:val="fr-CH"/>
        </w:rPr>
        <w:tab/>
        <w:t>Enfin, il est important de souligner la volonté exprimée par le Président de la République dans son programme présidentiel</w:t>
      </w:r>
      <w:r w:rsidR="00961388">
        <w:rPr>
          <w:lang w:val="fr-CH"/>
        </w:rPr>
        <w:t>:</w:t>
      </w:r>
      <w:r w:rsidR="00DF2EA3">
        <w:rPr>
          <w:lang w:val="fr-CH"/>
        </w:rPr>
        <w:t xml:space="preserve"> </w:t>
      </w:r>
      <w:r w:rsidR="00961388">
        <w:rPr>
          <w:lang w:val="fr-CH"/>
        </w:rPr>
        <w:t>«</w:t>
      </w:r>
      <w:r w:rsidRPr="00961388">
        <w:rPr>
          <w:lang w:val="fr-CH"/>
        </w:rPr>
        <w:t>Ensemble, relevons les défis</w:t>
      </w:r>
      <w:r w:rsidR="00961388">
        <w:rPr>
          <w:lang w:val="fr-CH"/>
        </w:rPr>
        <w:t>»</w:t>
      </w:r>
      <w:r w:rsidRPr="00961388">
        <w:rPr>
          <w:lang w:val="fr-CH"/>
        </w:rPr>
        <w:t xml:space="preserve"> 2009-2014 de renforcer davantage la présence des femmes dans les postes de prise décision, pour atteindre 35</w:t>
      </w:r>
      <w:r w:rsidR="001973D8">
        <w:rPr>
          <w:lang w:val="fr-CH"/>
        </w:rPr>
        <w:t xml:space="preserve"> %</w:t>
      </w:r>
      <w:r w:rsidRPr="00961388">
        <w:rPr>
          <w:lang w:val="fr-CH"/>
        </w:rPr>
        <w:t xml:space="preserve"> au moins au cours du mandat présidentiel 2009-2014. </w:t>
      </w:r>
    </w:p>
    <w:p w:rsidR="00570B62" w:rsidRPr="00961388" w:rsidRDefault="00F54CE5" w:rsidP="00F54CE5">
      <w:pPr>
        <w:pStyle w:val="H23G"/>
        <w:rPr>
          <w:lang w:val="fr-CH"/>
        </w:rPr>
      </w:pPr>
      <w:r>
        <w:rPr>
          <w:lang w:val="fr-CH"/>
        </w:rPr>
        <w:tab/>
      </w:r>
      <w:r>
        <w:rPr>
          <w:lang w:val="fr-CH"/>
        </w:rPr>
        <w:tab/>
      </w:r>
      <w:r w:rsidR="00570B62" w:rsidRPr="00961388">
        <w:rPr>
          <w:lang w:val="fr-CH"/>
        </w:rPr>
        <w:t xml:space="preserve">Réponse au paragraphe 20 </w:t>
      </w:r>
      <w:r w:rsidR="00910D7D">
        <w:rPr>
          <w:lang w:val="fr-CH"/>
        </w:rPr>
        <w:t>de la liste de points à traiter</w:t>
      </w:r>
    </w:p>
    <w:p w:rsidR="00570B62" w:rsidRPr="00961388" w:rsidRDefault="00570B62" w:rsidP="00541D1A">
      <w:pPr>
        <w:pStyle w:val="SingleTxtG"/>
        <w:keepNext/>
        <w:keepLines/>
        <w:rPr>
          <w:lang w:val="fr-CH"/>
        </w:rPr>
      </w:pPr>
      <w:r w:rsidRPr="00961388">
        <w:rPr>
          <w:lang w:val="fr-CH"/>
        </w:rPr>
        <w:t>204.</w:t>
      </w:r>
      <w:r w:rsidRPr="00961388">
        <w:rPr>
          <w:lang w:val="fr-CH"/>
        </w:rPr>
        <w:tab/>
        <w:t>Il est indéniable aujourd</w:t>
      </w:r>
      <w:r w:rsidR="00961388">
        <w:rPr>
          <w:lang w:val="fr-CH"/>
        </w:rPr>
        <w:t>’</w:t>
      </w:r>
      <w:r w:rsidRPr="00961388">
        <w:rPr>
          <w:lang w:val="fr-CH"/>
        </w:rPr>
        <w:t>hui que grâce à la volonté politique, stimulée par deux facteurs fondamentaux</w:t>
      </w:r>
      <w:r w:rsidR="00961388">
        <w:rPr>
          <w:lang w:val="fr-CH"/>
        </w:rPr>
        <w:t>:</w:t>
      </w:r>
      <w:r w:rsidRPr="00961388">
        <w:rPr>
          <w:lang w:val="fr-CH"/>
        </w:rPr>
        <w:t xml:space="preserve"> la promulgation du Code du statut personnel et le développement de l</w:t>
      </w:r>
      <w:r w:rsidR="00961388">
        <w:rPr>
          <w:lang w:val="fr-CH"/>
        </w:rPr>
        <w:t>’</w:t>
      </w:r>
      <w:r w:rsidRPr="00961388">
        <w:rPr>
          <w:lang w:val="fr-CH"/>
        </w:rPr>
        <w:t>éducation, la place de la femme tunisienne a été renforcée dans tous les domaines et notamment dans les postes de décision et de responsabilité.</w:t>
      </w:r>
    </w:p>
    <w:p w:rsidR="00570B62" w:rsidRPr="00961388" w:rsidRDefault="00570B62" w:rsidP="00F54CE5">
      <w:pPr>
        <w:pStyle w:val="SingleTxtG"/>
        <w:rPr>
          <w:lang w:val="fr-CH"/>
        </w:rPr>
      </w:pPr>
      <w:r w:rsidRPr="00961388">
        <w:rPr>
          <w:lang w:val="fr-CH"/>
        </w:rPr>
        <w:t>205.</w:t>
      </w:r>
      <w:r w:rsidRPr="00961388">
        <w:rPr>
          <w:lang w:val="fr-CH"/>
        </w:rPr>
        <w:tab/>
        <w:t>Une série de mesures temporaires spéciales ont été décidées et appliquées, dans le vécu politique, social et économique des femmes. Ces mesures spécifiques n</w:t>
      </w:r>
      <w:r w:rsidR="00961388">
        <w:rPr>
          <w:lang w:val="fr-CH"/>
        </w:rPr>
        <w:t>’</w:t>
      </w:r>
      <w:r w:rsidRPr="00961388">
        <w:rPr>
          <w:lang w:val="fr-CH"/>
        </w:rPr>
        <w:t>ont pas touché uniquement le domaine politique. Des mesures semblables ont été également prises en matière de développement en général.</w:t>
      </w:r>
    </w:p>
    <w:p w:rsidR="00570B62" w:rsidRPr="00961388" w:rsidRDefault="00570B62" w:rsidP="00F54CE5">
      <w:pPr>
        <w:pStyle w:val="SingleTxtG"/>
        <w:rPr>
          <w:lang w:val="fr-CH"/>
        </w:rPr>
      </w:pPr>
      <w:r w:rsidRPr="00961388">
        <w:rPr>
          <w:lang w:val="fr-CH"/>
        </w:rPr>
        <w:t>206.</w:t>
      </w:r>
      <w:r w:rsidRPr="00961388">
        <w:rPr>
          <w:lang w:val="fr-CH"/>
        </w:rPr>
        <w:tab/>
        <w:t>A titre d</w:t>
      </w:r>
      <w:r w:rsidR="00961388">
        <w:rPr>
          <w:lang w:val="fr-CH"/>
        </w:rPr>
        <w:t>’</w:t>
      </w:r>
      <w:r w:rsidRPr="00961388">
        <w:rPr>
          <w:lang w:val="fr-CH"/>
        </w:rPr>
        <w:t>exemple, nous citons la mesure prise par le Rassemblement constitutionnel démocratique (RCD</w:t>
      </w:r>
      <w:r w:rsidR="00961388">
        <w:rPr>
          <w:lang w:val="fr-CH"/>
        </w:rPr>
        <w:t>:</w:t>
      </w:r>
      <w:r w:rsidRPr="00961388">
        <w:rPr>
          <w:lang w:val="fr-CH"/>
        </w:rPr>
        <w:t xml:space="preserve"> parti au pouvoir d</w:t>
      </w:r>
      <w:r w:rsidR="00961388">
        <w:rPr>
          <w:lang w:val="fr-CH"/>
        </w:rPr>
        <w:t>’</w:t>
      </w:r>
      <w:r w:rsidRPr="00961388">
        <w:rPr>
          <w:lang w:val="fr-CH"/>
        </w:rPr>
        <w:t>intégrer sur ses listes aux élections législatives et pour toutes les communes un taux de femmes de 30</w:t>
      </w:r>
      <w:r w:rsidR="001973D8">
        <w:rPr>
          <w:lang w:val="fr-CH"/>
        </w:rPr>
        <w:t xml:space="preserve"> %</w:t>
      </w:r>
      <w:r w:rsidRPr="00961388">
        <w:rPr>
          <w:lang w:val="fr-CH"/>
        </w:rPr>
        <w:t xml:space="preserve"> au moins</w:t>
      </w:r>
      <w:r w:rsidRPr="00961388">
        <w:rPr>
          <w:rtl/>
          <w:lang w:val="fr-CH"/>
        </w:rPr>
        <w:t>.</w:t>
      </w:r>
      <w:r w:rsidRPr="00961388">
        <w:rPr>
          <w:lang w:val="fr-CH"/>
        </w:rPr>
        <w:t xml:space="preserve"> Ce qui s</w:t>
      </w:r>
      <w:r w:rsidR="00961388">
        <w:rPr>
          <w:lang w:val="fr-CH"/>
        </w:rPr>
        <w:t>’</w:t>
      </w:r>
      <w:r w:rsidRPr="00961388">
        <w:rPr>
          <w:lang w:val="fr-CH"/>
        </w:rPr>
        <w:t>est traduit par un taux de 27,5</w:t>
      </w:r>
      <w:r w:rsidR="001973D8">
        <w:rPr>
          <w:lang w:val="fr-CH"/>
        </w:rPr>
        <w:t xml:space="preserve"> %</w:t>
      </w:r>
      <w:r w:rsidRPr="00961388">
        <w:rPr>
          <w:lang w:val="fr-CH"/>
        </w:rPr>
        <w:t xml:space="preserve"> de femmes élues à la Chambre des députés pour la législature (2009-2014). Les femmes membres du Comité central du RCD représentent actuellement 38</w:t>
      </w:r>
      <w:r w:rsidR="001973D8">
        <w:rPr>
          <w:lang w:val="fr-CH"/>
        </w:rPr>
        <w:t xml:space="preserve"> %</w:t>
      </w:r>
      <w:r w:rsidRPr="00961388">
        <w:rPr>
          <w:lang w:val="fr-CH"/>
        </w:rPr>
        <w:t>.</w:t>
      </w:r>
    </w:p>
    <w:p w:rsidR="00570B62" w:rsidRPr="00961388" w:rsidRDefault="00570B62" w:rsidP="00F54CE5">
      <w:pPr>
        <w:pStyle w:val="SingleTxtG"/>
        <w:rPr>
          <w:lang w:val="fr-CH"/>
        </w:rPr>
      </w:pPr>
      <w:r w:rsidRPr="00961388">
        <w:rPr>
          <w:lang w:val="fr-CH"/>
        </w:rPr>
        <w:t>207.</w:t>
      </w:r>
      <w:r w:rsidRPr="00961388">
        <w:rPr>
          <w:lang w:val="fr-CH"/>
        </w:rPr>
        <w:tab/>
        <w:t>Une mesure similaire à été prise pour intégrer un taux de 35</w:t>
      </w:r>
      <w:r w:rsidR="001973D8">
        <w:rPr>
          <w:lang w:val="fr-CH"/>
        </w:rPr>
        <w:t xml:space="preserve"> %</w:t>
      </w:r>
      <w:r w:rsidRPr="00961388">
        <w:rPr>
          <w:lang w:val="fr-CH"/>
        </w:rPr>
        <w:t xml:space="preserve"> de femmes sur les listes du RCD dans les élections municipales du 9 mai 2010. </w:t>
      </w:r>
    </w:p>
    <w:p w:rsidR="00570B62" w:rsidRPr="00961388" w:rsidRDefault="00570B62" w:rsidP="00F54CE5">
      <w:pPr>
        <w:pStyle w:val="SingleTxtG"/>
        <w:rPr>
          <w:lang w:val="fr-CH"/>
        </w:rPr>
      </w:pPr>
      <w:r w:rsidRPr="00961388">
        <w:rPr>
          <w:lang w:val="fr-CH"/>
        </w:rPr>
        <w:t>208.</w:t>
      </w:r>
      <w:r w:rsidRPr="00961388">
        <w:rPr>
          <w:lang w:val="fr-CH"/>
        </w:rPr>
        <w:tab/>
        <w:t>Des sessions de formation ont été également organisées en faveur des femmes par le Centre de recherche, d</w:t>
      </w:r>
      <w:r w:rsidR="00961388">
        <w:rPr>
          <w:lang w:val="fr-CH"/>
        </w:rPr>
        <w:t>’</w:t>
      </w:r>
      <w:r w:rsidRPr="00961388">
        <w:rPr>
          <w:lang w:val="fr-CH"/>
        </w:rPr>
        <w:t>étude, de documentation et d</w:t>
      </w:r>
      <w:r w:rsidR="00961388">
        <w:rPr>
          <w:lang w:val="fr-CH"/>
        </w:rPr>
        <w:t>’</w:t>
      </w:r>
      <w:r w:rsidRPr="00961388">
        <w:rPr>
          <w:lang w:val="fr-CH"/>
        </w:rPr>
        <w:t>information sur les femmes (CREDIF) traitant des questions de la participation de la femme dans la vie publique et dans la prise de décision et préparant celles-ci à l</w:t>
      </w:r>
      <w:r w:rsidR="00961388">
        <w:rPr>
          <w:lang w:val="fr-CH"/>
        </w:rPr>
        <w:t>’</w:t>
      </w:r>
      <w:r w:rsidRPr="00961388">
        <w:rPr>
          <w:lang w:val="fr-CH"/>
        </w:rPr>
        <w:t>exercice de leurs responsabilités.</w:t>
      </w:r>
    </w:p>
    <w:p w:rsidR="00570B62" w:rsidRPr="00961388" w:rsidRDefault="00570B62" w:rsidP="00F54CE5">
      <w:pPr>
        <w:pStyle w:val="SingleTxtG"/>
        <w:rPr>
          <w:lang w:val="fr-CH"/>
        </w:rPr>
      </w:pPr>
      <w:r w:rsidRPr="00961388">
        <w:rPr>
          <w:lang w:val="fr-CH"/>
        </w:rPr>
        <w:t>209.</w:t>
      </w:r>
      <w:r w:rsidRPr="00961388">
        <w:rPr>
          <w:lang w:val="fr-CH"/>
        </w:rPr>
        <w:tab/>
        <w:t xml:space="preserve">Par ailleurs, </w:t>
      </w:r>
      <w:r w:rsidRPr="00F54CE5">
        <w:t>u</w:t>
      </w:r>
      <w:r w:rsidRPr="00961388">
        <w:rPr>
          <w:lang w:val="fr-CH"/>
        </w:rPr>
        <w:t>ne approche de planification et de programmation de politiques fondée sur le genre est entrain d</w:t>
      </w:r>
      <w:r w:rsidR="00961388">
        <w:rPr>
          <w:lang w:val="fr-CH"/>
        </w:rPr>
        <w:t>’</w:t>
      </w:r>
      <w:r w:rsidRPr="00961388">
        <w:rPr>
          <w:lang w:val="fr-CH"/>
        </w:rPr>
        <w:t xml:space="preserve">être mise en </w:t>
      </w:r>
      <w:r w:rsidR="00593CC2">
        <w:rPr>
          <w:lang w:val="fr-CH"/>
        </w:rPr>
        <w:t xml:space="preserve">œuvre </w:t>
      </w:r>
      <w:r w:rsidRPr="00961388">
        <w:rPr>
          <w:lang w:val="fr-CH"/>
        </w:rPr>
        <w:t>dans le but de réduire davantage les éventuels écarts entre les taux de présence des hommes et des femmes dans les différents domaines.</w:t>
      </w:r>
    </w:p>
    <w:p w:rsidR="00570B62" w:rsidRPr="00961388" w:rsidRDefault="00570B62" w:rsidP="00F54CE5">
      <w:pPr>
        <w:pStyle w:val="SingleTxtG"/>
        <w:rPr>
          <w:lang w:val="fr-CH"/>
        </w:rPr>
      </w:pPr>
      <w:r w:rsidRPr="00961388">
        <w:rPr>
          <w:lang w:val="fr-CH"/>
        </w:rPr>
        <w:t>210.</w:t>
      </w:r>
      <w:r w:rsidRPr="00961388">
        <w:rPr>
          <w:lang w:val="fr-CH"/>
        </w:rPr>
        <w:tab/>
        <w:t>Actuellement, le taux de présence des femmes au sein du pouvoir exécutif est de 14,9</w:t>
      </w:r>
      <w:r w:rsidR="001973D8">
        <w:rPr>
          <w:lang w:val="fr-CH"/>
        </w:rPr>
        <w:t xml:space="preserve"> %</w:t>
      </w:r>
      <w:r w:rsidRPr="00961388">
        <w:rPr>
          <w:lang w:val="fr-CH"/>
        </w:rPr>
        <w:t>. Le pourcentage des femmes députées au sein de la Chambre des députés est de 27,5</w:t>
      </w:r>
      <w:r w:rsidR="001973D8">
        <w:rPr>
          <w:lang w:val="fr-CH"/>
        </w:rPr>
        <w:t> %</w:t>
      </w:r>
      <w:r w:rsidRPr="00961388">
        <w:rPr>
          <w:lang w:val="fr-CH"/>
        </w:rPr>
        <w:t xml:space="preserve"> en 2009 alors qu</w:t>
      </w:r>
      <w:r w:rsidR="00961388">
        <w:rPr>
          <w:lang w:val="fr-CH"/>
        </w:rPr>
        <w:t>’</w:t>
      </w:r>
      <w:r w:rsidRPr="00961388">
        <w:rPr>
          <w:lang w:val="fr-CH"/>
        </w:rPr>
        <w:t>il était de 22,5</w:t>
      </w:r>
      <w:r w:rsidR="001973D8">
        <w:rPr>
          <w:lang w:val="fr-CH"/>
        </w:rPr>
        <w:t xml:space="preserve"> %</w:t>
      </w:r>
      <w:r w:rsidRPr="00961388">
        <w:rPr>
          <w:lang w:val="fr-CH"/>
        </w:rPr>
        <w:t xml:space="preserve"> en 2004. Il est de 19</w:t>
      </w:r>
      <w:r w:rsidR="001973D8">
        <w:rPr>
          <w:lang w:val="fr-CH"/>
        </w:rPr>
        <w:t xml:space="preserve"> %</w:t>
      </w:r>
      <w:r w:rsidRPr="00961388">
        <w:rPr>
          <w:lang w:val="fr-CH"/>
        </w:rPr>
        <w:t xml:space="preserve"> à la Chambre des conseillers. Une femme occupe le poste de deuxième vice-président à la Chambre des députés. Une femme occupe aussi le poste de deuxième vice-président à la Chambre des conseillers. Le taux de présence des femmes est de près de 33</w:t>
      </w:r>
      <w:r w:rsidR="001973D8">
        <w:rPr>
          <w:lang w:val="fr-CH"/>
        </w:rPr>
        <w:t xml:space="preserve"> %</w:t>
      </w:r>
      <w:r w:rsidRPr="00961388">
        <w:rPr>
          <w:lang w:val="fr-CH"/>
        </w:rPr>
        <w:t xml:space="preserve"> aux conseils municipaux. Le pourcentage des femmes occupant un emploi fonctionnel dans la fonction publique est de 25</w:t>
      </w:r>
      <w:r w:rsidR="001973D8">
        <w:rPr>
          <w:lang w:val="fr-CH"/>
        </w:rPr>
        <w:t xml:space="preserve"> %</w:t>
      </w:r>
      <w:r w:rsidRPr="00961388">
        <w:rPr>
          <w:lang w:val="fr-CH"/>
        </w:rPr>
        <w:t xml:space="preserve"> en 2009 contre 22,1</w:t>
      </w:r>
      <w:r w:rsidR="001973D8">
        <w:rPr>
          <w:lang w:val="fr-CH"/>
        </w:rPr>
        <w:t xml:space="preserve"> %</w:t>
      </w:r>
      <w:r w:rsidRPr="00961388">
        <w:rPr>
          <w:lang w:val="fr-CH"/>
        </w:rPr>
        <w:t xml:space="preserve"> en 2003.</w:t>
      </w:r>
    </w:p>
    <w:p w:rsidR="00570B62" w:rsidRPr="00961388" w:rsidRDefault="00570B62" w:rsidP="00F54CE5">
      <w:pPr>
        <w:pStyle w:val="H1G"/>
        <w:rPr>
          <w:lang w:val="fr-CH"/>
        </w:rPr>
      </w:pPr>
      <w:r w:rsidRPr="00961388">
        <w:rPr>
          <w:lang w:val="fr-CH"/>
        </w:rPr>
        <w:tab/>
      </w:r>
      <w:r w:rsidRPr="00961388">
        <w:rPr>
          <w:lang w:val="fr-CH"/>
        </w:rPr>
        <w:tab/>
        <w:t>Nationalité</w:t>
      </w:r>
    </w:p>
    <w:p w:rsidR="00570B62" w:rsidRPr="00961388" w:rsidRDefault="00F54CE5" w:rsidP="00F54CE5">
      <w:pPr>
        <w:pStyle w:val="H23G"/>
        <w:rPr>
          <w:lang w:val="fr-CH"/>
        </w:rPr>
      </w:pPr>
      <w:r>
        <w:rPr>
          <w:lang w:val="fr-CH"/>
        </w:rPr>
        <w:tab/>
      </w:r>
      <w:r>
        <w:rPr>
          <w:lang w:val="fr-CH"/>
        </w:rPr>
        <w:tab/>
      </w:r>
      <w:r w:rsidR="00570B62" w:rsidRPr="00961388">
        <w:rPr>
          <w:lang w:val="fr-CH"/>
        </w:rPr>
        <w:t xml:space="preserve">Réponse au paragraphe 21 </w:t>
      </w:r>
      <w:r w:rsidR="00910D7D">
        <w:rPr>
          <w:lang w:val="fr-CH"/>
        </w:rPr>
        <w:t>de la liste de points à traiter</w:t>
      </w:r>
    </w:p>
    <w:p w:rsidR="00570B62" w:rsidRPr="00961388" w:rsidRDefault="00570B62" w:rsidP="00F54CE5">
      <w:pPr>
        <w:pStyle w:val="SingleTxtG"/>
        <w:rPr>
          <w:lang w:val="fr-CH"/>
        </w:rPr>
      </w:pPr>
      <w:r w:rsidRPr="00961388">
        <w:rPr>
          <w:lang w:val="fr-CH"/>
        </w:rPr>
        <w:t>211.</w:t>
      </w:r>
      <w:r w:rsidRPr="00961388">
        <w:rPr>
          <w:lang w:val="fr-CH"/>
        </w:rPr>
        <w:tab/>
        <w:t>Tout d</w:t>
      </w:r>
      <w:r w:rsidR="00961388">
        <w:rPr>
          <w:lang w:val="fr-CH"/>
        </w:rPr>
        <w:t>’</w:t>
      </w:r>
      <w:r w:rsidRPr="00961388">
        <w:rPr>
          <w:lang w:val="fr-CH"/>
        </w:rPr>
        <w:t>abord, il sied de rappeler que la Tunisie s</w:t>
      </w:r>
      <w:r w:rsidR="00961388">
        <w:rPr>
          <w:lang w:val="fr-CH"/>
        </w:rPr>
        <w:t>’</w:t>
      </w:r>
      <w:r w:rsidRPr="00961388">
        <w:rPr>
          <w:lang w:val="fr-CH"/>
        </w:rPr>
        <w:t>est d</w:t>
      </w:r>
      <w:r w:rsidR="00961388">
        <w:rPr>
          <w:lang w:val="fr-CH"/>
        </w:rPr>
        <w:t>’</w:t>
      </w:r>
      <w:r w:rsidRPr="00961388">
        <w:rPr>
          <w:lang w:val="fr-CH"/>
        </w:rPr>
        <w:t>ores et déjà engagée sur la voix de la réforme de sa législation relative à la nationalité afin de lui assurer une meilleure adaptation aux normes et principes internationaux en la matière. Des avancées considérables ont été enregistrées dans ce domaine.</w:t>
      </w:r>
    </w:p>
    <w:p w:rsidR="00570B62" w:rsidRPr="00961388" w:rsidRDefault="00570B62" w:rsidP="00F54CE5">
      <w:pPr>
        <w:pStyle w:val="SingleTxtG"/>
        <w:rPr>
          <w:lang w:val="fr-CH"/>
        </w:rPr>
      </w:pPr>
      <w:r w:rsidRPr="00961388">
        <w:rPr>
          <w:lang w:val="fr-CH"/>
        </w:rPr>
        <w:t>212.</w:t>
      </w:r>
      <w:r w:rsidRPr="00961388">
        <w:rPr>
          <w:lang w:val="fr-CH"/>
        </w:rPr>
        <w:tab/>
        <w:t>La Tunisie continue ses efforts en relançant chaque fois qu</w:t>
      </w:r>
      <w:r w:rsidR="00961388">
        <w:rPr>
          <w:lang w:val="fr-CH"/>
        </w:rPr>
        <w:t>’</w:t>
      </w:r>
      <w:r w:rsidRPr="00961388">
        <w:rPr>
          <w:lang w:val="fr-CH"/>
        </w:rPr>
        <w:t>il est opportun de le faire la discussion en vue de revoir sa position par rapport notamment aux réserves concernant la CEDAW. Ces efforts se sont concrétisés particulièrement par la création d</w:t>
      </w:r>
      <w:r w:rsidR="00961388">
        <w:rPr>
          <w:lang w:val="fr-CH"/>
        </w:rPr>
        <w:t>’</w:t>
      </w:r>
      <w:r w:rsidRPr="00961388">
        <w:rPr>
          <w:lang w:val="fr-CH"/>
        </w:rPr>
        <w:t>une nouvelle instance auprès du Coordinateur général des droits de l</w:t>
      </w:r>
      <w:r w:rsidR="00961388">
        <w:rPr>
          <w:lang w:val="fr-CH"/>
        </w:rPr>
        <w:t>’</w:t>
      </w:r>
      <w:r w:rsidRPr="00961388">
        <w:rPr>
          <w:lang w:val="fr-CH"/>
        </w:rPr>
        <w:t>homme au Ministère de la justice et des droits de l</w:t>
      </w:r>
      <w:r w:rsidR="00961388">
        <w:rPr>
          <w:lang w:val="fr-CH"/>
        </w:rPr>
        <w:t>’</w:t>
      </w:r>
      <w:r w:rsidRPr="00961388">
        <w:rPr>
          <w:lang w:val="fr-CH"/>
        </w:rPr>
        <w:t xml:space="preserve">homme chargée du suivi des recommandations des organes des traités. </w:t>
      </w:r>
    </w:p>
    <w:p w:rsidR="00570B62" w:rsidRPr="00961388" w:rsidRDefault="00570B62" w:rsidP="00541D1A">
      <w:pPr>
        <w:pStyle w:val="SingleTxtG"/>
        <w:keepNext/>
        <w:keepLines/>
        <w:rPr>
          <w:lang w:val="fr-CH"/>
        </w:rPr>
      </w:pPr>
      <w:r w:rsidRPr="00961388">
        <w:rPr>
          <w:lang w:val="fr-CH"/>
        </w:rPr>
        <w:t>213.</w:t>
      </w:r>
      <w:r w:rsidRPr="00961388">
        <w:rPr>
          <w:lang w:val="fr-CH"/>
        </w:rPr>
        <w:tab/>
        <w:t>C</w:t>
      </w:r>
      <w:r w:rsidR="00961388">
        <w:rPr>
          <w:lang w:val="fr-CH"/>
        </w:rPr>
        <w:t>’</w:t>
      </w:r>
      <w:r w:rsidRPr="00961388">
        <w:rPr>
          <w:lang w:val="fr-CH"/>
        </w:rPr>
        <w:t>est ainsi que cette structure s</w:t>
      </w:r>
      <w:r w:rsidR="00961388">
        <w:rPr>
          <w:lang w:val="fr-CH"/>
        </w:rPr>
        <w:t>’</w:t>
      </w:r>
      <w:r w:rsidRPr="00961388">
        <w:rPr>
          <w:lang w:val="fr-CH"/>
        </w:rPr>
        <w:t>est penchée de nouveau sur la question de la nationalité et a procédé à une étude comparative des différentes législations en la matière dans la région. Se sont associés à cet effort les représentants des ministères concernés et ceux du Centre des études juridiques et judiciaires, relevant du Ministère de la justice et des droits de l</w:t>
      </w:r>
      <w:r w:rsidR="00961388">
        <w:rPr>
          <w:lang w:val="fr-CH"/>
        </w:rPr>
        <w:t>’</w:t>
      </w:r>
      <w:r w:rsidRPr="00961388">
        <w:rPr>
          <w:lang w:val="fr-CH"/>
        </w:rPr>
        <w:t>homme et de celui et du Centre de recherche, des études, de la documentation et de l</w:t>
      </w:r>
      <w:r w:rsidR="00961388">
        <w:rPr>
          <w:lang w:val="fr-CH"/>
        </w:rPr>
        <w:t>’</w:t>
      </w:r>
      <w:r w:rsidRPr="00961388">
        <w:rPr>
          <w:lang w:val="fr-CH"/>
        </w:rPr>
        <w:t xml:space="preserve">information sur la femme (CREDIF). </w:t>
      </w:r>
    </w:p>
    <w:p w:rsidR="00570B62" w:rsidRPr="00961388" w:rsidRDefault="00570B62" w:rsidP="00F54CE5">
      <w:pPr>
        <w:pStyle w:val="SingleTxtG"/>
        <w:rPr>
          <w:lang w:val="fr-CH"/>
        </w:rPr>
      </w:pPr>
      <w:r w:rsidRPr="00961388">
        <w:rPr>
          <w:lang w:val="fr-CH"/>
        </w:rPr>
        <w:t>214.</w:t>
      </w:r>
      <w:r w:rsidRPr="00961388">
        <w:rPr>
          <w:lang w:val="fr-CH"/>
        </w:rPr>
        <w:tab/>
        <w:t>De même, l</w:t>
      </w:r>
      <w:r w:rsidR="00961388">
        <w:rPr>
          <w:lang w:val="fr-CH"/>
        </w:rPr>
        <w:t>’</w:t>
      </w:r>
      <w:r w:rsidRPr="00961388">
        <w:rPr>
          <w:lang w:val="fr-CH"/>
        </w:rPr>
        <w:t>Organisation de la femme arabe et les différentes ONG concernées par ces questions, dont notamment l</w:t>
      </w:r>
      <w:r w:rsidR="00961388">
        <w:rPr>
          <w:lang w:val="fr-CH"/>
        </w:rPr>
        <w:t>’</w:t>
      </w:r>
      <w:r w:rsidRPr="00961388">
        <w:rPr>
          <w:lang w:val="fr-CH"/>
        </w:rPr>
        <w:t>UNFT et l</w:t>
      </w:r>
      <w:r w:rsidR="00961388">
        <w:rPr>
          <w:lang w:val="fr-CH"/>
        </w:rPr>
        <w:t>’</w:t>
      </w:r>
      <w:r w:rsidRPr="00961388">
        <w:rPr>
          <w:lang w:val="fr-CH"/>
        </w:rPr>
        <w:t>ATFD, ont engagé des réflexions sur ce thème et ce, à travers l</w:t>
      </w:r>
      <w:r w:rsidR="00961388">
        <w:rPr>
          <w:lang w:val="fr-CH"/>
        </w:rPr>
        <w:t>’</w:t>
      </w:r>
      <w:r w:rsidRPr="00961388">
        <w:rPr>
          <w:lang w:val="fr-CH"/>
        </w:rPr>
        <w:t>organisation de rencontres et de réunions ainsi qu</w:t>
      </w:r>
      <w:r w:rsidR="00961388">
        <w:rPr>
          <w:lang w:val="fr-CH"/>
        </w:rPr>
        <w:t>’</w:t>
      </w:r>
      <w:r w:rsidRPr="00961388">
        <w:rPr>
          <w:lang w:val="fr-CH"/>
        </w:rPr>
        <w:t xml:space="preserve">à travers des études et recherches entreprises par des chercheurs de différentes disciplines, juridiques, sociologiques, théologiques et autres. </w:t>
      </w:r>
    </w:p>
    <w:p w:rsidR="00570B62" w:rsidRPr="00961388" w:rsidRDefault="00570B62" w:rsidP="00F54CE5">
      <w:pPr>
        <w:pStyle w:val="H1G"/>
        <w:rPr>
          <w:lang w:val="fr-CH"/>
        </w:rPr>
      </w:pPr>
      <w:r w:rsidRPr="00961388">
        <w:rPr>
          <w:lang w:val="fr-CH"/>
        </w:rPr>
        <w:tab/>
      </w:r>
      <w:r w:rsidRPr="00961388">
        <w:rPr>
          <w:lang w:val="fr-CH"/>
        </w:rPr>
        <w:tab/>
        <w:t>Éducation et stéréotypes</w:t>
      </w:r>
    </w:p>
    <w:p w:rsidR="00570B62" w:rsidRPr="00961388" w:rsidRDefault="00F54CE5" w:rsidP="00F54CE5">
      <w:pPr>
        <w:pStyle w:val="H23G"/>
        <w:rPr>
          <w:lang w:val="fr-CH"/>
        </w:rPr>
      </w:pPr>
      <w:r>
        <w:rPr>
          <w:lang w:val="fr-CH"/>
        </w:rPr>
        <w:tab/>
      </w:r>
      <w:r>
        <w:rPr>
          <w:lang w:val="fr-CH"/>
        </w:rPr>
        <w:tab/>
      </w:r>
      <w:r w:rsidR="00570B62" w:rsidRPr="00961388">
        <w:rPr>
          <w:lang w:val="fr-CH"/>
        </w:rPr>
        <w:t xml:space="preserve">Réponse au paragraphe 22 </w:t>
      </w:r>
      <w:r w:rsidR="00910D7D">
        <w:rPr>
          <w:lang w:val="fr-CH"/>
        </w:rPr>
        <w:t>de la liste de points à traiter</w:t>
      </w:r>
    </w:p>
    <w:p w:rsidR="00570B62" w:rsidRPr="00961388" w:rsidRDefault="00570B62" w:rsidP="00F54CE5">
      <w:pPr>
        <w:pStyle w:val="SingleTxtG"/>
        <w:rPr>
          <w:lang w:val="fr-CH"/>
        </w:rPr>
      </w:pPr>
      <w:r w:rsidRPr="00961388">
        <w:rPr>
          <w:lang w:val="fr-CH"/>
        </w:rPr>
        <w:t>215.</w:t>
      </w:r>
      <w:r w:rsidRPr="00961388">
        <w:rPr>
          <w:lang w:val="fr-CH"/>
        </w:rPr>
        <w:tab/>
        <w:t>Depuis son indépendance, la Tunisie a mis en place un système éducatif qui garantit le droit d</w:t>
      </w:r>
      <w:r w:rsidR="00961388">
        <w:rPr>
          <w:lang w:val="fr-CH"/>
        </w:rPr>
        <w:t>’</w:t>
      </w:r>
      <w:r w:rsidRPr="00961388">
        <w:rPr>
          <w:lang w:val="fr-CH"/>
        </w:rPr>
        <w:t>accès à l</w:t>
      </w:r>
      <w:r w:rsidR="00961388">
        <w:rPr>
          <w:lang w:val="fr-CH"/>
        </w:rPr>
        <w:t>’</w:t>
      </w:r>
      <w:r w:rsidRPr="00961388">
        <w:rPr>
          <w:lang w:val="fr-CH"/>
        </w:rPr>
        <w:t>école pour tous les enfants tunisiens sans discrimination fondé sur le sexe ou tout autre critère de ségrégation ou de différenciation. L</w:t>
      </w:r>
      <w:r w:rsidR="00961388">
        <w:rPr>
          <w:lang w:val="fr-CH"/>
        </w:rPr>
        <w:t>’</w:t>
      </w:r>
      <w:r w:rsidRPr="00961388">
        <w:rPr>
          <w:lang w:val="fr-CH"/>
        </w:rPr>
        <w:t>article 1</w:t>
      </w:r>
      <w:r w:rsidRPr="00961388">
        <w:rPr>
          <w:vertAlign w:val="superscript"/>
          <w:lang w:val="fr-CH"/>
        </w:rPr>
        <w:t>er</w:t>
      </w:r>
      <w:r w:rsidRPr="00961388">
        <w:rPr>
          <w:lang w:val="fr-CH"/>
        </w:rPr>
        <w:t xml:space="preserve"> de la loi d</w:t>
      </w:r>
      <w:r w:rsidR="00961388">
        <w:rPr>
          <w:lang w:val="fr-CH"/>
        </w:rPr>
        <w:t>’</w:t>
      </w:r>
      <w:r w:rsidR="001973D8">
        <w:rPr>
          <w:lang w:val="fr-CH"/>
        </w:rPr>
        <w:t xml:space="preserve">orientation </w:t>
      </w:r>
      <w:r w:rsidR="001973D8" w:rsidRPr="001973D8">
        <w:rPr>
          <w:rFonts w:eastAsia="MS Mincho"/>
          <w:lang w:val="fr-CH"/>
        </w:rPr>
        <w:t>n</w:t>
      </w:r>
      <w:r w:rsidR="001973D8" w:rsidRPr="001973D8">
        <w:rPr>
          <w:rFonts w:eastAsia="MS Mincho"/>
          <w:vertAlign w:val="superscript"/>
          <w:lang w:val="fr-CH"/>
        </w:rPr>
        <w:t>o</w:t>
      </w:r>
      <w:r w:rsidR="001973D8">
        <w:rPr>
          <w:lang w:val="fr-CH"/>
        </w:rPr>
        <w:t xml:space="preserve"> </w:t>
      </w:r>
      <w:r w:rsidRPr="00961388">
        <w:rPr>
          <w:lang w:val="fr-CH"/>
        </w:rPr>
        <w:t>2002-80 du 23 Juillet 2002 relative à l</w:t>
      </w:r>
      <w:r w:rsidR="00961388">
        <w:rPr>
          <w:lang w:val="fr-CH"/>
        </w:rPr>
        <w:t>’</w:t>
      </w:r>
      <w:r w:rsidRPr="00961388">
        <w:rPr>
          <w:lang w:val="fr-CH"/>
        </w:rPr>
        <w:t>éducation et à l</w:t>
      </w:r>
      <w:r w:rsidR="00961388">
        <w:rPr>
          <w:lang w:val="fr-CH"/>
        </w:rPr>
        <w:t>’</w:t>
      </w:r>
      <w:r w:rsidRPr="00961388">
        <w:rPr>
          <w:lang w:val="fr-CH"/>
        </w:rPr>
        <w:t xml:space="preserve">enseignement scolaire stipule dans ce sens que </w:t>
      </w:r>
      <w:r w:rsidR="00961388">
        <w:rPr>
          <w:lang w:val="fr-CH"/>
        </w:rPr>
        <w:t>«</w:t>
      </w:r>
      <w:r w:rsidRPr="00961388">
        <w:rPr>
          <w:lang w:val="fr-CH"/>
        </w:rPr>
        <w:t>…l</w:t>
      </w:r>
      <w:r w:rsidR="00961388">
        <w:rPr>
          <w:lang w:val="fr-CH"/>
        </w:rPr>
        <w:t>’</w:t>
      </w:r>
      <w:r w:rsidRPr="00961388">
        <w:rPr>
          <w:lang w:val="fr-CH"/>
        </w:rPr>
        <w:t>enseignement est un droit fondamental garanti à tous les Tunisiens sans discrimination fondée sur le sexe, l</w:t>
      </w:r>
      <w:r w:rsidR="00961388">
        <w:rPr>
          <w:lang w:val="fr-CH"/>
        </w:rPr>
        <w:t>’</w:t>
      </w:r>
      <w:r w:rsidRPr="00961388">
        <w:rPr>
          <w:lang w:val="fr-CH"/>
        </w:rPr>
        <w:t>origine sociale, la couleur ou la</w:t>
      </w:r>
      <w:r w:rsidR="00C17D7C">
        <w:rPr>
          <w:lang w:val="fr-CH"/>
        </w:rPr>
        <w:t xml:space="preserve"> religion</w:t>
      </w:r>
      <w:r w:rsidRPr="00961388">
        <w:rPr>
          <w:lang w:val="fr-CH"/>
        </w:rPr>
        <w:t xml:space="preserve">…». </w:t>
      </w:r>
    </w:p>
    <w:p w:rsidR="00570B62" w:rsidRPr="00961388" w:rsidRDefault="00570B62" w:rsidP="00F54CE5">
      <w:pPr>
        <w:pStyle w:val="SingleTxtG"/>
        <w:rPr>
          <w:lang w:val="fr-CH"/>
        </w:rPr>
      </w:pPr>
      <w:r w:rsidRPr="00961388">
        <w:rPr>
          <w:lang w:val="fr-CH"/>
        </w:rPr>
        <w:t>216.</w:t>
      </w:r>
      <w:r w:rsidRPr="00961388">
        <w:rPr>
          <w:lang w:val="fr-CH"/>
        </w:rPr>
        <w:tab/>
        <w:t>Par ailleurs, l</w:t>
      </w:r>
      <w:r w:rsidR="00961388">
        <w:rPr>
          <w:lang w:val="fr-CH"/>
        </w:rPr>
        <w:t>’</w:t>
      </w:r>
      <w:r w:rsidRPr="00961388">
        <w:rPr>
          <w:lang w:val="fr-CH"/>
        </w:rPr>
        <w:t>approche tunisienne en matière de développement est basée sur un nombre de principes dont en particulier la globalité, la complémentarité, l</w:t>
      </w:r>
      <w:r w:rsidR="00961388">
        <w:rPr>
          <w:lang w:val="fr-CH"/>
        </w:rPr>
        <w:t>’</w:t>
      </w:r>
      <w:r w:rsidRPr="00961388">
        <w:rPr>
          <w:lang w:val="fr-CH"/>
        </w:rPr>
        <w:t>indissociabilité des dimensions économiques et sociales du développement, la valorisation des ressources humaines et l</w:t>
      </w:r>
      <w:r w:rsidR="00961388">
        <w:rPr>
          <w:lang w:val="fr-CH"/>
        </w:rPr>
        <w:t>’</w:t>
      </w:r>
      <w:r w:rsidRPr="00961388">
        <w:rPr>
          <w:lang w:val="fr-CH"/>
        </w:rPr>
        <w:t>amélioration des conditions de vie de toutes les catégories de la population.</w:t>
      </w:r>
    </w:p>
    <w:p w:rsidR="00570B62" w:rsidRPr="00961388" w:rsidRDefault="00570B62" w:rsidP="00F54CE5">
      <w:pPr>
        <w:pStyle w:val="SingleTxtG"/>
        <w:rPr>
          <w:lang w:val="fr-CH"/>
        </w:rPr>
      </w:pPr>
      <w:r w:rsidRPr="00961388">
        <w:rPr>
          <w:lang w:val="fr-CH"/>
        </w:rPr>
        <w:t>217.</w:t>
      </w:r>
      <w:r w:rsidRPr="00961388">
        <w:rPr>
          <w:lang w:val="fr-CH"/>
        </w:rPr>
        <w:tab/>
        <w:t>Dans cette démarche, la Tunisie a fait de l</w:t>
      </w:r>
      <w:r w:rsidR="00961388">
        <w:rPr>
          <w:lang w:val="fr-CH"/>
        </w:rPr>
        <w:t>’</w:t>
      </w:r>
      <w:r w:rsidRPr="00961388">
        <w:rPr>
          <w:lang w:val="fr-CH"/>
        </w:rPr>
        <w:t>investissement dans le capital humain, une constante de son œuvre de développement. C</w:t>
      </w:r>
      <w:r w:rsidR="00961388">
        <w:rPr>
          <w:lang w:val="fr-CH"/>
        </w:rPr>
        <w:t>’</w:t>
      </w:r>
      <w:r w:rsidRPr="00961388">
        <w:rPr>
          <w:lang w:val="fr-CH"/>
        </w:rPr>
        <w:t>est ainsi qu</w:t>
      </w:r>
      <w:r w:rsidR="00961388">
        <w:rPr>
          <w:lang w:val="fr-CH"/>
        </w:rPr>
        <w:t>’</w:t>
      </w:r>
      <w:r w:rsidRPr="00961388">
        <w:rPr>
          <w:lang w:val="fr-CH"/>
        </w:rPr>
        <w:t>elle n</w:t>
      </w:r>
      <w:r w:rsidR="00961388">
        <w:rPr>
          <w:lang w:val="fr-CH"/>
        </w:rPr>
        <w:t>’</w:t>
      </w:r>
      <w:r w:rsidRPr="00961388">
        <w:rPr>
          <w:lang w:val="fr-CH"/>
        </w:rPr>
        <w:t>a cessé de développer son système éducatif auquel ont été alloués les moyens matériels et humains susceptibles d</w:t>
      </w:r>
      <w:r w:rsidR="00961388">
        <w:rPr>
          <w:lang w:val="fr-CH"/>
        </w:rPr>
        <w:t>’</w:t>
      </w:r>
      <w:r w:rsidRPr="00961388">
        <w:rPr>
          <w:lang w:val="fr-CH"/>
        </w:rPr>
        <w:t>en améliorer l</w:t>
      </w:r>
      <w:r w:rsidR="00961388">
        <w:rPr>
          <w:lang w:val="fr-CH"/>
        </w:rPr>
        <w:t>’</w:t>
      </w:r>
      <w:r w:rsidRPr="00961388">
        <w:rPr>
          <w:lang w:val="fr-CH"/>
        </w:rPr>
        <w:t>efficience et la qualité et de lui permettre de s</w:t>
      </w:r>
      <w:r w:rsidR="00961388">
        <w:rPr>
          <w:lang w:val="fr-CH"/>
        </w:rPr>
        <w:t>’</w:t>
      </w:r>
      <w:r w:rsidRPr="00961388">
        <w:rPr>
          <w:lang w:val="fr-CH"/>
        </w:rPr>
        <w:t>acquitter, de la meilleure façon, des fonctions qui lui sont dévolues.</w:t>
      </w:r>
    </w:p>
    <w:p w:rsidR="00570B62" w:rsidRPr="00961388" w:rsidRDefault="00570B62" w:rsidP="00F54CE5">
      <w:pPr>
        <w:pStyle w:val="SingleTxtG"/>
        <w:rPr>
          <w:lang w:val="fr-CH"/>
        </w:rPr>
      </w:pPr>
      <w:r w:rsidRPr="00961388">
        <w:rPr>
          <w:lang w:val="fr-CH"/>
        </w:rPr>
        <w:t>218.</w:t>
      </w:r>
      <w:r w:rsidRPr="00961388">
        <w:rPr>
          <w:lang w:val="fr-CH"/>
        </w:rPr>
        <w:tab/>
        <w:t>L</w:t>
      </w:r>
      <w:r w:rsidR="00961388">
        <w:rPr>
          <w:lang w:val="fr-CH"/>
        </w:rPr>
        <w:t>’</w:t>
      </w:r>
      <w:r w:rsidRPr="00961388">
        <w:rPr>
          <w:lang w:val="fr-CH"/>
        </w:rPr>
        <w:t>intérêt accordé à ce système découle du fait qu</w:t>
      </w:r>
      <w:r w:rsidR="00961388">
        <w:rPr>
          <w:lang w:val="fr-CH"/>
        </w:rPr>
        <w:t>’</w:t>
      </w:r>
      <w:r w:rsidRPr="00961388">
        <w:rPr>
          <w:lang w:val="fr-CH"/>
        </w:rPr>
        <w:t>il constitue un des facteurs déterminants dans la valorisation des ressources humaines et un moyen privilégié permettant d</w:t>
      </w:r>
      <w:r w:rsidR="00961388">
        <w:rPr>
          <w:lang w:val="fr-CH"/>
        </w:rPr>
        <w:t>’</w:t>
      </w:r>
      <w:r w:rsidRPr="00961388">
        <w:rPr>
          <w:lang w:val="fr-CH"/>
        </w:rPr>
        <w:t>assurer de façon effective une intégration sociale aisée et réussie de la population et d</w:t>
      </w:r>
      <w:r w:rsidR="00961388">
        <w:rPr>
          <w:lang w:val="fr-CH"/>
        </w:rPr>
        <w:t>’</w:t>
      </w:r>
      <w:r w:rsidRPr="00961388">
        <w:rPr>
          <w:lang w:val="fr-CH"/>
        </w:rPr>
        <w:t>accroître la compétitivité de l</w:t>
      </w:r>
      <w:r w:rsidR="00961388">
        <w:rPr>
          <w:lang w:val="fr-CH"/>
        </w:rPr>
        <w:t>’</w:t>
      </w:r>
      <w:r w:rsidRPr="00961388">
        <w:rPr>
          <w:lang w:val="fr-CH"/>
        </w:rPr>
        <w:t>économie.</w:t>
      </w:r>
    </w:p>
    <w:p w:rsidR="00570B62" w:rsidRPr="00961388" w:rsidRDefault="00570B62" w:rsidP="00F54CE5">
      <w:pPr>
        <w:pStyle w:val="SingleTxtG"/>
        <w:rPr>
          <w:lang w:val="fr-CH"/>
        </w:rPr>
      </w:pPr>
      <w:r w:rsidRPr="00961388">
        <w:rPr>
          <w:lang w:val="fr-CH"/>
        </w:rPr>
        <w:t>219.</w:t>
      </w:r>
      <w:r w:rsidRPr="00961388">
        <w:rPr>
          <w:lang w:val="fr-CH"/>
        </w:rPr>
        <w:tab/>
        <w:t>Afin de consacrer l</w:t>
      </w:r>
      <w:r w:rsidR="00961388">
        <w:rPr>
          <w:lang w:val="fr-CH"/>
        </w:rPr>
        <w:t>’</w:t>
      </w:r>
      <w:r w:rsidRPr="00961388">
        <w:rPr>
          <w:lang w:val="fr-CH"/>
        </w:rPr>
        <w:t>égalité entre filles et garçons, la Tunisie a opté pour un enseignement mixte. Ainsi, les élèves des deux sexes fréquentent les mêmes établissements et y poursuivent leurs études dans les mêmes classes.</w:t>
      </w:r>
    </w:p>
    <w:p w:rsidR="00570B62" w:rsidRPr="00961388" w:rsidRDefault="00570B62" w:rsidP="00F54CE5">
      <w:pPr>
        <w:pStyle w:val="SingleTxtG"/>
        <w:rPr>
          <w:lang w:val="fr-CH"/>
        </w:rPr>
      </w:pPr>
      <w:r w:rsidRPr="00961388">
        <w:rPr>
          <w:lang w:val="fr-CH"/>
        </w:rPr>
        <w:t>220.</w:t>
      </w:r>
      <w:r w:rsidRPr="00961388">
        <w:rPr>
          <w:lang w:val="fr-CH"/>
        </w:rPr>
        <w:tab/>
        <w:t>Des dispositions ont été prises pour que toutes les catégories de la population accèdent à l</w:t>
      </w:r>
      <w:r w:rsidR="00961388">
        <w:rPr>
          <w:lang w:val="fr-CH"/>
        </w:rPr>
        <w:t>’</w:t>
      </w:r>
      <w:r w:rsidRPr="00961388">
        <w:rPr>
          <w:lang w:val="fr-CH"/>
        </w:rPr>
        <w:t>éducation</w:t>
      </w:r>
      <w:r w:rsidR="00961388">
        <w:rPr>
          <w:lang w:val="fr-CH"/>
        </w:rPr>
        <w:t>:</w:t>
      </w:r>
      <w:r w:rsidRPr="00961388">
        <w:rPr>
          <w:lang w:val="fr-CH"/>
        </w:rPr>
        <w:t xml:space="preserve"> les enfants issus aussi bien du milieu urbain que du milieu rural, les enfants porteurs d</w:t>
      </w:r>
      <w:r w:rsidR="00961388">
        <w:rPr>
          <w:lang w:val="fr-CH"/>
        </w:rPr>
        <w:t>’</w:t>
      </w:r>
      <w:r w:rsidRPr="00961388">
        <w:rPr>
          <w:lang w:val="fr-CH"/>
        </w:rPr>
        <w:t>handicaps, les enfants aux besoins spécifiques.</w:t>
      </w:r>
    </w:p>
    <w:p w:rsidR="00570B62" w:rsidRPr="00961388" w:rsidRDefault="00570B62" w:rsidP="00F54CE5">
      <w:pPr>
        <w:pStyle w:val="SingleTxtG"/>
        <w:rPr>
          <w:lang w:val="fr-CH"/>
        </w:rPr>
      </w:pPr>
      <w:r w:rsidRPr="00961388">
        <w:rPr>
          <w:lang w:val="fr-CH"/>
        </w:rPr>
        <w:t>221.</w:t>
      </w:r>
      <w:r w:rsidRPr="00961388">
        <w:rPr>
          <w:lang w:val="fr-CH"/>
        </w:rPr>
        <w:tab/>
        <w:t>En effet la loi d</w:t>
      </w:r>
      <w:r w:rsidR="00961388">
        <w:rPr>
          <w:lang w:val="fr-CH"/>
        </w:rPr>
        <w:t>’</w:t>
      </w:r>
      <w:r w:rsidR="001973D8">
        <w:rPr>
          <w:lang w:val="fr-CH"/>
        </w:rPr>
        <w:t xml:space="preserve">orientation </w:t>
      </w:r>
      <w:r w:rsidR="001973D8" w:rsidRPr="001973D8">
        <w:rPr>
          <w:rFonts w:eastAsia="MS Mincho"/>
          <w:lang w:val="fr-CH"/>
        </w:rPr>
        <w:t>n</w:t>
      </w:r>
      <w:r w:rsidR="001973D8" w:rsidRPr="001973D8">
        <w:rPr>
          <w:rFonts w:eastAsia="MS Mincho"/>
          <w:vertAlign w:val="superscript"/>
          <w:lang w:val="fr-CH"/>
        </w:rPr>
        <w:t>o</w:t>
      </w:r>
      <w:r w:rsidR="001973D8">
        <w:rPr>
          <w:lang w:val="fr-CH"/>
        </w:rPr>
        <w:t xml:space="preserve"> </w:t>
      </w:r>
      <w:r w:rsidRPr="00961388">
        <w:rPr>
          <w:lang w:val="fr-CH"/>
        </w:rPr>
        <w:t>2002-80 du 23 juillet 2002 relative à l</w:t>
      </w:r>
      <w:r w:rsidR="00961388">
        <w:rPr>
          <w:lang w:val="fr-CH"/>
        </w:rPr>
        <w:t>’</w:t>
      </w:r>
      <w:r w:rsidRPr="00961388">
        <w:rPr>
          <w:lang w:val="fr-CH"/>
        </w:rPr>
        <w:t>éducation et à l</w:t>
      </w:r>
      <w:r w:rsidR="00961388">
        <w:rPr>
          <w:lang w:val="fr-CH"/>
        </w:rPr>
        <w:t>’</w:t>
      </w:r>
      <w:r w:rsidRPr="00961388">
        <w:rPr>
          <w:lang w:val="fr-CH"/>
        </w:rPr>
        <w:t xml:space="preserve">enseignement scolaire stipule que </w:t>
      </w:r>
      <w:r w:rsidR="00961388">
        <w:rPr>
          <w:lang w:val="fr-CH"/>
        </w:rPr>
        <w:t>«</w:t>
      </w:r>
      <w:r w:rsidRPr="00961388">
        <w:rPr>
          <w:lang w:val="fr-CH"/>
        </w:rPr>
        <w:t>l</w:t>
      </w:r>
      <w:r w:rsidR="00961388">
        <w:rPr>
          <w:lang w:val="fr-CH"/>
        </w:rPr>
        <w:t>’</w:t>
      </w:r>
      <w:r w:rsidRPr="00961388">
        <w:rPr>
          <w:lang w:val="fr-CH"/>
        </w:rPr>
        <w:t>éducation est une priorité nationale et l</w:t>
      </w:r>
      <w:r w:rsidR="00961388">
        <w:rPr>
          <w:lang w:val="fr-CH"/>
        </w:rPr>
        <w:t>’</w:t>
      </w:r>
      <w:r w:rsidRPr="00961388">
        <w:rPr>
          <w:lang w:val="fr-CH"/>
        </w:rPr>
        <w:t>enseignement est obligatoire de six à seize ans. L</w:t>
      </w:r>
      <w:r w:rsidR="00961388">
        <w:rPr>
          <w:lang w:val="fr-CH"/>
        </w:rPr>
        <w:t>’</w:t>
      </w:r>
      <w:r w:rsidRPr="00961388">
        <w:rPr>
          <w:lang w:val="fr-CH"/>
        </w:rPr>
        <w:t>enseignement est un droit fondamental garanti à tous les tunisiens sans discrimination fondée sur le sexe, l</w:t>
      </w:r>
      <w:r w:rsidR="00961388">
        <w:rPr>
          <w:lang w:val="fr-CH"/>
        </w:rPr>
        <w:t>’</w:t>
      </w:r>
      <w:r w:rsidRPr="00961388">
        <w:rPr>
          <w:lang w:val="fr-CH"/>
        </w:rPr>
        <w:t>origine sociale, la couleur ou la religion</w:t>
      </w:r>
      <w:r w:rsidR="00961388">
        <w:rPr>
          <w:lang w:val="fr-CH"/>
        </w:rPr>
        <w:t>»</w:t>
      </w:r>
      <w:r w:rsidRPr="00961388">
        <w:rPr>
          <w:lang w:val="fr-CH"/>
        </w:rPr>
        <w:t>.</w:t>
      </w:r>
    </w:p>
    <w:p w:rsidR="00570B62" w:rsidRPr="00961388" w:rsidRDefault="00570B62" w:rsidP="00541D1A">
      <w:pPr>
        <w:pStyle w:val="SingleTxtG"/>
        <w:keepNext/>
        <w:keepLines/>
        <w:rPr>
          <w:lang w:val="fr-CH"/>
        </w:rPr>
      </w:pPr>
      <w:r w:rsidRPr="00961388">
        <w:rPr>
          <w:lang w:val="fr-CH"/>
        </w:rPr>
        <w:t>222.</w:t>
      </w:r>
      <w:r w:rsidRPr="00961388">
        <w:rPr>
          <w:lang w:val="fr-CH"/>
        </w:rPr>
        <w:tab/>
        <w:t xml:space="preserve">Cette loi stipule aussi que </w:t>
      </w:r>
      <w:r w:rsidR="00961388">
        <w:rPr>
          <w:lang w:val="fr-CH"/>
        </w:rPr>
        <w:t>«</w:t>
      </w:r>
      <w:r w:rsidRPr="00961388">
        <w:rPr>
          <w:lang w:val="fr-CH"/>
        </w:rPr>
        <w:t>l</w:t>
      </w:r>
      <w:r w:rsidR="00961388">
        <w:rPr>
          <w:lang w:val="fr-CH"/>
        </w:rPr>
        <w:t>’</w:t>
      </w:r>
      <w:r w:rsidRPr="00961388">
        <w:rPr>
          <w:lang w:val="fr-CH"/>
        </w:rPr>
        <w:t>État garantit le droit à l</w:t>
      </w:r>
      <w:r w:rsidR="00961388">
        <w:rPr>
          <w:lang w:val="fr-CH"/>
        </w:rPr>
        <w:t>’</w:t>
      </w:r>
      <w:r w:rsidRPr="00961388">
        <w:rPr>
          <w:lang w:val="fr-CH"/>
        </w:rPr>
        <w:t>enseignement gratuit dans les établissements scolaires publics à tous ceux qui sont en âge d</w:t>
      </w:r>
      <w:r w:rsidR="00961388">
        <w:rPr>
          <w:lang w:val="fr-CH"/>
        </w:rPr>
        <w:t>’</w:t>
      </w:r>
      <w:r w:rsidRPr="00961388">
        <w:rPr>
          <w:lang w:val="fr-CH"/>
        </w:rPr>
        <w:t>être scolarisés et l</w:t>
      </w:r>
      <w:r w:rsidR="00961388">
        <w:rPr>
          <w:lang w:val="fr-CH"/>
        </w:rPr>
        <w:t>’</w:t>
      </w:r>
      <w:r w:rsidRPr="00961388">
        <w:rPr>
          <w:lang w:val="fr-CH"/>
        </w:rPr>
        <w:t>égalité de chances dans la jouissance de ce droit à tous les élèves, tant qu</w:t>
      </w:r>
      <w:r w:rsidR="00961388">
        <w:rPr>
          <w:lang w:val="fr-CH"/>
        </w:rPr>
        <w:t>’</w:t>
      </w:r>
      <w:r w:rsidRPr="00961388">
        <w:rPr>
          <w:lang w:val="fr-CH"/>
        </w:rPr>
        <w:t xml:space="preserve">ils sont à même de poursuivre régulièrement leurs études». </w:t>
      </w:r>
    </w:p>
    <w:p w:rsidR="00570B62" w:rsidRPr="00961388" w:rsidRDefault="00570B62" w:rsidP="000316AC">
      <w:pPr>
        <w:pStyle w:val="SingleTxtG"/>
        <w:spacing w:after="240"/>
        <w:rPr>
          <w:lang w:val="fr-CH"/>
        </w:rPr>
      </w:pPr>
      <w:r w:rsidRPr="00961388">
        <w:rPr>
          <w:lang w:val="fr-CH"/>
        </w:rPr>
        <w:t>223.</w:t>
      </w:r>
      <w:r w:rsidRPr="00961388">
        <w:rPr>
          <w:lang w:val="fr-CH"/>
        </w:rPr>
        <w:tab/>
        <w:t>Les mesures législatives, les investissements alloués au secteur de l</w:t>
      </w:r>
      <w:r w:rsidR="00961388">
        <w:rPr>
          <w:lang w:val="fr-CH"/>
        </w:rPr>
        <w:t>’</w:t>
      </w:r>
      <w:r w:rsidRPr="00961388">
        <w:rPr>
          <w:lang w:val="fr-CH"/>
        </w:rPr>
        <w:t>éducation (qui représentent en 2009 près de 19,9</w:t>
      </w:r>
      <w:r w:rsidR="001973D8">
        <w:rPr>
          <w:lang w:val="fr-CH"/>
        </w:rPr>
        <w:t xml:space="preserve"> %</w:t>
      </w:r>
      <w:r w:rsidRPr="00961388">
        <w:rPr>
          <w:lang w:val="fr-CH"/>
        </w:rPr>
        <w:t xml:space="preserve"> du budget de l</w:t>
      </w:r>
      <w:r w:rsidR="00961388">
        <w:rPr>
          <w:lang w:val="fr-CH"/>
        </w:rPr>
        <w:t>’</w:t>
      </w:r>
      <w:r w:rsidRPr="00961388">
        <w:rPr>
          <w:lang w:val="fr-CH"/>
        </w:rPr>
        <w:t>État et 5</w:t>
      </w:r>
      <w:r w:rsidR="001973D8">
        <w:rPr>
          <w:lang w:val="fr-CH"/>
        </w:rPr>
        <w:t xml:space="preserve"> %</w:t>
      </w:r>
      <w:r w:rsidRPr="00961388">
        <w:rPr>
          <w:lang w:val="fr-CH"/>
        </w:rPr>
        <w:t xml:space="preserve"> du PIB) ainsi que les programmes spécifiques, mis en œuvre, ont permis à la </w:t>
      </w:r>
      <w:r w:rsidR="001973D8">
        <w:rPr>
          <w:lang w:val="fr-CH"/>
        </w:rPr>
        <w:t>Tunisie de réaliser depuis 1997</w:t>
      </w:r>
      <w:r w:rsidR="001973D8">
        <w:rPr>
          <w:lang w:val="fr-CH"/>
        </w:rPr>
        <w:noBreakHyphen/>
      </w:r>
      <w:r w:rsidRPr="00961388">
        <w:rPr>
          <w:lang w:val="fr-CH"/>
        </w:rPr>
        <w:t>1998</w:t>
      </w:r>
      <w:r w:rsidR="00961388">
        <w:rPr>
          <w:lang w:val="fr-CH"/>
        </w:rPr>
        <w:t>,</w:t>
      </w:r>
      <w:r w:rsidRPr="00961388">
        <w:rPr>
          <w:lang w:val="fr-CH"/>
        </w:rPr>
        <w:t xml:space="preserve"> la scolarisation universelle des enfants de 6 ans</w:t>
      </w:r>
      <w:r w:rsidR="00961388">
        <w:rPr>
          <w:lang w:val="fr-CH"/>
        </w:rPr>
        <w:t>,</w:t>
      </w:r>
      <w:r w:rsidRPr="00961388">
        <w:rPr>
          <w:lang w:val="fr-CH"/>
        </w:rPr>
        <w:t xml:space="preserve"> filles et garçons avec un taux de 99</w:t>
      </w:r>
      <w:r w:rsidR="001973D8">
        <w:rPr>
          <w:lang w:val="fr-CH"/>
        </w:rPr>
        <w:t xml:space="preserve"> %</w:t>
      </w:r>
      <w:r w:rsidRPr="00961388">
        <w:rPr>
          <w:lang w:val="fr-CH"/>
        </w:rPr>
        <w:t>.Pour la tranche d</w:t>
      </w:r>
      <w:r w:rsidR="00961388">
        <w:rPr>
          <w:lang w:val="fr-CH"/>
        </w:rPr>
        <w:t>’</w:t>
      </w:r>
      <w:r w:rsidRPr="00961388">
        <w:rPr>
          <w:lang w:val="fr-CH"/>
        </w:rPr>
        <w:t>âge 6-11 ans, ces taux plafonnent depuis quelques années les 97</w:t>
      </w:r>
      <w:r w:rsidR="001973D8">
        <w:rPr>
          <w:lang w:val="fr-CH"/>
        </w:rPr>
        <w:t> %</w:t>
      </w:r>
      <w:r w:rsidRPr="00961388">
        <w:rPr>
          <w:lang w:val="fr-CH"/>
        </w:rPr>
        <w:t xml:space="preserve"> aussi bien pour les filles que pour les garçons.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371"/>
        <w:gridCol w:w="1279"/>
        <w:gridCol w:w="1404"/>
        <w:gridCol w:w="1316"/>
      </w:tblGrid>
      <w:tr w:rsidR="00541D1A" w:rsidRPr="00541D1A" w:rsidTr="00541D1A">
        <w:trPr>
          <w:tblHeader/>
        </w:trPr>
        <w:tc>
          <w:tcPr>
            <w:tcW w:w="3827" w:type="dxa"/>
            <w:tcBorders>
              <w:top w:val="single" w:sz="4" w:space="0" w:color="auto"/>
              <w:bottom w:val="single" w:sz="12" w:space="0" w:color="auto"/>
            </w:tcBorders>
            <w:shd w:val="clear" w:color="auto" w:fill="auto"/>
            <w:vAlign w:val="bottom"/>
          </w:tcPr>
          <w:p w:rsidR="00570B62" w:rsidRPr="00541D1A" w:rsidRDefault="00570B62" w:rsidP="00541D1A">
            <w:pPr>
              <w:suppressAutoHyphens w:val="0"/>
              <w:spacing w:before="80" w:after="80" w:line="200" w:lineRule="exact"/>
              <w:ind w:right="113"/>
              <w:rPr>
                <w:i/>
                <w:iCs/>
                <w:sz w:val="16"/>
                <w:lang w:val="fr-CH"/>
              </w:rPr>
            </w:pPr>
          </w:p>
        </w:tc>
        <w:tc>
          <w:tcPr>
            <w:tcW w:w="1451" w:type="dxa"/>
            <w:tcBorders>
              <w:top w:val="single" w:sz="4" w:space="0" w:color="auto"/>
              <w:bottom w:val="single" w:sz="12" w:space="0" w:color="auto"/>
            </w:tcBorders>
            <w:shd w:val="clear" w:color="auto" w:fill="auto"/>
            <w:vAlign w:val="bottom"/>
          </w:tcPr>
          <w:p w:rsidR="00570B62" w:rsidRPr="00541D1A" w:rsidRDefault="00570B62" w:rsidP="00C17D7C">
            <w:pPr>
              <w:spacing w:before="80" w:after="80" w:line="200" w:lineRule="exact"/>
              <w:jc w:val="right"/>
              <w:rPr>
                <w:i/>
                <w:sz w:val="16"/>
                <w:lang w:val="fr-CH"/>
              </w:rPr>
            </w:pPr>
            <w:r w:rsidRPr="00541D1A">
              <w:rPr>
                <w:i/>
                <w:sz w:val="16"/>
                <w:lang w:val="fr-CH"/>
              </w:rPr>
              <w:t>1997-1998</w:t>
            </w:r>
          </w:p>
        </w:tc>
        <w:tc>
          <w:tcPr>
            <w:tcW w:w="1593" w:type="dxa"/>
            <w:tcBorders>
              <w:top w:val="single" w:sz="4" w:space="0" w:color="auto"/>
              <w:bottom w:val="single" w:sz="12" w:space="0" w:color="auto"/>
            </w:tcBorders>
            <w:shd w:val="clear" w:color="auto" w:fill="auto"/>
            <w:vAlign w:val="bottom"/>
          </w:tcPr>
          <w:p w:rsidR="00570B62" w:rsidRPr="00541D1A" w:rsidRDefault="00570B62" w:rsidP="00C17D7C">
            <w:pPr>
              <w:spacing w:before="80" w:after="80" w:line="200" w:lineRule="exact"/>
              <w:jc w:val="right"/>
              <w:rPr>
                <w:i/>
                <w:sz w:val="16"/>
                <w:lang w:val="fr-CH"/>
              </w:rPr>
            </w:pPr>
            <w:r w:rsidRPr="00541D1A">
              <w:rPr>
                <w:i/>
                <w:sz w:val="16"/>
                <w:lang w:val="fr-CH"/>
              </w:rPr>
              <w:t>2002-2003</w:t>
            </w:r>
          </w:p>
        </w:tc>
        <w:tc>
          <w:tcPr>
            <w:tcW w:w="1492" w:type="dxa"/>
            <w:tcBorders>
              <w:top w:val="single" w:sz="4" w:space="0" w:color="auto"/>
              <w:bottom w:val="single" w:sz="12" w:space="0" w:color="auto"/>
            </w:tcBorders>
            <w:shd w:val="clear" w:color="auto" w:fill="auto"/>
            <w:vAlign w:val="bottom"/>
          </w:tcPr>
          <w:p w:rsidR="00570B62" w:rsidRPr="00541D1A" w:rsidRDefault="00570B62" w:rsidP="00541D1A">
            <w:pPr>
              <w:spacing w:before="80" w:after="80" w:line="200" w:lineRule="exact"/>
              <w:jc w:val="right"/>
              <w:rPr>
                <w:i/>
                <w:sz w:val="16"/>
                <w:lang w:val="fr-CH"/>
              </w:rPr>
            </w:pPr>
            <w:r w:rsidRPr="00541D1A">
              <w:rPr>
                <w:i/>
                <w:sz w:val="16"/>
                <w:lang w:val="fr-CH"/>
              </w:rPr>
              <w:t>2008-2009</w:t>
            </w:r>
          </w:p>
        </w:tc>
      </w:tr>
      <w:tr w:rsidR="00570B62" w:rsidRPr="00541D1A" w:rsidTr="00541D1A">
        <w:tc>
          <w:tcPr>
            <w:tcW w:w="8363" w:type="dxa"/>
            <w:gridSpan w:val="4"/>
            <w:tcBorders>
              <w:top w:val="single" w:sz="12" w:space="0" w:color="auto"/>
            </w:tcBorders>
            <w:shd w:val="clear" w:color="auto" w:fill="auto"/>
          </w:tcPr>
          <w:p w:rsidR="00570B62" w:rsidRPr="00541D1A" w:rsidRDefault="00570B62" w:rsidP="00541D1A">
            <w:pPr>
              <w:spacing w:before="40" w:after="40" w:line="220" w:lineRule="exact"/>
              <w:rPr>
                <w:i/>
                <w:iCs/>
                <w:sz w:val="18"/>
                <w:szCs w:val="18"/>
                <w:lang w:val="fr-CH"/>
              </w:rPr>
            </w:pPr>
            <w:r w:rsidRPr="00541D1A">
              <w:rPr>
                <w:sz w:val="18"/>
                <w:szCs w:val="18"/>
                <w:lang w:val="fr-CH"/>
              </w:rPr>
              <w:t>Taux de scolarisation 6 ans (</w:t>
            </w:r>
            <w:r w:rsidR="001973D8" w:rsidRPr="00541D1A">
              <w:rPr>
                <w:sz w:val="18"/>
                <w:szCs w:val="18"/>
                <w:lang w:val="fr-CH"/>
              </w:rPr>
              <w:t>%</w:t>
            </w:r>
            <w:r w:rsidRPr="00541D1A">
              <w:rPr>
                <w:sz w:val="18"/>
                <w:szCs w:val="18"/>
                <w:lang w:val="fr-CH"/>
              </w:rPr>
              <w:t>)</w:t>
            </w:r>
          </w:p>
        </w:tc>
      </w:tr>
      <w:tr w:rsidR="00541D1A" w:rsidRPr="00541D1A" w:rsidTr="00541D1A">
        <w:tc>
          <w:tcPr>
            <w:tcW w:w="3827" w:type="dxa"/>
            <w:shd w:val="clear" w:color="auto" w:fill="auto"/>
          </w:tcPr>
          <w:p w:rsidR="00570B62" w:rsidRPr="00541D1A" w:rsidRDefault="00570B62" w:rsidP="00541D1A">
            <w:pPr>
              <w:pStyle w:val="Bullet1G"/>
              <w:tabs>
                <w:tab w:val="clear" w:pos="1701"/>
              </w:tabs>
              <w:spacing w:before="40" w:after="40" w:line="220" w:lineRule="exact"/>
              <w:ind w:left="366" w:hanging="200"/>
              <w:rPr>
                <w:b/>
                <w:bCs/>
                <w:i/>
                <w:iCs/>
                <w:sz w:val="18"/>
                <w:szCs w:val="18"/>
                <w:lang w:val="fr-CH"/>
              </w:rPr>
            </w:pPr>
            <w:r w:rsidRPr="00541D1A">
              <w:rPr>
                <w:sz w:val="18"/>
                <w:szCs w:val="18"/>
                <w:lang w:val="fr-CH"/>
              </w:rPr>
              <w:t>Garçons</w:t>
            </w:r>
          </w:p>
        </w:tc>
        <w:tc>
          <w:tcPr>
            <w:tcW w:w="1451" w:type="dxa"/>
            <w:shd w:val="clear" w:color="auto" w:fill="auto"/>
            <w:vAlign w:val="bottom"/>
          </w:tcPr>
          <w:p w:rsidR="00570B62" w:rsidRPr="00541D1A" w:rsidRDefault="00570B62" w:rsidP="00C17D7C">
            <w:pPr>
              <w:spacing w:before="40" w:after="40" w:line="220" w:lineRule="exact"/>
              <w:jc w:val="right"/>
              <w:rPr>
                <w:sz w:val="18"/>
                <w:lang w:val="fr-CH"/>
              </w:rPr>
            </w:pPr>
            <w:r w:rsidRPr="00541D1A">
              <w:rPr>
                <w:sz w:val="18"/>
                <w:lang w:val="fr-CH"/>
              </w:rPr>
              <w:t>99,0</w:t>
            </w:r>
          </w:p>
        </w:tc>
        <w:tc>
          <w:tcPr>
            <w:tcW w:w="1593" w:type="dxa"/>
            <w:shd w:val="clear" w:color="auto" w:fill="auto"/>
            <w:vAlign w:val="bottom"/>
          </w:tcPr>
          <w:p w:rsidR="00570B62" w:rsidRPr="00541D1A" w:rsidRDefault="00570B62" w:rsidP="00C17D7C">
            <w:pPr>
              <w:spacing w:before="40" w:after="40" w:line="220" w:lineRule="exact"/>
              <w:jc w:val="right"/>
              <w:rPr>
                <w:sz w:val="18"/>
                <w:lang w:val="fr-CH"/>
              </w:rPr>
            </w:pPr>
            <w:r w:rsidRPr="00541D1A">
              <w:rPr>
                <w:sz w:val="18"/>
                <w:lang w:val="fr-CH"/>
              </w:rPr>
              <w:t>99,0</w:t>
            </w:r>
          </w:p>
        </w:tc>
        <w:tc>
          <w:tcPr>
            <w:tcW w:w="1492" w:type="dxa"/>
            <w:shd w:val="clear" w:color="auto" w:fill="auto"/>
            <w:vAlign w:val="bottom"/>
          </w:tcPr>
          <w:p w:rsidR="00570B62" w:rsidRPr="00541D1A" w:rsidRDefault="00570B62" w:rsidP="00541D1A">
            <w:pPr>
              <w:spacing w:before="40" w:after="40" w:line="220" w:lineRule="exact"/>
              <w:jc w:val="right"/>
              <w:rPr>
                <w:sz w:val="18"/>
                <w:lang w:val="fr-CH"/>
              </w:rPr>
            </w:pPr>
            <w:r w:rsidRPr="00541D1A">
              <w:rPr>
                <w:sz w:val="18"/>
                <w:lang w:val="fr-CH"/>
              </w:rPr>
              <w:t>99,1</w:t>
            </w:r>
          </w:p>
        </w:tc>
      </w:tr>
      <w:tr w:rsidR="00541D1A" w:rsidRPr="00541D1A" w:rsidTr="00541D1A">
        <w:tc>
          <w:tcPr>
            <w:tcW w:w="3827" w:type="dxa"/>
            <w:shd w:val="clear" w:color="auto" w:fill="auto"/>
          </w:tcPr>
          <w:p w:rsidR="00570B62" w:rsidRPr="00541D1A" w:rsidRDefault="00570B62" w:rsidP="00541D1A">
            <w:pPr>
              <w:pStyle w:val="Bullet1G"/>
              <w:tabs>
                <w:tab w:val="clear" w:pos="1701"/>
              </w:tabs>
              <w:spacing w:before="40" w:after="40" w:line="220" w:lineRule="exact"/>
              <w:ind w:left="366" w:hanging="200"/>
              <w:rPr>
                <w:b/>
                <w:bCs/>
                <w:i/>
                <w:iCs/>
                <w:sz w:val="18"/>
                <w:szCs w:val="18"/>
                <w:lang w:val="fr-CH"/>
              </w:rPr>
            </w:pPr>
            <w:r w:rsidRPr="00541D1A">
              <w:rPr>
                <w:sz w:val="18"/>
                <w:szCs w:val="18"/>
                <w:lang w:val="fr-CH"/>
              </w:rPr>
              <w:t>Filles</w:t>
            </w:r>
          </w:p>
        </w:tc>
        <w:tc>
          <w:tcPr>
            <w:tcW w:w="1451" w:type="dxa"/>
            <w:shd w:val="clear" w:color="auto" w:fill="auto"/>
            <w:vAlign w:val="bottom"/>
          </w:tcPr>
          <w:p w:rsidR="00570B62" w:rsidRPr="00541D1A" w:rsidRDefault="00570B62" w:rsidP="00541D1A">
            <w:pPr>
              <w:spacing w:before="40" w:after="40" w:line="220" w:lineRule="exact"/>
              <w:jc w:val="right"/>
              <w:rPr>
                <w:sz w:val="18"/>
                <w:lang w:val="fr-CH"/>
              </w:rPr>
            </w:pPr>
            <w:r w:rsidRPr="00541D1A">
              <w:rPr>
                <w:sz w:val="18"/>
                <w:lang w:val="fr-CH"/>
              </w:rPr>
              <w:t>98,9</w:t>
            </w:r>
          </w:p>
        </w:tc>
        <w:tc>
          <w:tcPr>
            <w:tcW w:w="1593" w:type="dxa"/>
            <w:shd w:val="clear" w:color="auto" w:fill="auto"/>
            <w:vAlign w:val="bottom"/>
          </w:tcPr>
          <w:p w:rsidR="00570B62" w:rsidRPr="00541D1A" w:rsidRDefault="00570B62" w:rsidP="00541D1A">
            <w:pPr>
              <w:spacing w:before="40" w:after="40" w:line="220" w:lineRule="exact"/>
              <w:jc w:val="right"/>
              <w:rPr>
                <w:sz w:val="18"/>
                <w:lang w:val="fr-CH"/>
              </w:rPr>
            </w:pPr>
            <w:r w:rsidRPr="00541D1A">
              <w:rPr>
                <w:sz w:val="18"/>
                <w:lang w:val="fr-CH"/>
              </w:rPr>
              <w:t>99,0</w:t>
            </w:r>
          </w:p>
        </w:tc>
        <w:tc>
          <w:tcPr>
            <w:tcW w:w="1492" w:type="dxa"/>
            <w:shd w:val="clear" w:color="auto" w:fill="auto"/>
            <w:vAlign w:val="bottom"/>
          </w:tcPr>
          <w:p w:rsidR="00570B62" w:rsidRPr="00541D1A" w:rsidRDefault="00570B62" w:rsidP="00541D1A">
            <w:pPr>
              <w:spacing w:before="40" w:after="40" w:line="220" w:lineRule="exact"/>
              <w:jc w:val="right"/>
              <w:rPr>
                <w:sz w:val="18"/>
                <w:lang w:val="fr-CH"/>
              </w:rPr>
            </w:pPr>
            <w:r w:rsidRPr="00541D1A">
              <w:rPr>
                <w:sz w:val="18"/>
                <w:lang w:val="fr-CH"/>
              </w:rPr>
              <w:t>99,1</w:t>
            </w:r>
          </w:p>
        </w:tc>
      </w:tr>
      <w:tr w:rsidR="00541D1A" w:rsidRPr="00541D1A" w:rsidTr="00541D1A">
        <w:tc>
          <w:tcPr>
            <w:tcW w:w="3827" w:type="dxa"/>
            <w:shd w:val="clear" w:color="auto" w:fill="auto"/>
          </w:tcPr>
          <w:p w:rsidR="00570B62" w:rsidRPr="00541D1A" w:rsidRDefault="00570B62" w:rsidP="00541D1A">
            <w:pPr>
              <w:pStyle w:val="Bullet1G"/>
              <w:tabs>
                <w:tab w:val="clear" w:pos="1701"/>
              </w:tabs>
              <w:spacing w:before="40" w:after="40" w:line="220" w:lineRule="exact"/>
              <w:ind w:left="366" w:hanging="200"/>
              <w:rPr>
                <w:b/>
                <w:bCs/>
                <w:i/>
                <w:iCs/>
                <w:sz w:val="18"/>
                <w:szCs w:val="18"/>
                <w:lang w:val="fr-CH"/>
              </w:rPr>
            </w:pPr>
            <w:r w:rsidRPr="00541D1A">
              <w:rPr>
                <w:sz w:val="18"/>
                <w:szCs w:val="18"/>
                <w:lang w:val="fr-CH"/>
              </w:rPr>
              <w:t>Total</w:t>
            </w:r>
          </w:p>
        </w:tc>
        <w:tc>
          <w:tcPr>
            <w:tcW w:w="1451" w:type="dxa"/>
            <w:shd w:val="clear" w:color="auto" w:fill="auto"/>
            <w:vAlign w:val="bottom"/>
          </w:tcPr>
          <w:p w:rsidR="00570B62" w:rsidRPr="00541D1A" w:rsidRDefault="00570B62" w:rsidP="00541D1A">
            <w:pPr>
              <w:spacing w:before="40" w:after="40" w:line="220" w:lineRule="exact"/>
              <w:jc w:val="right"/>
              <w:rPr>
                <w:sz w:val="18"/>
                <w:lang w:val="fr-CH"/>
              </w:rPr>
            </w:pPr>
            <w:r w:rsidRPr="00541D1A">
              <w:rPr>
                <w:sz w:val="18"/>
                <w:lang w:val="fr-CH"/>
              </w:rPr>
              <w:t>98,9</w:t>
            </w:r>
          </w:p>
        </w:tc>
        <w:tc>
          <w:tcPr>
            <w:tcW w:w="1593" w:type="dxa"/>
            <w:shd w:val="clear" w:color="auto" w:fill="auto"/>
            <w:vAlign w:val="bottom"/>
          </w:tcPr>
          <w:p w:rsidR="00570B62" w:rsidRPr="00541D1A" w:rsidRDefault="00570B62" w:rsidP="00541D1A">
            <w:pPr>
              <w:spacing w:before="40" w:after="40" w:line="220" w:lineRule="exact"/>
              <w:jc w:val="right"/>
              <w:rPr>
                <w:sz w:val="18"/>
                <w:lang w:val="fr-CH"/>
              </w:rPr>
            </w:pPr>
            <w:r w:rsidRPr="00541D1A">
              <w:rPr>
                <w:sz w:val="18"/>
                <w:lang w:val="fr-CH"/>
              </w:rPr>
              <w:t>99,0</w:t>
            </w:r>
          </w:p>
        </w:tc>
        <w:tc>
          <w:tcPr>
            <w:tcW w:w="1492" w:type="dxa"/>
            <w:shd w:val="clear" w:color="auto" w:fill="auto"/>
            <w:vAlign w:val="bottom"/>
          </w:tcPr>
          <w:p w:rsidR="00570B62" w:rsidRPr="00541D1A" w:rsidRDefault="00570B62" w:rsidP="00541D1A">
            <w:pPr>
              <w:spacing w:before="40" w:after="40" w:line="220" w:lineRule="exact"/>
              <w:jc w:val="right"/>
              <w:rPr>
                <w:sz w:val="18"/>
                <w:lang w:val="fr-CH"/>
              </w:rPr>
            </w:pPr>
            <w:r w:rsidRPr="00541D1A">
              <w:rPr>
                <w:sz w:val="18"/>
                <w:lang w:val="fr-CH"/>
              </w:rPr>
              <w:t>99,1</w:t>
            </w:r>
          </w:p>
        </w:tc>
      </w:tr>
      <w:tr w:rsidR="00570B62" w:rsidRPr="00541D1A" w:rsidTr="00541D1A">
        <w:tc>
          <w:tcPr>
            <w:tcW w:w="8363" w:type="dxa"/>
            <w:gridSpan w:val="4"/>
            <w:shd w:val="clear" w:color="auto" w:fill="auto"/>
          </w:tcPr>
          <w:p w:rsidR="00570B62" w:rsidRPr="00541D1A" w:rsidRDefault="00570B62" w:rsidP="00541D1A">
            <w:pPr>
              <w:spacing w:before="40" w:after="40" w:line="220" w:lineRule="exact"/>
              <w:rPr>
                <w:i/>
                <w:iCs/>
                <w:sz w:val="18"/>
                <w:szCs w:val="18"/>
                <w:lang w:val="fr-CH"/>
              </w:rPr>
            </w:pPr>
            <w:r w:rsidRPr="00541D1A">
              <w:rPr>
                <w:sz w:val="18"/>
                <w:szCs w:val="18"/>
                <w:lang w:val="fr-CH"/>
              </w:rPr>
              <w:t>Taux de scolarisation 6-11 ans</w:t>
            </w:r>
            <w:r w:rsidR="00541D1A" w:rsidRPr="00541D1A">
              <w:rPr>
                <w:sz w:val="18"/>
                <w:szCs w:val="18"/>
                <w:lang w:val="fr-CH"/>
              </w:rPr>
              <w:t xml:space="preserve"> </w:t>
            </w:r>
            <w:r w:rsidRPr="00541D1A">
              <w:rPr>
                <w:sz w:val="18"/>
                <w:szCs w:val="18"/>
                <w:lang w:val="fr-CH"/>
              </w:rPr>
              <w:t>(</w:t>
            </w:r>
            <w:r w:rsidR="001973D8" w:rsidRPr="00541D1A">
              <w:rPr>
                <w:sz w:val="18"/>
                <w:szCs w:val="18"/>
                <w:lang w:val="fr-CH"/>
              </w:rPr>
              <w:t>%</w:t>
            </w:r>
            <w:r w:rsidRPr="00541D1A">
              <w:rPr>
                <w:sz w:val="18"/>
                <w:szCs w:val="18"/>
                <w:lang w:val="fr-CH"/>
              </w:rPr>
              <w:t>)</w:t>
            </w:r>
          </w:p>
        </w:tc>
      </w:tr>
      <w:tr w:rsidR="00541D1A" w:rsidRPr="00541D1A" w:rsidTr="00541D1A">
        <w:tc>
          <w:tcPr>
            <w:tcW w:w="3827" w:type="dxa"/>
            <w:shd w:val="clear" w:color="auto" w:fill="auto"/>
          </w:tcPr>
          <w:p w:rsidR="00570B62" w:rsidRPr="00541D1A" w:rsidRDefault="00570B62" w:rsidP="00541D1A">
            <w:pPr>
              <w:pStyle w:val="Bullet1G"/>
              <w:tabs>
                <w:tab w:val="clear" w:pos="1701"/>
              </w:tabs>
              <w:spacing w:before="40" w:after="40" w:line="220" w:lineRule="exact"/>
              <w:ind w:left="366" w:hanging="200"/>
              <w:rPr>
                <w:sz w:val="18"/>
                <w:szCs w:val="18"/>
                <w:lang w:val="fr-CH"/>
              </w:rPr>
            </w:pPr>
            <w:r w:rsidRPr="00541D1A">
              <w:rPr>
                <w:sz w:val="18"/>
                <w:szCs w:val="18"/>
                <w:lang w:val="fr-CH"/>
              </w:rPr>
              <w:t>Garçons</w:t>
            </w:r>
          </w:p>
        </w:tc>
        <w:tc>
          <w:tcPr>
            <w:tcW w:w="1451" w:type="dxa"/>
            <w:shd w:val="clear" w:color="auto" w:fill="auto"/>
            <w:vAlign w:val="bottom"/>
          </w:tcPr>
          <w:p w:rsidR="00570B62" w:rsidRPr="00541D1A" w:rsidRDefault="00570B62" w:rsidP="00541D1A">
            <w:pPr>
              <w:spacing w:before="40" w:after="40" w:line="220" w:lineRule="exact"/>
              <w:jc w:val="right"/>
              <w:rPr>
                <w:sz w:val="18"/>
                <w:lang w:val="fr-CH"/>
              </w:rPr>
            </w:pPr>
            <w:r w:rsidRPr="00541D1A">
              <w:rPr>
                <w:sz w:val="18"/>
                <w:lang w:val="fr-CH"/>
              </w:rPr>
              <w:t>97,0</w:t>
            </w:r>
          </w:p>
        </w:tc>
        <w:tc>
          <w:tcPr>
            <w:tcW w:w="1593" w:type="dxa"/>
            <w:shd w:val="clear" w:color="auto" w:fill="auto"/>
            <w:vAlign w:val="bottom"/>
          </w:tcPr>
          <w:p w:rsidR="00570B62" w:rsidRPr="00541D1A" w:rsidRDefault="00570B62" w:rsidP="00541D1A">
            <w:pPr>
              <w:spacing w:before="40" w:after="40" w:line="220" w:lineRule="exact"/>
              <w:jc w:val="right"/>
              <w:rPr>
                <w:sz w:val="18"/>
                <w:lang w:val="fr-CH"/>
              </w:rPr>
            </w:pPr>
            <w:r w:rsidRPr="00541D1A">
              <w:rPr>
                <w:sz w:val="18"/>
                <w:lang w:val="fr-CH"/>
              </w:rPr>
              <w:t>97,0</w:t>
            </w:r>
          </w:p>
        </w:tc>
        <w:tc>
          <w:tcPr>
            <w:tcW w:w="1492" w:type="dxa"/>
            <w:shd w:val="clear" w:color="auto" w:fill="auto"/>
            <w:vAlign w:val="bottom"/>
          </w:tcPr>
          <w:p w:rsidR="00570B62" w:rsidRPr="00541D1A" w:rsidRDefault="00570B62" w:rsidP="00541D1A">
            <w:pPr>
              <w:spacing w:before="40" w:after="40" w:line="220" w:lineRule="exact"/>
              <w:jc w:val="right"/>
              <w:rPr>
                <w:sz w:val="18"/>
                <w:lang w:val="fr-CH"/>
              </w:rPr>
            </w:pPr>
            <w:r w:rsidRPr="00541D1A">
              <w:rPr>
                <w:sz w:val="18"/>
                <w:lang w:val="fr-CH"/>
              </w:rPr>
              <w:t>97,3</w:t>
            </w:r>
          </w:p>
        </w:tc>
      </w:tr>
      <w:tr w:rsidR="00541D1A" w:rsidRPr="00541D1A" w:rsidTr="00541D1A">
        <w:tc>
          <w:tcPr>
            <w:tcW w:w="3827" w:type="dxa"/>
            <w:shd w:val="clear" w:color="auto" w:fill="auto"/>
          </w:tcPr>
          <w:p w:rsidR="00570B62" w:rsidRPr="00541D1A" w:rsidRDefault="00570B62" w:rsidP="00541D1A">
            <w:pPr>
              <w:pStyle w:val="Bullet1G"/>
              <w:tabs>
                <w:tab w:val="clear" w:pos="1701"/>
              </w:tabs>
              <w:spacing w:before="40" w:after="40" w:line="220" w:lineRule="exact"/>
              <w:ind w:left="366" w:hanging="200"/>
              <w:rPr>
                <w:sz w:val="18"/>
                <w:szCs w:val="18"/>
                <w:lang w:val="fr-CH"/>
              </w:rPr>
            </w:pPr>
            <w:r w:rsidRPr="00541D1A">
              <w:rPr>
                <w:sz w:val="18"/>
                <w:szCs w:val="18"/>
                <w:lang w:val="fr-CH"/>
              </w:rPr>
              <w:t>Filles</w:t>
            </w:r>
          </w:p>
        </w:tc>
        <w:tc>
          <w:tcPr>
            <w:tcW w:w="1451" w:type="dxa"/>
            <w:shd w:val="clear" w:color="auto" w:fill="auto"/>
            <w:vAlign w:val="bottom"/>
          </w:tcPr>
          <w:p w:rsidR="00570B62" w:rsidRPr="00541D1A" w:rsidRDefault="00570B62" w:rsidP="00541D1A">
            <w:pPr>
              <w:spacing w:before="40" w:after="40" w:line="220" w:lineRule="exact"/>
              <w:jc w:val="right"/>
              <w:rPr>
                <w:sz w:val="18"/>
                <w:lang w:val="fr-CH"/>
              </w:rPr>
            </w:pPr>
            <w:r w:rsidRPr="00541D1A">
              <w:rPr>
                <w:sz w:val="18"/>
                <w:lang w:val="fr-CH"/>
              </w:rPr>
              <w:t>96,4</w:t>
            </w:r>
          </w:p>
        </w:tc>
        <w:tc>
          <w:tcPr>
            <w:tcW w:w="1593" w:type="dxa"/>
            <w:shd w:val="clear" w:color="auto" w:fill="auto"/>
            <w:vAlign w:val="bottom"/>
          </w:tcPr>
          <w:p w:rsidR="00570B62" w:rsidRPr="00541D1A" w:rsidRDefault="00570B62" w:rsidP="00541D1A">
            <w:pPr>
              <w:spacing w:before="40" w:after="40" w:line="220" w:lineRule="exact"/>
              <w:jc w:val="right"/>
              <w:rPr>
                <w:sz w:val="18"/>
                <w:lang w:val="fr-CH"/>
              </w:rPr>
            </w:pPr>
            <w:r w:rsidRPr="00541D1A">
              <w:rPr>
                <w:sz w:val="18"/>
                <w:lang w:val="fr-CH"/>
              </w:rPr>
              <w:t>97,5</w:t>
            </w:r>
          </w:p>
        </w:tc>
        <w:tc>
          <w:tcPr>
            <w:tcW w:w="1492" w:type="dxa"/>
            <w:shd w:val="clear" w:color="auto" w:fill="auto"/>
            <w:vAlign w:val="bottom"/>
          </w:tcPr>
          <w:p w:rsidR="00570B62" w:rsidRPr="00541D1A" w:rsidRDefault="00570B62" w:rsidP="00541D1A">
            <w:pPr>
              <w:spacing w:before="40" w:after="40" w:line="220" w:lineRule="exact"/>
              <w:jc w:val="right"/>
              <w:rPr>
                <w:sz w:val="18"/>
                <w:lang w:val="fr-CH"/>
              </w:rPr>
            </w:pPr>
            <w:r w:rsidRPr="00541D1A">
              <w:rPr>
                <w:sz w:val="18"/>
                <w:lang w:val="fr-CH"/>
              </w:rPr>
              <w:t>97,4</w:t>
            </w:r>
          </w:p>
        </w:tc>
      </w:tr>
      <w:tr w:rsidR="00541D1A" w:rsidRPr="00541D1A" w:rsidTr="00541D1A">
        <w:tc>
          <w:tcPr>
            <w:tcW w:w="3827" w:type="dxa"/>
            <w:shd w:val="clear" w:color="auto" w:fill="auto"/>
          </w:tcPr>
          <w:p w:rsidR="00570B62" w:rsidRPr="00541D1A" w:rsidRDefault="00570B62" w:rsidP="00541D1A">
            <w:pPr>
              <w:pStyle w:val="Bullet1G"/>
              <w:tabs>
                <w:tab w:val="clear" w:pos="1701"/>
              </w:tabs>
              <w:spacing w:before="40" w:after="40" w:line="220" w:lineRule="exact"/>
              <w:ind w:left="366" w:hanging="200"/>
              <w:rPr>
                <w:sz w:val="18"/>
                <w:szCs w:val="18"/>
                <w:lang w:val="fr-CH"/>
              </w:rPr>
            </w:pPr>
            <w:r w:rsidRPr="00541D1A">
              <w:rPr>
                <w:sz w:val="18"/>
                <w:szCs w:val="18"/>
                <w:lang w:val="fr-CH"/>
              </w:rPr>
              <w:t>Total</w:t>
            </w:r>
          </w:p>
        </w:tc>
        <w:tc>
          <w:tcPr>
            <w:tcW w:w="1451" w:type="dxa"/>
            <w:shd w:val="clear" w:color="auto" w:fill="auto"/>
            <w:vAlign w:val="bottom"/>
          </w:tcPr>
          <w:p w:rsidR="00570B62" w:rsidRPr="00541D1A" w:rsidRDefault="00570B62" w:rsidP="00541D1A">
            <w:pPr>
              <w:spacing w:before="40" w:after="40" w:line="220" w:lineRule="exact"/>
              <w:jc w:val="right"/>
              <w:rPr>
                <w:sz w:val="18"/>
                <w:lang w:val="fr-CH"/>
              </w:rPr>
            </w:pPr>
            <w:r w:rsidRPr="00541D1A">
              <w:rPr>
                <w:sz w:val="18"/>
                <w:lang w:val="fr-CH"/>
              </w:rPr>
              <w:t>96,7</w:t>
            </w:r>
          </w:p>
        </w:tc>
        <w:tc>
          <w:tcPr>
            <w:tcW w:w="1593" w:type="dxa"/>
            <w:shd w:val="clear" w:color="auto" w:fill="auto"/>
            <w:vAlign w:val="bottom"/>
          </w:tcPr>
          <w:p w:rsidR="00570B62" w:rsidRPr="00541D1A" w:rsidRDefault="00570B62" w:rsidP="00541D1A">
            <w:pPr>
              <w:spacing w:before="40" w:after="40" w:line="220" w:lineRule="exact"/>
              <w:jc w:val="right"/>
              <w:rPr>
                <w:sz w:val="18"/>
                <w:lang w:val="fr-CH"/>
              </w:rPr>
            </w:pPr>
            <w:r w:rsidRPr="00541D1A">
              <w:rPr>
                <w:sz w:val="18"/>
                <w:lang w:val="fr-CH"/>
              </w:rPr>
              <w:t>97,2</w:t>
            </w:r>
          </w:p>
        </w:tc>
        <w:tc>
          <w:tcPr>
            <w:tcW w:w="1492" w:type="dxa"/>
            <w:shd w:val="clear" w:color="auto" w:fill="auto"/>
            <w:vAlign w:val="bottom"/>
          </w:tcPr>
          <w:p w:rsidR="00570B62" w:rsidRPr="00541D1A" w:rsidRDefault="00570B62" w:rsidP="00541D1A">
            <w:pPr>
              <w:spacing w:before="40" w:after="40" w:line="220" w:lineRule="exact"/>
              <w:jc w:val="right"/>
              <w:rPr>
                <w:sz w:val="18"/>
                <w:lang w:val="fr-CH"/>
              </w:rPr>
            </w:pPr>
            <w:r w:rsidRPr="00541D1A">
              <w:rPr>
                <w:sz w:val="18"/>
                <w:lang w:val="fr-CH"/>
              </w:rPr>
              <w:t>97,4</w:t>
            </w:r>
          </w:p>
        </w:tc>
      </w:tr>
    </w:tbl>
    <w:p w:rsidR="00570B62" w:rsidRPr="00961388" w:rsidRDefault="00570B62" w:rsidP="00541D1A">
      <w:pPr>
        <w:pStyle w:val="SingleTxtG"/>
        <w:spacing w:before="240"/>
        <w:rPr>
          <w:lang w:val="fr-CH"/>
        </w:rPr>
      </w:pPr>
      <w:r w:rsidRPr="00961388">
        <w:rPr>
          <w:lang w:val="fr-CH"/>
        </w:rPr>
        <w:t>224.</w:t>
      </w:r>
      <w:r w:rsidRPr="00961388">
        <w:rPr>
          <w:lang w:val="fr-CH"/>
        </w:rPr>
        <w:tab/>
        <w:t>La présence des filles est même plus élevée que celle des garçons au niveau du second cycle de l</w:t>
      </w:r>
      <w:r w:rsidR="00961388">
        <w:rPr>
          <w:lang w:val="fr-CH"/>
        </w:rPr>
        <w:t>’</w:t>
      </w:r>
      <w:r w:rsidRPr="00961388">
        <w:rPr>
          <w:lang w:val="fr-CH"/>
        </w:rPr>
        <w:t>enseignement de base et de l</w:t>
      </w:r>
      <w:r w:rsidR="00961388">
        <w:rPr>
          <w:lang w:val="fr-CH"/>
        </w:rPr>
        <w:t>’</w:t>
      </w:r>
      <w:r w:rsidRPr="00961388">
        <w:rPr>
          <w:lang w:val="fr-CH"/>
        </w:rPr>
        <w:t>enseignement secondaire</w:t>
      </w:r>
      <w:r w:rsidR="00961388">
        <w:rPr>
          <w:lang w:val="fr-CH"/>
        </w:rPr>
        <w:t>:</w:t>
      </w:r>
      <w:r w:rsidRPr="00961388">
        <w:rPr>
          <w:lang w:val="fr-CH"/>
        </w:rPr>
        <w:t xml:space="preserve"> 53,8</w:t>
      </w:r>
      <w:r w:rsidR="001973D8">
        <w:rPr>
          <w:lang w:val="fr-CH"/>
        </w:rPr>
        <w:t xml:space="preserve"> %</w:t>
      </w:r>
      <w:r w:rsidRPr="00961388">
        <w:rPr>
          <w:lang w:val="fr-CH"/>
        </w:rPr>
        <w:t>.</w:t>
      </w:r>
    </w:p>
    <w:p w:rsidR="00570B62" w:rsidRPr="00961388" w:rsidRDefault="00570B62" w:rsidP="00F54CE5">
      <w:pPr>
        <w:pStyle w:val="SingleTxtG"/>
        <w:rPr>
          <w:lang w:val="fr-CH"/>
        </w:rPr>
      </w:pPr>
      <w:r w:rsidRPr="00961388">
        <w:rPr>
          <w:lang w:val="fr-CH"/>
        </w:rPr>
        <w:t>225.</w:t>
      </w:r>
      <w:r w:rsidRPr="00961388">
        <w:rPr>
          <w:lang w:val="fr-CH"/>
        </w:rPr>
        <w:tab/>
        <w:t>Cette approche égalitaire se traduit également par un équilibre dans les effectifs des filles et des garçons au niveau des établissements. Les tableaux suivants donnent un aperçu sur le taux de scolarisation par sexe et par tranche d</w:t>
      </w:r>
      <w:r w:rsidR="00961388">
        <w:rPr>
          <w:lang w:val="fr-CH"/>
        </w:rPr>
        <w:t>’</w:t>
      </w:r>
      <w:r w:rsidRPr="00961388">
        <w:rPr>
          <w:lang w:val="fr-CH"/>
        </w:rPr>
        <w:t xml:space="preserve">âge. </w:t>
      </w:r>
    </w:p>
    <w:tbl>
      <w:tblPr>
        <w:tblW w:w="7482"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966"/>
        <w:gridCol w:w="733"/>
        <w:gridCol w:w="733"/>
        <w:gridCol w:w="733"/>
        <w:gridCol w:w="117"/>
        <w:gridCol w:w="656"/>
        <w:gridCol w:w="657"/>
        <w:gridCol w:w="657"/>
        <w:gridCol w:w="117"/>
        <w:gridCol w:w="704"/>
        <w:gridCol w:w="704"/>
        <w:gridCol w:w="705"/>
      </w:tblGrid>
      <w:tr w:rsidR="00C17D7C" w:rsidRPr="00541D1A" w:rsidTr="003729EF">
        <w:trPr>
          <w:tblHeader/>
        </w:trPr>
        <w:tc>
          <w:tcPr>
            <w:tcW w:w="966" w:type="dxa"/>
            <w:vMerge w:val="restart"/>
            <w:tcBorders>
              <w:top w:val="single" w:sz="4" w:space="0" w:color="auto"/>
              <w:bottom w:val="single" w:sz="12" w:space="0" w:color="auto"/>
            </w:tcBorders>
            <w:shd w:val="clear" w:color="000000" w:fill="auto"/>
            <w:vAlign w:val="bottom"/>
          </w:tcPr>
          <w:p w:rsidR="00C17D7C" w:rsidRPr="00541D1A" w:rsidRDefault="00C17D7C" w:rsidP="00541D1A">
            <w:pPr>
              <w:spacing w:before="80" w:after="80" w:line="200" w:lineRule="exact"/>
              <w:rPr>
                <w:bCs/>
                <w:i/>
                <w:iCs/>
                <w:sz w:val="16"/>
                <w:lang w:val="fr-CH"/>
              </w:rPr>
            </w:pPr>
            <w:r w:rsidRPr="00541D1A">
              <w:rPr>
                <w:i/>
                <w:sz w:val="16"/>
                <w:lang w:val="fr-CH"/>
              </w:rPr>
              <w:t xml:space="preserve">Tranche </w:t>
            </w:r>
            <w:r w:rsidR="003729EF">
              <w:rPr>
                <w:i/>
                <w:sz w:val="16"/>
                <w:lang w:val="fr-CH"/>
              </w:rPr>
              <w:br/>
            </w:r>
            <w:r w:rsidRPr="00541D1A">
              <w:rPr>
                <w:i/>
                <w:sz w:val="16"/>
                <w:lang w:val="fr-CH"/>
              </w:rPr>
              <w:t>d’âge</w:t>
            </w:r>
            <w:r w:rsidRPr="00541D1A">
              <w:rPr>
                <w:bCs/>
                <w:i/>
                <w:iCs/>
                <w:sz w:val="16"/>
                <w:lang w:val="fr-CH"/>
              </w:rPr>
              <w:t xml:space="preserve"> </w:t>
            </w:r>
          </w:p>
        </w:tc>
        <w:tc>
          <w:tcPr>
            <w:tcW w:w="2199" w:type="dxa"/>
            <w:gridSpan w:val="3"/>
            <w:tcBorders>
              <w:top w:val="single" w:sz="4" w:space="0" w:color="auto"/>
              <w:bottom w:val="single" w:sz="4" w:space="0" w:color="auto"/>
            </w:tcBorders>
            <w:shd w:val="clear" w:color="000000" w:fill="auto"/>
            <w:vAlign w:val="bottom"/>
          </w:tcPr>
          <w:p w:rsidR="00C17D7C" w:rsidRPr="00541D1A" w:rsidRDefault="00C17D7C" w:rsidP="00D10DB8">
            <w:pPr>
              <w:spacing w:before="80" w:after="80" w:line="200" w:lineRule="exact"/>
              <w:jc w:val="center"/>
              <w:rPr>
                <w:i/>
                <w:sz w:val="16"/>
                <w:lang w:val="fr-CH"/>
              </w:rPr>
            </w:pPr>
            <w:r w:rsidRPr="00541D1A">
              <w:rPr>
                <w:i/>
                <w:sz w:val="16"/>
                <w:lang w:val="fr-CH"/>
              </w:rPr>
              <w:t>2007/2008</w:t>
            </w:r>
          </w:p>
        </w:tc>
        <w:tc>
          <w:tcPr>
            <w:tcW w:w="117" w:type="dxa"/>
            <w:tcBorders>
              <w:top w:val="single" w:sz="4" w:space="0" w:color="auto"/>
              <w:bottom w:val="nil"/>
              <w:right w:val="nil"/>
            </w:tcBorders>
            <w:shd w:val="clear" w:color="000000" w:fill="auto"/>
            <w:vAlign w:val="bottom"/>
          </w:tcPr>
          <w:p w:rsidR="00C17D7C" w:rsidRPr="00541D1A" w:rsidRDefault="00C17D7C" w:rsidP="00C17D7C">
            <w:pPr>
              <w:spacing w:before="80" w:after="80" w:line="200" w:lineRule="exact"/>
              <w:jc w:val="center"/>
              <w:rPr>
                <w:i/>
                <w:sz w:val="16"/>
                <w:lang w:val="fr-CH"/>
              </w:rPr>
            </w:pPr>
          </w:p>
        </w:tc>
        <w:tc>
          <w:tcPr>
            <w:tcW w:w="1970" w:type="dxa"/>
            <w:gridSpan w:val="3"/>
            <w:tcBorders>
              <w:top w:val="single" w:sz="4" w:space="0" w:color="auto"/>
              <w:left w:val="nil"/>
              <w:bottom w:val="single" w:sz="4" w:space="0" w:color="auto"/>
            </w:tcBorders>
            <w:shd w:val="clear" w:color="000000" w:fill="auto"/>
            <w:vAlign w:val="bottom"/>
          </w:tcPr>
          <w:p w:rsidR="00C17D7C" w:rsidRPr="00541D1A" w:rsidRDefault="00C17D7C" w:rsidP="00D10DB8">
            <w:pPr>
              <w:spacing w:before="80" w:after="80" w:line="200" w:lineRule="exact"/>
              <w:jc w:val="center"/>
              <w:rPr>
                <w:i/>
                <w:sz w:val="16"/>
                <w:lang w:val="fr-CH"/>
              </w:rPr>
            </w:pPr>
            <w:r w:rsidRPr="00541D1A">
              <w:rPr>
                <w:i/>
                <w:sz w:val="16"/>
                <w:lang w:val="fr-CH"/>
              </w:rPr>
              <w:t>2008/2009</w:t>
            </w:r>
          </w:p>
        </w:tc>
        <w:tc>
          <w:tcPr>
            <w:tcW w:w="117" w:type="dxa"/>
            <w:tcBorders>
              <w:top w:val="single" w:sz="4" w:space="0" w:color="auto"/>
              <w:bottom w:val="nil"/>
              <w:right w:val="nil"/>
            </w:tcBorders>
            <w:shd w:val="clear" w:color="000000" w:fill="auto"/>
            <w:vAlign w:val="bottom"/>
          </w:tcPr>
          <w:p w:rsidR="00C17D7C" w:rsidRPr="00541D1A" w:rsidRDefault="00C17D7C" w:rsidP="00C17D7C">
            <w:pPr>
              <w:spacing w:before="80" w:after="80" w:line="200" w:lineRule="exact"/>
              <w:jc w:val="center"/>
              <w:rPr>
                <w:i/>
                <w:sz w:val="16"/>
                <w:lang w:val="fr-CH"/>
              </w:rPr>
            </w:pPr>
          </w:p>
        </w:tc>
        <w:tc>
          <w:tcPr>
            <w:tcW w:w="2113" w:type="dxa"/>
            <w:gridSpan w:val="3"/>
            <w:tcBorders>
              <w:top w:val="single" w:sz="4" w:space="0" w:color="auto"/>
              <w:left w:val="nil"/>
              <w:bottom w:val="single" w:sz="4" w:space="0" w:color="auto"/>
            </w:tcBorders>
            <w:shd w:val="clear" w:color="000000" w:fill="auto"/>
            <w:vAlign w:val="bottom"/>
          </w:tcPr>
          <w:p w:rsidR="00C17D7C" w:rsidRPr="00541D1A" w:rsidRDefault="00C17D7C" w:rsidP="00D10DB8">
            <w:pPr>
              <w:spacing w:before="80" w:after="80" w:line="200" w:lineRule="exact"/>
              <w:jc w:val="center"/>
              <w:rPr>
                <w:i/>
                <w:sz w:val="16"/>
                <w:lang w:val="fr-CH"/>
              </w:rPr>
            </w:pPr>
            <w:r w:rsidRPr="00541D1A">
              <w:rPr>
                <w:i/>
                <w:sz w:val="16"/>
                <w:lang w:val="fr-CH"/>
              </w:rPr>
              <w:t>2009/2010</w:t>
            </w:r>
          </w:p>
        </w:tc>
      </w:tr>
      <w:tr w:rsidR="003729EF" w:rsidRPr="00541D1A" w:rsidTr="003729EF">
        <w:trPr>
          <w:tblHeader/>
        </w:trPr>
        <w:tc>
          <w:tcPr>
            <w:tcW w:w="966" w:type="dxa"/>
            <w:vMerge/>
            <w:tcBorders>
              <w:top w:val="single" w:sz="12" w:space="0" w:color="auto"/>
              <w:bottom w:val="single" w:sz="12" w:space="0" w:color="auto"/>
            </w:tcBorders>
            <w:shd w:val="clear" w:color="000000" w:fill="auto"/>
            <w:vAlign w:val="bottom"/>
          </w:tcPr>
          <w:p w:rsidR="00C17D7C" w:rsidRPr="00541D1A" w:rsidRDefault="00C17D7C" w:rsidP="00541D1A">
            <w:pPr>
              <w:suppressAutoHyphens w:val="0"/>
              <w:spacing w:before="40" w:after="40" w:line="220" w:lineRule="exact"/>
              <w:ind w:right="113"/>
              <w:rPr>
                <w:b/>
                <w:bCs/>
                <w:i/>
                <w:iCs/>
                <w:sz w:val="18"/>
                <w:lang w:val="fr-CH"/>
              </w:rPr>
            </w:pPr>
          </w:p>
        </w:tc>
        <w:tc>
          <w:tcPr>
            <w:tcW w:w="733" w:type="dxa"/>
            <w:tcBorders>
              <w:top w:val="single" w:sz="4" w:space="0" w:color="auto"/>
              <w:bottom w:val="single" w:sz="12" w:space="0" w:color="auto"/>
            </w:tcBorders>
            <w:shd w:val="clear" w:color="000000" w:fill="auto"/>
            <w:vAlign w:val="bottom"/>
          </w:tcPr>
          <w:p w:rsidR="00C17D7C" w:rsidRPr="00541D1A" w:rsidRDefault="00C17D7C" w:rsidP="00541D1A">
            <w:pPr>
              <w:spacing w:before="80" w:after="80" w:line="200" w:lineRule="exact"/>
              <w:jc w:val="right"/>
              <w:rPr>
                <w:b/>
                <w:bCs/>
                <w:i/>
                <w:iCs/>
                <w:sz w:val="18"/>
                <w:lang w:val="fr-CH"/>
              </w:rPr>
            </w:pPr>
            <w:r w:rsidRPr="00541D1A">
              <w:rPr>
                <w:i/>
                <w:sz w:val="16"/>
                <w:lang w:val="fr-CH"/>
              </w:rPr>
              <w:t>Garçons</w:t>
            </w:r>
          </w:p>
        </w:tc>
        <w:tc>
          <w:tcPr>
            <w:tcW w:w="733" w:type="dxa"/>
            <w:tcBorders>
              <w:top w:val="single" w:sz="4" w:space="0" w:color="auto"/>
              <w:bottom w:val="single" w:sz="12" w:space="0" w:color="auto"/>
            </w:tcBorders>
            <w:shd w:val="clear" w:color="000000" w:fill="auto"/>
            <w:vAlign w:val="bottom"/>
          </w:tcPr>
          <w:p w:rsidR="00C17D7C" w:rsidRPr="00541D1A" w:rsidRDefault="00C17D7C" w:rsidP="00541D1A">
            <w:pPr>
              <w:spacing w:before="80" w:after="80" w:line="200" w:lineRule="exact"/>
              <w:jc w:val="right"/>
              <w:rPr>
                <w:i/>
                <w:sz w:val="16"/>
                <w:lang w:val="fr-CH"/>
              </w:rPr>
            </w:pPr>
            <w:r w:rsidRPr="00541D1A">
              <w:rPr>
                <w:i/>
                <w:sz w:val="16"/>
                <w:lang w:val="fr-CH"/>
              </w:rPr>
              <w:t>Filles</w:t>
            </w:r>
          </w:p>
        </w:tc>
        <w:tc>
          <w:tcPr>
            <w:tcW w:w="733" w:type="dxa"/>
            <w:tcBorders>
              <w:top w:val="single" w:sz="4" w:space="0" w:color="auto"/>
              <w:bottom w:val="single" w:sz="12" w:space="0" w:color="auto"/>
            </w:tcBorders>
            <w:shd w:val="clear" w:color="000000" w:fill="auto"/>
            <w:vAlign w:val="bottom"/>
          </w:tcPr>
          <w:p w:rsidR="00C17D7C" w:rsidRPr="00541D1A" w:rsidRDefault="00C17D7C" w:rsidP="00541D1A">
            <w:pPr>
              <w:spacing w:before="80" w:after="80" w:line="200" w:lineRule="exact"/>
              <w:jc w:val="right"/>
              <w:rPr>
                <w:i/>
                <w:sz w:val="16"/>
                <w:lang w:val="fr-CH"/>
              </w:rPr>
            </w:pPr>
            <w:r w:rsidRPr="00541D1A">
              <w:rPr>
                <w:i/>
                <w:sz w:val="16"/>
                <w:lang w:val="fr-CH"/>
              </w:rPr>
              <w:t>Total</w:t>
            </w:r>
          </w:p>
        </w:tc>
        <w:tc>
          <w:tcPr>
            <w:tcW w:w="117" w:type="dxa"/>
            <w:tcBorders>
              <w:top w:val="nil"/>
              <w:bottom w:val="single" w:sz="12" w:space="0" w:color="auto"/>
              <w:right w:val="nil"/>
            </w:tcBorders>
            <w:shd w:val="clear" w:color="000000" w:fill="auto"/>
            <w:vAlign w:val="bottom"/>
          </w:tcPr>
          <w:p w:rsidR="00C17D7C" w:rsidRPr="00541D1A" w:rsidRDefault="00C17D7C" w:rsidP="00541D1A">
            <w:pPr>
              <w:spacing w:before="80" w:after="80" w:line="200" w:lineRule="exact"/>
              <w:jc w:val="right"/>
              <w:rPr>
                <w:i/>
                <w:sz w:val="16"/>
                <w:lang w:val="fr-CH"/>
              </w:rPr>
            </w:pPr>
          </w:p>
        </w:tc>
        <w:tc>
          <w:tcPr>
            <w:tcW w:w="656" w:type="dxa"/>
            <w:tcBorders>
              <w:top w:val="single" w:sz="4" w:space="0" w:color="auto"/>
              <w:left w:val="nil"/>
              <w:bottom w:val="single" w:sz="12" w:space="0" w:color="auto"/>
            </w:tcBorders>
            <w:shd w:val="clear" w:color="000000" w:fill="auto"/>
            <w:vAlign w:val="bottom"/>
          </w:tcPr>
          <w:p w:rsidR="00C17D7C" w:rsidRPr="00541D1A" w:rsidRDefault="003729EF" w:rsidP="00541D1A">
            <w:pPr>
              <w:spacing w:before="80" w:after="80" w:line="200" w:lineRule="exact"/>
              <w:jc w:val="right"/>
              <w:rPr>
                <w:i/>
                <w:sz w:val="16"/>
                <w:lang w:val="fr-CH"/>
              </w:rPr>
            </w:pPr>
            <w:r w:rsidRPr="00541D1A">
              <w:rPr>
                <w:i/>
                <w:sz w:val="16"/>
                <w:lang w:val="fr-CH"/>
              </w:rPr>
              <w:t>Garçons</w:t>
            </w:r>
          </w:p>
        </w:tc>
        <w:tc>
          <w:tcPr>
            <w:tcW w:w="657" w:type="dxa"/>
            <w:tcBorders>
              <w:top w:val="single" w:sz="4" w:space="0" w:color="auto"/>
              <w:bottom w:val="single" w:sz="12" w:space="0" w:color="auto"/>
            </w:tcBorders>
            <w:shd w:val="clear" w:color="000000" w:fill="auto"/>
            <w:vAlign w:val="bottom"/>
          </w:tcPr>
          <w:p w:rsidR="00C17D7C" w:rsidRPr="00541D1A" w:rsidRDefault="00C17D7C" w:rsidP="00541D1A">
            <w:pPr>
              <w:spacing w:before="80" w:after="80" w:line="200" w:lineRule="exact"/>
              <w:jc w:val="right"/>
              <w:rPr>
                <w:i/>
                <w:sz w:val="16"/>
                <w:lang w:val="fr-CH"/>
              </w:rPr>
            </w:pPr>
            <w:r w:rsidRPr="00541D1A">
              <w:rPr>
                <w:i/>
                <w:sz w:val="16"/>
                <w:lang w:val="fr-CH"/>
              </w:rPr>
              <w:t>Filles</w:t>
            </w:r>
          </w:p>
        </w:tc>
        <w:tc>
          <w:tcPr>
            <w:tcW w:w="657" w:type="dxa"/>
            <w:tcBorders>
              <w:top w:val="single" w:sz="4" w:space="0" w:color="auto"/>
              <w:bottom w:val="single" w:sz="12" w:space="0" w:color="auto"/>
            </w:tcBorders>
            <w:shd w:val="clear" w:color="000000" w:fill="auto"/>
            <w:vAlign w:val="bottom"/>
          </w:tcPr>
          <w:p w:rsidR="00C17D7C" w:rsidRPr="00541D1A" w:rsidRDefault="00C17D7C" w:rsidP="00541D1A">
            <w:pPr>
              <w:spacing w:before="80" w:after="80" w:line="200" w:lineRule="exact"/>
              <w:jc w:val="right"/>
              <w:rPr>
                <w:i/>
                <w:sz w:val="16"/>
                <w:lang w:val="fr-CH"/>
              </w:rPr>
            </w:pPr>
            <w:r w:rsidRPr="00541D1A">
              <w:rPr>
                <w:i/>
                <w:sz w:val="16"/>
                <w:lang w:val="fr-CH"/>
              </w:rPr>
              <w:t>Total</w:t>
            </w:r>
          </w:p>
        </w:tc>
        <w:tc>
          <w:tcPr>
            <w:tcW w:w="117" w:type="dxa"/>
            <w:tcBorders>
              <w:top w:val="nil"/>
              <w:bottom w:val="single" w:sz="12" w:space="0" w:color="auto"/>
              <w:right w:val="nil"/>
            </w:tcBorders>
            <w:shd w:val="clear" w:color="000000" w:fill="auto"/>
            <w:vAlign w:val="bottom"/>
          </w:tcPr>
          <w:p w:rsidR="00C17D7C" w:rsidRPr="00541D1A" w:rsidRDefault="00C17D7C" w:rsidP="00C17D7C">
            <w:pPr>
              <w:spacing w:before="80" w:after="80" w:line="200" w:lineRule="exact"/>
              <w:jc w:val="right"/>
              <w:rPr>
                <w:i/>
                <w:sz w:val="16"/>
                <w:lang w:val="fr-CH"/>
              </w:rPr>
            </w:pPr>
          </w:p>
        </w:tc>
        <w:tc>
          <w:tcPr>
            <w:tcW w:w="704" w:type="dxa"/>
            <w:tcBorders>
              <w:top w:val="single" w:sz="4" w:space="0" w:color="auto"/>
              <w:left w:val="nil"/>
              <w:bottom w:val="single" w:sz="12" w:space="0" w:color="auto"/>
            </w:tcBorders>
            <w:shd w:val="clear" w:color="000000" w:fill="auto"/>
            <w:vAlign w:val="bottom"/>
          </w:tcPr>
          <w:p w:rsidR="00C17D7C" w:rsidRPr="00541D1A" w:rsidRDefault="00C17D7C" w:rsidP="00541D1A">
            <w:pPr>
              <w:spacing w:before="80" w:after="80" w:line="200" w:lineRule="exact"/>
              <w:jc w:val="right"/>
              <w:rPr>
                <w:i/>
                <w:sz w:val="16"/>
                <w:lang w:val="fr-CH"/>
              </w:rPr>
            </w:pPr>
            <w:r w:rsidRPr="00541D1A">
              <w:rPr>
                <w:i/>
                <w:sz w:val="16"/>
                <w:lang w:val="fr-CH"/>
              </w:rPr>
              <w:t>Garçons</w:t>
            </w:r>
          </w:p>
        </w:tc>
        <w:tc>
          <w:tcPr>
            <w:tcW w:w="704" w:type="dxa"/>
            <w:tcBorders>
              <w:top w:val="single" w:sz="4" w:space="0" w:color="auto"/>
              <w:bottom w:val="single" w:sz="12" w:space="0" w:color="auto"/>
            </w:tcBorders>
            <w:shd w:val="clear" w:color="000000" w:fill="auto"/>
            <w:vAlign w:val="bottom"/>
          </w:tcPr>
          <w:p w:rsidR="00C17D7C" w:rsidRPr="00541D1A" w:rsidRDefault="00C17D7C" w:rsidP="00541D1A">
            <w:pPr>
              <w:spacing w:before="80" w:after="80" w:line="200" w:lineRule="exact"/>
              <w:jc w:val="right"/>
              <w:rPr>
                <w:i/>
                <w:sz w:val="16"/>
                <w:lang w:val="fr-CH"/>
              </w:rPr>
            </w:pPr>
            <w:r w:rsidRPr="00541D1A">
              <w:rPr>
                <w:i/>
                <w:sz w:val="16"/>
                <w:lang w:val="fr-CH"/>
              </w:rPr>
              <w:t>Filles</w:t>
            </w:r>
          </w:p>
        </w:tc>
        <w:tc>
          <w:tcPr>
            <w:tcW w:w="705" w:type="dxa"/>
            <w:tcBorders>
              <w:top w:val="single" w:sz="4" w:space="0" w:color="auto"/>
              <w:bottom w:val="single" w:sz="12" w:space="0" w:color="auto"/>
            </w:tcBorders>
            <w:shd w:val="clear" w:color="000000" w:fill="auto"/>
            <w:vAlign w:val="bottom"/>
          </w:tcPr>
          <w:p w:rsidR="00C17D7C" w:rsidRPr="00541D1A" w:rsidRDefault="00C17D7C" w:rsidP="00541D1A">
            <w:pPr>
              <w:spacing w:before="80" w:after="80" w:line="200" w:lineRule="exact"/>
              <w:jc w:val="right"/>
              <w:rPr>
                <w:i/>
                <w:sz w:val="16"/>
                <w:lang w:val="fr-CH"/>
              </w:rPr>
            </w:pPr>
            <w:r w:rsidRPr="00541D1A">
              <w:rPr>
                <w:i/>
                <w:sz w:val="16"/>
                <w:lang w:val="fr-CH"/>
              </w:rPr>
              <w:t>Total</w:t>
            </w:r>
          </w:p>
        </w:tc>
      </w:tr>
      <w:tr w:rsidR="00C17D7C" w:rsidRPr="00541D1A" w:rsidTr="003729EF">
        <w:tc>
          <w:tcPr>
            <w:tcW w:w="966" w:type="dxa"/>
            <w:tcBorders>
              <w:top w:val="single" w:sz="12" w:space="0" w:color="auto"/>
            </w:tcBorders>
            <w:shd w:val="clear" w:color="000000" w:fill="auto"/>
          </w:tcPr>
          <w:p w:rsidR="00C17D7C" w:rsidRPr="00541D1A" w:rsidRDefault="00C17D7C" w:rsidP="00D10DB8">
            <w:pPr>
              <w:spacing w:before="40" w:after="40" w:line="220" w:lineRule="exact"/>
              <w:rPr>
                <w:sz w:val="18"/>
                <w:lang w:val="fr-CH"/>
              </w:rPr>
            </w:pPr>
            <w:r w:rsidRPr="00541D1A">
              <w:rPr>
                <w:sz w:val="18"/>
                <w:lang w:val="fr-CH"/>
              </w:rPr>
              <w:t>6 ans</w:t>
            </w:r>
          </w:p>
        </w:tc>
        <w:tc>
          <w:tcPr>
            <w:tcW w:w="733" w:type="dxa"/>
            <w:tcBorders>
              <w:top w:val="single" w:sz="12" w:space="0" w:color="auto"/>
            </w:tcBorders>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99,1</w:t>
            </w:r>
          </w:p>
        </w:tc>
        <w:tc>
          <w:tcPr>
            <w:tcW w:w="733" w:type="dxa"/>
            <w:tcBorders>
              <w:top w:val="single" w:sz="12" w:space="0" w:color="auto"/>
            </w:tcBorders>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99,1</w:t>
            </w:r>
          </w:p>
        </w:tc>
        <w:tc>
          <w:tcPr>
            <w:tcW w:w="733" w:type="dxa"/>
            <w:tcBorders>
              <w:top w:val="single" w:sz="12" w:space="0" w:color="auto"/>
            </w:tcBorders>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99,1</w:t>
            </w:r>
          </w:p>
        </w:tc>
        <w:tc>
          <w:tcPr>
            <w:tcW w:w="117" w:type="dxa"/>
            <w:tcBorders>
              <w:top w:val="single" w:sz="12" w:space="0" w:color="auto"/>
              <w:right w:val="nil"/>
            </w:tcBorders>
            <w:shd w:val="clear" w:color="000000" w:fill="auto"/>
            <w:vAlign w:val="bottom"/>
          </w:tcPr>
          <w:p w:rsidR="00C17D7C" w:rsidRPr="00D10DB8" w:rsidRDefault="00C17D7C" w:rsidP="00C17D7C">
            <w:pPr>
              <w:spacing w:before="40" w:after="40" w:line="220" w:lineRule="exact"/>
              <w:jc w:val="right"/>
              <w:rPr>
                <w:sz w:val="18"/>
                <w:lang w:val="fr-CH"/>
              </w:rPr>
            </w:pPr>
          </w:p>
        </w:tc>
        <w:tc>
          <w:tcPr>
            <w:tcW w:w="656" w:type="dxa"/>
            <w:tcBorders>
              <w:top w:val="single" w:sz="12" w:space="0" w:color="auto"/>
              <w:left w:val="nil"/>
            </w:tcBorders>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99,2</w:t>
            </w:r>
          </w:p>
        </w:tc>
        <w:tc>
          <w:tcPr>
            <w:tcW w:w="657" w:type="dxa"/>
            <w:tcBorders>
              <w:top w:val="single" w:sz="12" w:space="0" w:color="auto"/>
            </w:tcBorders>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99,2</w:t>
            </w:r>
          </w:p>
        </w:tc>
        <w:tc>
          <w:tcPr>
            <w:tcW w:w="657" w:type="dxa"/>
            <w:tcBorders>
              <w:top w:val="single" w:sz="12" w:space="0" w:color="auto"/>
            </w:tcBorders>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99,2</w:t>
            </w:r>
          </w:p>
        </w:tc>
        <w:tc>
          <w:tcPr>
            <w:tcW w:w="117" w:type="dxa"/>
            <w:tcBorders>
              <w:top w:val="single" w:sz="12" w:space="0" w:color="auto"/>
              <w:right w:val="nil"/>
            </w:tcBorders>
            <w:shd w:val="clear" w:color="000000" w:fill="auto"/>
            <w:vAlign w:val="bottom"/>
          </w:tcPr>
          <w:p w:rsidR="00C17D7C" w:rsidRPr="00D10DB8" w:rsidRDefault="00C17D7C" w:rsidP="00C17D7C">
            <w:pPr>
              <w:spacing w:before="40" w:after="40" w:line="220" w:lineRule="exact"/>
              <w:jc w:val="right"/>
              <w:rPr>
                <w:sz w:val="18"/>
                <w:lang w:val="fr-CH"/>
              </w:rPr>
            </w:pPr>
          </w:p>
        </w:tc>
        <w:tc>
          <w:tcPr>
            <w:tcW w:w="704" w:type="dxa"/>
            <w:tcBorders>
              <w:top w:val="single" w:sz="12" w:space="0" w:color="auto"/>
              <w:left w:val="nil"/>
            </w:tcBorders>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99,3</w:t>
            </w:r>
          </w:p>
        </w:tc>
        <w:tc>
          <w:tcPr>
            <w:tcW w:w="704" w:type="dxa"/>
            <w:tcBorders>
              <w:top w:val="single" w:sz="12" w:space="0" w:color="auto"/>
            </w:tcBorders>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99,3</w:t>
            </w:r>
          </w:p>
        </w:tc>
        <w:tc>
          <w:tcPr>
            <w:tcW w:w="705" w:type="dxa"/>
            <w:tcBorders>
              <w:top w:val="single" w:sz="12" w:space="0" w:color="auto"/>
            </w:tcBorders>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99,3</w:t>
            </w:r>
          </w:p>
        </w:tc>
      </w:tr>
      <w:tr w:rsidR="00C17D7C" w:rsidRPr="00541D1A" w:rsidTr="003729EF">
        <w:tc>
          <w:tcPr>
            <w:tcW w:w="966" w:type="dxa"/>
            <w:shd w:val="clear" w:color="000000" w:fill="auto"/>
          </w:tcPr>
          <w:p w:rsidR="00C17D7C" w:rsidRPr="00541D1A" w:rsidRDefault="00C17D7C" w:rsidP="00D10DB8">
            <w:pPr>
              <w:spacing w:before="40" w:after="40" w:line="220" w:lineRule="exact"/>
              <w:rPr>
                <w:sz w:val="18"/>
                <w:lang w:val="fr-CH"/>
              </w:rPr>
            </w:pPr>
            <w:r w:rsidRPr="00541D1A">
              <w:rPr>
                <w:sz w:val="18"/>
                <w:lang w:val="fr-CH"/>
              </w:rPr>
              <w:t>6-11 ans</w:t>
            </w:r>
          </w:p>
        </w:tc>
        <w:tc>
          <w:tcPr>
            <w:tcW w:w="733" w:type="dxa"/>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97,3</w:t>
            </w:r>
          </w:p>
        </w:tc>
        <w:tc>
          <w:tcPr>
            <w:tcW w:w="733" w:type="dxa"/>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97,4</w:t>
            </w:r>
          </w:p>
        </w:tc>
        <w:tc>
          <w:tcPr>
            <w:tcW w:w="733" w:type="dxa"/>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97,4</w:t>
            </w:r>
          </w:p>
        </w:tc>
        <w:tc>
          <w:tcPr>
            <w:tcW w:w="117" w:type="dxa"/>
            <w:tcBorders>
              <w:right w:val="nil"/>
            </w:tcBorders>
            <w:shd w:val="clear" w:color="000000" w:fill="auto"/>
            <w:vAlign w:val="bottom"/>
          </w:tcPr>
          <w:p w:rsidR="00C17D7C" w:rsidRPr="00D10DB8" w:rsidRDefault="00C17D7C" w:rsidP="00C17D7C">
            <w:pPr>
              <w:spacing w:before="40" w:after="40" w:line="220" w:lineRule="exact"/>
              <w:jc w:val="right"/>
              <w:rPr>
                <w:sz w:val="18"/>
                <w:lang w:val="fr-CH"/>
              </w:rPr>
            </w:pPr>
          </w:p>
        </w:tc>
        <w:tc>
          <w:tcPr>
            <w:tcW w:w="656" w:type="dxa"/>
            <w:tcBorders>
              <w:left w:val="nil"/>
            </w:tcBorders>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97,4</w:t>
            </w:r>
          </w:p>
        </w:tc>
        <w:tc>
          <w:tcPr>
            <w:tcW w:w="657" w:type="dxa"/>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98,0</w:t>
            </w:r>
          </w:p>
        </w:tc>
        <w:tc>
          <w:tcPr>
            <w:tcW w:w="657" w:type="dxa"/>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97,7</w:t>
            </w:r>
          </w:p>
        </w:tc>
        <w:tc>
          <w:tcPr>
            <w:tcW w:w="117" w:type="dxa"/>
            <w:tcBorders>
              <w:right w:val="nil"/>
            </w:tcBorders>
            <w:shd w:val="clear" w:color="000000" w:fill="auto"/>
            <w:vAlign w:val="bottom"/>
          </w:tcPr>
          <w:p w:rsidR="00C17D7C" w:rsidRPr="00D10DB8" w:rsidRDefault="00C17D7C" w:rsidP="00C17D7C">
            <w:pPr>
              <w:spacing w:before="40" w:after="40" w:line="220" w:lineRule="exact"/>
              <w:jc w:val="right"/>
              <w:rPr>
                <w:sz w:val="18"/>
                <w:lang w:val="fr-CH"/>
              </w:rPr>
            </w:pPr>
          </w:p>
        </w:tc>
        <w:tc>
          <w:tcPr>
            <w:tcW w:w="704" w:type="dxa"/>
            <w:tcBorders>
              <w:left w:val="nil"/>
            </w:tcBorders>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97,9</w:t>
            </w:r>
          </w:p>
        </w:tc>
        <w:tc>
          <w:tcPr>
            <w:tcW w:w="704" w:type="dxa"/>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98,5</w:t>
            </w:r>
          </w:p>
        </w:tc>
        <w:tc>
          <w:tcPr>
            <w:tcW w:w="705" w:type="dxa"/>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98,2</w:t>
            </w:r>
          </w:p>
        </w:tc>
      </w:tr>
      <w:tr w:rsidR="00C17D7C" w:rsidRPr="00541D1A" w:rsidTr="003729EF">
        <w:tc>
          <w:tcPr>
            <w:tcW w:w="966" w:type="dxa"/>
            <w:shd w:val="clear" w:color="000000" w:fill="auto"/>
          </w:tcPr>
          <w:p w:rsidR="00C17D7C" w:rsidRPr="00541D1A" w:rsidRDefault="00C17D7C" w:rsidP="00D10DB8">
            <w:pPr>
              <w:spacing w:before="40" w:after="40" w:line="220" w:lineRule="exact"/>
              <w:rPr>
                <w:sz w:val="18"/>
                <w:lang w:val="fr-CH"/>
              </w:rPr>
            </w:pPr>
            <w:r w:rsidRPr="00541D1A">
              <w:rPr>
                <w:sz w:val="18"/>
                <w:lang w:val="fr-CH"/>
              </w:rPr>
              <w:t>6-16 ans</w:t>
            </w:r>
          </w:p>
        </w:tc>
        <w:tc>
          <w:tcPr>
            <w:tcW w:w="733" w:type="dxa"/>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91,1</w:t>
            </w:r>
          </w:p>
        </w:tc>
        <w:tc>
          <w:tcPr>
            <w:tcW w:w="733" w:type="dxa"/>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92,2</w:t>
            </w:r>
          </w:p>
        </w:tc>
        <w:tc>
          <w:tcPr>
            <w:tcW w:w="733" w:type="dxa"/>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91,6</w:t>
            </w:r>
          </w:p>
        </w:tc>
        <w:tc>
          <w:tcPr>
            <w:tcW w:w="117" w:type="dxa"/>
            <w:tcBorders>
              <w:right w:val="nil"/>
            </w:tcBorders>
            <w:shd w:val="clear" w:color="000000" w:fill="auto"/>
            <w:vAlign w:val="bottom"/>
          </w:tcPr>
          <w:p w:rsidR="00C17D7C" w:rsidRPr="00D10DB8" w:rsidRDefault="00C17D7C" w:rsidP="00C17D7C">
            <w:pPr>
              <w:spacing w:before="40" w:after="40" w:line="220" w:lineRule="exact"/>
              <w:jc w:val="right"/>
              <w:rPr>
                <w:sz w:val="18"/>
                <w:lang w:val="fr-CH"/>
              </w:rPr>
            </w:pPr>
          </w:p>
        </w:tc>
        <w:tc>
          <w:tcPr>
            <w:tcW w:w="656" w:type="dxa"/>
            <w:tcBorders>
              <w:left w:val="nil"/>
            </w:tcBorders>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90,4</w:t>
            </w:r>
          </w:p>
        </w:tc>
        <w:tc>
          <w:tcPr>
            <w:tcW w:w="657" w:type="dxa"/>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92,4</w:t>
            </w:r>
          </w:p>
        </w:tc>
        <w:tc>
          <w:tcPr>
            <w:tcW w:w="657" w:type="dxa"/>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91,4</w:t>
            </w:r>
          </w:p>
        </w:tc>
        <w:tc>
          <w:tcPr>
            <w:tcW w:w="117" w:type="dxa"/>
            <w:tcBorders>
              <w:right w:val="nil"/>
            </w:tcBorders>
            <w:shd w:val="clear" w:color="000000" w:fill="auto"/>
            <w:vAlign w:val="bottom"/>
          </w:tcPr>
          <w:p w:rsidR="00C17D7C" w:rsidRPr="00D10DB8" w:rsidRDefault="00C17D7C" w:rsidP="00C17D7C">
            <w:pPr>
              <w:spacing w:before="40" w:after="40" w:line="220" w:lineRule="exact"/>
              <w:jc w:val="right"/>
              <w:rPr>
                <w:sz w:val="18"/>
                <w:lang w:val="fr-CH"/>
              </w:rPr>
            </w:pPr>
          </w:p>
        </w:tc>
        <w:tc>
          <w:tcPr>
            <w:tcW w:w="704" w:type="dxa"/>
            <w:tcBorders>
              <w:left w:val="nil"/>
            </w:tcBorders>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91,3</w:t>
            </w:r>
          </w:p>
        </w:tc>
        <w:tc>
          <w:tcPr>
            <w:tcW w:w="704" w:type="dxa"/>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92,8</w:t>
            </w:r>
          </w:p>
        </w:tc>
        <w:tc>
          <w:tcPr>
            <w:tcW w:w="705" w:type="dxa"/>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92,1</w:t>
            </w:r>
          </w:p>
        </w:tc>
      </w:tr>
      <w:tr w:rsidR="00C17D7C" w:rsidRPr="00541D1A" w:rsidTr="003729EF">
        <w:tc>
          <w:tcPr>
            <w:tcW w:w="966" w:type="dxa"/>
            <w:tcBorders>
              <w:bottom w:val="single" w:sz="12" w:space="0" w:color="auto"/>
            </w:tcBorders>
            <w:shd w:val="clear" w:color="000000" w:fill="auto"/>
          </w:tcPr>
          <w:p w:rsidR="00C17D7C" w:rsidRPr="00541D1A" w:rsidRDefault="00C17D7C" w:rsidP="00D10DB8">
            <w:pPr>
              <w:spacing w:before="40" w:after="40" w:line="220" w:lineRule="exact"/>
              <w:rPr>
                <w:sz w:val="18"/>
                <w:lang w:val="fr-CH"/>
              </w:rPr>
            </w:pPr>
            <w:r w:rsidRPr="00541D1A">
              <w:rPr>
                <w:sz w:val="18"/>
                <w:lang w:val="fr-CH"/>
              </w:rPr>
              <w:t>12-18 ans</w:t>
            </w:r>
          </w:p>
        </w:tc>
        <w:tc>
          <w:tcPr>
            <w:tcW w:w="733" w:type="dxa"/>
            <w:tcBorders>
              <w:bottom w:val="single" w:sz="12" w:space="0" w:color="auto"/>
            </w:tcBorders>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74,4</w:t>
            </w:r>
          </w:p>
        </w:tc>
        <w:tc>
          <w:tcPr>
            <w:tcW w:w="733" w:type="dxa"/>
            <w:tcBorders>
              <w:bottom w:val="single" w:sz="12" w:space="0" w:color="auto"/>
            </w:tcBorders>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79,9</w:t>
            </w:r>
          </w:p>
        </w:tc>
        <w:tc>
          <w:tcPr>
            <w:tcW w:w="733" w:type="dxa"/>
            <w:tcBorders>
              <w:bottom w:val="single" w:sz="12" w:space="0" w:color="auto"/>
            </w:tcBorders>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77,1</w:t>
            </w:r>
          </w:p>
        </w:tc>
        <w:tc>
          <w:tcPr>
            <w:tcW w:w="117" w:type="dxa"/>
            <w:tcBorders>
              <w:bottom w:val="single" w:sz="12" w:space="0" w:color="auto"/>
              <w:right w:val="nil"/>
            </w:tcBorders>
            <w:shd w:val="clear" w:color="000000" w:fill="auto"/>
            <w:vAlign w:val="bottom"/>
          </w:tcPr>
          <w:p w:rsidR="00C17D7C" w:rsidRPr="00D10DB8" w:rsidRDefault="00C17D7C" w:rsidP="00C17D7C">
            <w:pPr>
              <w:spacing w:before="40" w:after="40" w:line="220" w:lineRule="exact"/>
              <w:jc w:val="right"/>
              <w:rPr>
                <w:sz w:val="18"/>
                <w:lang w:val="fr-CH"/>
              </w:rPr>
            </w:pPr>
          </w:p>
        </w:tc>
        <w:tc>
          <w:tcPr>
            <w:tcW w:w="656" w:type="dxa"/>
            <w:tcBorders>
              <w:left w:val="nil"/>
              <w:bottom w:val="single" w:sz="12" w:space="0" w:color="auto"/>
            </w:tcBorders>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72,1</w:t>
            </w:r>
          </w:p>
        </w:tc>
        <w:tc>
          <w:tcPr>
            <w:tcW w:w="657" w:type="dxa"/>
            <w:tcBorders>
              <w:bottom w:val="single" w:sz="12" w:space="0" w:color="auto"/>
            </w:tcBorders>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78,9</w:t>
            </w:r>
          </w:p>
        </w:tc>
        <w:tc>
          <w:tcPr>
            <w:tcW w:w="657" w:type="dxa"/>
            <w:tcBorders>
              <w:bottom w:val="single" w:sz="12" w:space="0" w:color="auto"/>
            </w:tcBorders>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75,4</w:t>
            </w:r>
          </w:p>
        </w:tc>
        <w:tc>
          <w:tcPr>
            <w:tcW w:w="117" w:type="dxa"/>
            <w:tcBorders>
              <w:bottom w:val="single" w:sz="12" w:space="0" w:color="auto"/>
              <w:right w:val="nil"/>
            </w:tcBorders>
            <w:shd w:val="clear" w:color="000000" w:fill="auto"/>
            <w:vAlign w:val="bottom"/>
          </w:tcPr>
          <w:p w:rsidR="00C17D7C" w:rsidRPr="00D10DB8" w:rsidRDefault="00C17D7C" w:rsidP="00C17D7C">
            <w:pPr>
              <w:spacing w:before="40" w:after="40" w:line="220" w:lineRule="exact"/>
              <w:jc w:val="right"/>
              <w:rPr>
                <w:sz w:val="18"/>
                <w:lang w:val="fr-CH"/>
              </w:rPr>
            </w:pPr>
          </w:p>
        </w:tc>
        <w:tc>
          <w:tcPr>
            <w:tcW w:w="704" w:type="dxa"/>
            <w:tcBorders>
              <w:left w:val="nil"/>
              <w:bottom w:val="single" w:sz="12" w:space="0" w:color="auto"/>
            </w:tcBorders>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74,7</w:t>
            </w:r>
          </w:p>
        </w:tc>
        <w:tc>
          <w:tcPr>
            <w:tcW w:w="704" w:type="dxa"/>
            <w:tcBorders>
              <w:bottom w:val="single" w:sz="12" w:space="0" w:color="auto"/>
            </w:tcBorders>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81,4</w:t>
            </w:r>
          </w:p>
        </w:tc>
        <w:tc>
          <w:tcPr>
            <w:tcW w:w="705" w:type="dxa"/>
            <w:tcBorders>
              <w:bottom w:val="single" w:sz="12" w:space="0" w:color="auto"/>
            </w:tcBorders>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78,0</w:t>
            </w:r>
          </w:p>
        </w:tc>
      </w:tr>
    </w:tbl>
    <w:p w:rsidR="00570B62" w:rsidRPr="00961388" w:rsidRDefault="00570B62" w:rsidP="00D10DB8">
      <w:pPr>
        <w:pStyle w:val="SingleTxtG"/>
        <w:spacing w:before="240"/>
        <w:rPr>
          <w:lang w:val="fr-CH"/>
        </w:rPr>
      </w:pPr>
      <w:r w:rsidRPr="00961388">
        <w:rPr>
          <w:lang w:val="fr-CH"/>
        </w:rPr>
        <w:t>226.</w:t>
      </w:r>
      <w:r w:rsidRPr="00961388">
        <w:rPr>
          <w:lang w:val="fr-CH"/>
        </w:rPr>
        <w:tab/>
        <w:t>Il serait utile de préciser aussi que le constat d</w:t>
      </w:r>
      <w:r w:rsidR="00961388">
        <w:rPr>
          <w:lang w:val="fr-CH"/>
        </w:rPr>
        <w:t>’</w:t>
      </w:r>
      <w:r w:rsidRPr="00961388">
        <w:rPr>
          <w:lang w:val="fr-CH"/>
        </w:rPr>
        <w:t>égalité n</w:t>
      </w:r>
      <w:r w:rsidR="00961388">
        <w:rPr>
          <w:lang w:val="fr-CH"/>
        </w:rPr>
        <w:t>’</w:t>
      </w:r>
      <w:r w:rsidRPr="00961388">
        <w:rPr>
          <w:lang w:val="fr-CH"/>
        </w:rPr>
        <w:t>est pas spécifique aux grandes villes, puisque les zones rurales présentent les mêmes caractéristiques en termes de répartition des effectifs des filles et garçons. D</w:t>
      </w:r>
      <w:r w:rsidR="00961388">
        <w:rPr>
          <w:lang w:val="fr-CH"/>
        </w:rPr>
        <w:t>’</w:t>
      </w:r>
      <w:r w:rsidRPr="00961388">
        <w:rPr>
          <w:lang w:val="fr-CH"/>
        </w:rPr>
        <w:t>ailleurs, le tableau suivant, qui indique le pourcentage des filles par cycle, reflète clairement cette ventilation.</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2466"/>
        <w:gridCol w:w="1700"/>
        <w:gridCol w:w="1200"/>
        <w:gridCol w:w="1000"/>
        <w:gridCol w:w="1004"/>
      </w:tblGrid>
      <w:tr w:rsidR="00D10DB8" w:rsidRPr="00D10DB8" w:rsidTr="00C17D7C">
        <w:trPr>
          <w:tblHeader/>
        </w:trPr>
        <w:tc>
          <w:tcPr>
            <w:tcW w:w="4166" w:type="dxa"/>
            <w:gridSpan w:val="2"/>
            <w:tcBorders>
              <w:top w:val="single" w:sz="4" w:space="0" w:color="auto"/>
              <w:bottom w:val="single" w:sz="12" w:space="0" w:color="auto"/>
            </w:tcBorders>
            <w:shd w:val="clear" w:color="000000" w:fill="auto"/>
            <w:vAlign w:val="bottom"/>
          </w:tcPr>
          <w:p w:rsidR="00570B62" w:rsidRPr="00D10DB8" w:rsidRDefault="00570B62" w:rsidP="00D10DB8">
            <w:pPr>
              <w:spacing w:before="80" w:after="80" w:line="200" w:lineRule="exact"/>
              <w:rPr>
                <w:bCs/>
                <w:i/>
                <w:iCs/>
                <w:sz w:val="16"/>
                <w:lang w:val="fr-CH"/>
              </w:rPr>
            </w:pPr>
          </w:p>
        </w:tc>
        <w:tc>
          <w:tcPr>
            <w:tcW w:w="1200" w:type="dxa"/>
            <w:tcBorders>
              <w:top w:val="single" w:sz="4" w:space="0" w:color="auto"/>
              <w:bottom w:val="single" w:sz="12" w:space="0" w:color="auto"/>
            </w:tcBorders>
            <w:shd w:val="clear" w:color="000000" w:fill="auto"/>
            <w:vAlign w:val="bottom"/>
          </w:tcPr>
          <w:p w:rsidR="00570B62" w:rsidRPr="00D10DB8" w:rsidRDefault="00570B62" w:rsidP="00D10DB8">
            <w:pPr>
              <w:spacing w:before="80" w:after="80" w:line="200" w:lineRule="exact"/>
              <w:jc w:val="right"/>
              <w:rPr>
                <w:i/>
                <w:sz w:val="16"/>
                <w:lang w:val="fr-CH"/>
              </w:rPr>
            </w:pPr>
            <w:r w:rsidRPr="00D10DB8">
              <w:rPr>
                <w:i/>
                <w:sz w:val="16"/>
                <w:lang w:val="fr-CH"/>
              </w:rPr>
              <w:t>2007/2008</w:t>
            </w:r>
          </w:p>
        </w:tc>
        <w:tc>
          <w:tcPr>
            <w:tcW w:w="1000" w:type="dxa"/>
            <w:tcBorders>
              <w:top w:val="single" w:sz="4" w:space="0" w:color="auto"/>
              <w:bottom w:val="single" w:sz="12" w:space="0" w:color="auto"/>
            </w:tcBorders>
            <w:shd w:val="clear" w:color="000000" w:fill="auto"/>
            <w:vAlign w:val="bottom"/>
          </w:tcPr>
          <w:p w:rsidR="00570B62" w:rsidRPr="00D10DB8" w:rsidRDefault="00570B62" w:rsidP="00D10DB8">
            <w:pPr>
              <w:spacing w:before="80" w:after="80" w:line="200" w:lineRule="exact"/>
              <w:jc w:val="right"/>
              <w:rPr>
                <w:i/>
                <w:sz w:val="16"/>
                <w:lang w:val="fr-CH"/>
              </w:rPr>
            </w:pPr>
            <w:r w:rsidRPr="00D10DB8">
              <w:rPr>
                <w:i/>
                <w:sz w:val="16"/>
                <w:lang w:val="fr-CH"/>
              </w:rPr>
              <w:t>2008/2009</w:t>
            </w:r>
          </w:p>
        </w:tc>
        <w:tc>
          <w:tcPr>
            <w:tcW w:w="1004" w:type="dxa"/>
            <w:tcBorders>
              <w:top w:val="single" w:sz="4" w:space="0" w:color="auto"/>
              <w:bottom w:val="single" w:sz="12" w:space="0" w:color="auto"/>
            </w:tcBorders>
            <w:shd w:val="clear" w:color="000000" w:fill="auto"/>
            <w:vAlign w:val="bottom"/>
          </w:tcPr>
          <w:p w:rsidR="00570B62" w:rsidRPr="00D10DB8" w:rsidRDefault="00570B62" w:rsidP="00D10DB8">
            <w:pPr>
              <w:spacing w:before="80" w:after="80" w:line="200" w:lineRule="exact"/>
              <w:jc w:val="right"/>
              <w:rPr>
                <w:i/>
                <w:sz w:val="16"/>
                <w:lang w:val="fr-CH"/>
              </w:rPr>
            </w:pPr>
            <w:r w:rsidRPr="00D10DB8">
              <w:rPr>
                <w:i/>
                <w:sz w:val="16"/>
                <w:lang w:val="fr-CH"/>
              </w:rPr>
              <w:t>2009/2010</w:t>
            </w:r>
          </w:p>
        </w:tc>
      </w:tr>
      <w:tr w:rsidR="00D10DB8" w:rsidRPr="00D10DB8" w:rsidTr="00C17D7C">
        <w:trPr>
          <w:cantSplit/>
        </w:trPr>
        <w:tc>
          <w:tcPr>
            <w:tcW w:w="2466" w:type="dxa"/>
            <w:vMerge w:val="restart"/>
            <w:tcBorders>
              <w:top w:val="single" w:sz="12" w:space="0" w:color="auto"/>
            </w:tcBorders>
            <w:shd w:val="clear" w:color="000000" w:fill="auto"/>
          </w:tcPr>
          <w:p w:rsidR="00570B62" w:rsidRPr="00D10DB8" w:rsidRDefault="00C17D7C" w:rsidP="00D10DB8">
            <w:pPr>
              <w:spacing w:before="40" w:after="40" w:line="220" w:lineRule="exact"/>
              <w:rPr>
                <w:sz w:val="18"/>
                <w:lang w:val="fr-CH"/>
              </w:rPr>
            </w:pPr>
            <w:r>
              <w:rPr>
                <w:sz w:val="18"/>
                <w:lang w:val="fr-CH"/>
              </w:rPr>
              <w:t>Premier</w:t>
            </w:r>
            <w:r w:rsidR="00570B62" w:rsidRPr="00D10DB8">
              <w:rPr>
                <w:sz w:val="18"/>
                <w:lang w:val="fr-CH"/>
              </w:rPr>
              <w:t xml:space="preserve"> cycle de </w:t>
            </w:r>
            <w:r>
              <w:rPr>
                <w:sz w:val="18"/>
                <w:lang w:val="fr-CH"/>
              </w:rPr>
              <w:br/>
            </w:r>
            <w:r w:rsidR="00570B62" w:rsidRPr="00D10DB8">
              <w:rPr>
                <w:sz w:val="18"/>
                <w:lang w:val="fr-CH"/>
              </w:rPr>
              <w:t>l</w:t>
            </w:r>
            <w:r w:rsidR="00961388" w:rsidRPr="00D10DB8">
              <w:rPr>
                <w:sz w:val="18"/>
                <w:lang w:val="fr-CH"/>
              </w:rPr>
              <w:t>’</w:t>
            </w:r>
            <w:r w:rsidR="00570B62" w:rsidRPr="00D10DB8">
              <w:rPr>
                <w:sz w:val="18"/>
                <w:lang w:val="fr-CH"/>
              </w:rPr>
              <w:t>enseignement de base</w:t>
            </w:r>
          </w:p>
        </w:tc>
        <w:tc>
          <w:tcPr>
            <w:tcW w:w="1700" w:type="dxa"/>
            <w:tcBorders>
              <w:top w:val="single" w:sz="12" w:space="0" w:color="auto"/>
            </w:tcBorders>
            <w:shd w:val="clear" w:color="000000" w:fill="auto"/>
          </w:tcPr>
          <w:p w:rsidR="00570B62" w:rsidRPr="00D10DB8" w:rsidRDefault="00570B62" w:rsidP="00D10DB8">
            <w:pPr>
              <w:spacing w:before="40" w:after="40" w:line="220" w:lineRule="exact"/>
              <w:rPr>
                <w:sz w:val="18"/>
                <w:lang w:val="fr-CH"/>
              </w:rPr>
            </w:pPr>
            <w:r w:rsidRPr="00D10DB8">
              <w:rPr>
                <w:sz w:val="18"/>
                <w:lang w:val="fr-CH"/>
              </w:rPr>
              <w:t>Zone rurale</w:t>
            </w:r>
          </w:p>
        </w:tc>
        <w:tc>
          <w:tcPr>
            <w:tcW w:w="1200" w:type="dxa"/>
            <w:tcBorders>
              <w:top w:val="single" w:sz="12" w:space="0" w:color="auto"/>
            </w:tcBorders>
            <w:shd w:val="clear" w:color="000000" w:fill="auto"/>
            <w:vAlign w:val="bottom"/>
          </w:tcPr>
          <w:p w:rsidR="00570B62" w:rsidRPr="00D10DB8" w:rsidRDefault="00570B62" w:rsidP="00D10DB8">
            <w:pPr>
              <w:spacing w:before="40" w:after="40" w:line="220" w:lineRule="exact"/>
              <w:jc w:val="right"/>
              <w:rPr>
                <w:sz w:val="18"/>
                <w:lang w:val="fr-CH"/>
              </w:rPr>
            </w:pPr>
            <w:r w:rsidRPr="00D10DB8">
              <w:rPr>
                <w:sz w:val="18"/>
                <w:lang w:val="fr-CH"/>
              </w:rPr>
              <w:t>47,3</w:t>
            </w:r>
          </w:p>
        </w:tc>
        <w:tc>
          <w:tcPr>
            <w:tcW w:w="1000" w:type="dxa"/>
            <w:tcBorders>
              <w:top w:val="single" w:sz="12" w:space="0" w:color="auto"/>
            </w:tcBorders>
            <w:shd w:val="clear" w:color="000000" w:fill="auto"/>
            <w:vAlign w:val="bottom"/>
          </w:tcPr>
          <w:p w:rsidR="00570B62" w:rsidRPr="00D10DB8" w:rsidRDefault="00570B62" w:rsidP="00D10DB8">
            <w:pPr>
              <w:spacing w:before="40" w:after="40" w:line="220" w:lineRule="exact"/>
              <w:jc w:val="right"/>
              <w:rPr>
                <w:sz w:val="18"/>
                <w:lang w:val="fr-CH"/>
              </w:rPr>
            </w:pPr>
            <w:r w:rsidRPr="00D10DB8">
              <w:rPr>
                <w:sz w:val="18"/>
                <w:lang w:val="fr-CH"/>
              </w:rPr>
              <w:t>47,5</w:t>
            </w:r>
          </w:p>
        </w:tc>
        <w:tc>
          <w:tcPr>
            <w:tcW w:w="1004" w:type="dxa"/>
            <w:tcBorders>
              <w:top w:val="single" w:sz="12" w:space="0" w:color="auto"/>
            </w:tcBorders>
            <w:shd w:val="clear" w:color="000000" w:fill="auto"/>
            <w:vAlign w:val="bottom"/>
          </w:tcPr>
          <w:p w:rsidR="00570B62" w:rsidRPr="00D10DB8" w:rsidRDefault="00570B62" w:rsidP="00D10DB8">
            <w:pPr>
              <w:spacing w:before="40" w:after="40" w:line="220" w:lineRule="exact"/>
              <w:jc w:val="right"/>
              <w:rPr>
                <w:sz w:val="18"/>
                <w:lang w:val="fr-CH"/>
              </w:rPr>
            </w:pPr>
            <w:r w:rsidRPr="00D10DB8">
              <w:rPr>
                <w:sz w:val="18"/>
                <w:lang w:val="fr-CH"/>
              </w:rPr>
              <w:t>47,6</w:t>
            </w:r>
          </w:p>
        </w:tc>
      </w:tr>
      <w:tr w:rsidR="00D10DB8" w:rsidRPr="00D10DB8" w:rsidTr="00C17D7C">
        <w:trPr>
          <w:cantSplit/>
        </w:trPr>
        <w:tc>
          <w:tcPr>
            <w:tcW w:w="2466" w:type="dxa"/>
            <w:vMerge/>
            <w:shd w:val="clear" w:color="000000" w:fill="auto"/>
          </w:tcPr>
          <w:p w:rsidR="00570B62" w:rsidRPr="00D10DB8" w:rsidRDefault="00570B62" w:rsidP="00D10DB8">
            <w:pPr>
              <w:spacing w:before="40" w:after="40" w:line="220" w:lineRule="exact"/>
              <w:rPr>
                <w:sz w:val="18"/>
                <w:lang w:val="fr-CH"/>
              </w:rPr>
            </w:pPr>
          </w:p>
        </w:tc>
        <w:tc>
          <w:tcPr>
            <w:tcW w:w="1700" w:type="dxa"/>
            <w:shd w:val="clear" w:color="000000" w:fill="auto"/>
          </w:tcPr>
          <w:p w:rsidR="00570B62" w:rsidRPr="00D10DB8" w:rsidRDefault="00570B62" w:rsidP="00D10DB8">
            <w:pPr>
              <w:spacing w:before="40" w:after="40" w:line="220" w:lineRule="exact"/>
              <w:rPr>
                <w:sz w:val="18"/>
                <w:lang w:val="fr-CH"/>
              </w:rPr>
            </w:pPr>
            <w:r w:rsidRPr="00D10DB8">
              <w:rPr>
                <w:sz w:val="18"/>
                <w:lang w:val="fr-CH"/>
              </w:rPr>
              <w:t>Zone urbaine</w:t>
            </w:r>
          </w:p>
        </w:tc>
        <w:tc>
          <w:tcPr>
            <w:tcW w:w="1200" w:type="dxa"/>
            <w:shd w:val="clear" w:color="000000" w:fill="auto"/>
            <w:vAlign w:val="bottom"/>
          </w:tcPr>
          <w:p w:rsidR="00570B62" w:rsidRPr="00D10DB8" w:rsidRDefault="00570B62" w:rsidP="00D10DB8">
            <w:pPr>
              <w:spacing w:before="40" w:after="40" w:line="220" w:lineRule="exact"/>
              <w:jc w:val="right"/>
              <w:rPr>
                <w:sz w:val="18"/>
                <w:lang w:val="fr-CH"/>
              </w:rPr>
            </w:pPr>
            <w:r w:rsidRPr="00D10DB8">
              <w:rPr>
                <w:sz w:val="18"/>
                <w:lang w:val="fr-CH"/>
              </w:rPr>
              <w:t>48,1</w:t>
            </w:r>
          </w:p>
        </w:tc>
        <w:tc>
          <w:tcPr>
            <w:tcW w:w="1000" w:type="dxa"/>
            <w:shd w:val="clear" w:color="000000" w:fill="auto"/>
            <w:vAlign w:val="bottom"/>
          </w:tcPr>
          <w:p w:rsidR="00570B62" w:rsidRPr="00D10DB8" w:rsidRDefault="00570B62" w:rsidP="00D10DB8">
            <w:pPr>
              <w:spacing w:before="40" w:after="40" w:line="220" w:lineRule="exact"/>
              <w:jc w:val="right"/>
              <w:rPr>
                <w:sz w:val="18"/>
                <w:lang w:val="fr-CH"/>
              </w:rPr>
            </w:pPr>
            <w:r w:rsidRPr="00D10DB8">
              <w:rPr>
                <w:sz w:val="18"/>
                <w:lang w:val="fr-CH"/>
              </w:rPr>
              <w:t>48,3</w:t>
            </w:r>
          </w:p>
        </w:tc>
        <w:tc>
          <w:tcPr>
            <w:tcW w:w="1004" w:type="dxa"/>
            <w:shd w:val="clear" w:color="000000" w:fill="auto"/>
            <w:vAlign w:val="bottom"/>
          </w:tcPr>
          <w:p w:rsidR="00570B62" w:rsidRPr="00D10DB8" w:rsidRDefault="00570B62" w:rsidP="00D10DB8">
            <w:pPr>
              <w:spacing w:before="40" w:after="40" w:line="220" w:lineRule="exact"/>
              <w:jc w:val="right"/>
              <w:rPr>
                <w:sz w:val="18"/>
                <w:lang w:val="fr-CH"/>
              </w:rPr>
            </w:pPr>
            <w:r w:rsidRPr="00D10DB8">
              <w:rPr>
                <w:sz w:val="18"/>
                <w:lang w:val="fr-CH"/>
              </w:rPr>
              <w:t>48,2</w:t>
            </w:r>
          </w:p>
        </w:tc>
      </w:tr>
      <w:tr w:rsidR="00D10DB8" w:rsidRPr="00D10DB8" w:rsidTr="00C17D7C">
        <w:trPr>
          <w:cantSplit/>
        </w:trPr>
        <w:tc>
          <w:tcPr>
            <w:tcW w:w="2466" w:type="dxa"/>
            <w:vMerge/>
            <w:tcBorders>
              <w:bottom w:val="nil"/>
            </w:tcBorders>
            <w:shd w:val="clear" w:color="000000" w:fill="auto"/>
          </w:tcPr>
          <w:p w:rsidR="00570B62" w:rsidRPr="00D10DB8" w:rsidRDefault="00570B62" w:rsidP="00D10DB8">
            <w:pPr>
              <w:spacing w:before="40" w:after="40" w:line="220" w:lineRule="exact"/>
              <w:rPr>
                <w:sz w:val="18"/>
                <w:lang w:val="fr-CH"/>
              </w:rPr>
            </w:pPr>
          </w:p>
        </w:tc>
        <w:tc>
          <w:tcPr>
            <w:tcW w:w="1700" w:type="dxa"/>
            <w:shd w:val="clear" w:color="000000" w:fill="auto"/>
          </w:tcPr>
          <w:p w:rsidR="00570B62" w:rsidRPr="00D10DB8" w:rsidRDefault="00570B62" w:rsidP="00D10DB8">
            <w:pPr>
              <w:spacing w:before="40" w:after="40" w:line="220" w:lineRule="exact"/>
              <w:rPr>
                <w:sz w:val="18"/>
                <w:lang w:val="fr-CH"/>
              </w:rPr>
            </w:pPr>
            <w:r w:rsidRPr="00D10DB8">
              <w:rPr>
                <w:sz w:val="18"/>
                <w:lang w:val="fr-CH"/>
              </w:rPr>
              <w:t>Total</w:t>
            </w:r>
          </w:p>
        </w:tc>
        <w:tc>
          <w:tcPr>
            <w:tcW w:w="1200" w:type="dxa"/>
            <w:shd w:val="clear" w:color="000000" w:fill="auto"/>
            <w:vAlign w:val="bottom"/>
          </w:tcPr>
          <w:p w:rsidR="00570B62" w:rsidRPr="00D10DB8" w:rsidRDefault="00570B62" w:rsidP="00D10DB8">
            <w:pPr>
              <w:spacing w:before="40" w:after="40" w:line="220" w:lineRule="exact"/>
              <w:jc w:val="right"/>
              <w:rPr>
                <w:sz w:val="18"/>
                <w:lang w:val="fr-CH"/>
              </w:rPr>
            </w:pPr>
            <w:r w:rsidRPr="00D10DB8">
              <w:rPr>
                <w:sz w:val="18"/>
                <w:lang w:val="fr-CH"/>
              </w:rPr>
              <w:t>47,8</w:t>
            </w:r>
          </w:p>
        </w:tc>
        <w:tc>
          <w:tcPr>
            <w:tcW w:w="1000" w:type="dxa"/>
            <w:shd w:val="clear" w:color="000000" w:fill="auto"/>
            <w:vAlign w:val="bottom"/>
          </w:tcPr>
          <w:p w:rsidR="00570B62" w:rsidRPr="00D10DB8" w:rsidRDefault="00570B62" w:rsidP="00D10DB8">
            <w:pPr>
              <w:spacing w:before="40" w:after="40" w:line="220" w:lineRule="exact"/>
              <w:jc w:val="right"/>
              <w:rPr>
                <w:sz w:val="18"/>
                <w:lang w:val="fr-CH"/>
              </w:rPr>
            </w:pPr>
            <w:r w:rsidRPr="00D10DB8">
              <w:rPr>
                <w:sz w:val="18"/>
                <w:lang w:val="fr-CH"/>
              </w:rPr>
              <w:t>48</w:t>
            </w:r>
          </w:p>
        </w:tc>
        <w:tc>
          <w:tcPr>
            <w:tcW w:w="1004" w:type="dxa"/>
            <w:shd w:val="clear" w:color="000000" w:fill="auto"/>
            <w:vAlign w:val="bottom"/>
          </w:tcPr>
          <w:p w:rsidR="00570B62" w:rsidRPr="00D10DB8" w:rsidRDefault="00570B62" w:rsidP="00D10DB8">
            <w:pPr>
              <w:spacing w:before="40" w:after="40" w:line="220" w:lineRule="exact"/>
              <w:jc w:val="right"/>
              <w:rPr>
                <w:sz w:val="18"/>
                <w:lang w:val="fr-CH"/>
              </w:rPr>
            </w:pPr>
            <w:r w:rsidRPr="00D10DB8">
              <w:rPr>
                <w:sz w:val="18"/>
                <w:lang w:val="fr-CH"/>
              </w:rPr>
              <w:t>48</w:t>
            </w:r>
          </w:p>
        </w:tc>
      </w:tr>
      <w:tr w:rsidR="00C17D7C" w:rsidRPr="00D10DB8" w:rsidTr="00C17D7C">
        <w:tc>
          <w:tcPr>
            <w:tcW w:w="2466" w:type="dxa"/>
            <w:tcBorders>
              <w:top w:val="nil"/>
              <w:bottom w:val="single" w:sz="12" w:space="0" w:color="auto"/>
              <w:right w:val="nil"/>
            </w:tcBorders>
            <w:shd w:val="clear" w:color="000000" w:fill="auto"/>
          </w:tcPr>
          <w:p w:rsidR="00C17D7C" w:rsidRPr="00D10DB8" w:rsidRDefault="00C17D7C" w:rsidP="00D10DB8">
            <w:pPr>
              <w:spacing w:before="40" w:after="40" w:line="220" w:lineRule="exact"/>
              <w:rPr>
                <w:sz w:val="18"/>
                <w:lang w:val="fr-CH"/>
              </w:rPr>
            </w:pPr>
            <w:r>
              <w:rPr>
                <w:sz w:val="18"/>
                <w:lang w:val="fr-CH"/>
              </w:rPr>
              <w:t>Deuxième</w:t>
            </w:r>
            <w:r w:rsidRPr="00D10DB8">
              <w:rPr>
                <w:sz w:val="18"/>
                <w:lang w:val="fr-CH"/>
              </w:rPr>
              <w:t xml:space="preserve"> cycle de l’enseignement de base </w:t>
            </w:r>
            <w:r>
              <w:rPr>
                <w:sz w:val="18"/>
                <w:lang w:val="fr-CH"/>
              </w:rPr>
              <w:br/>
            </w:r>
            <w:r w:rsidRPr="00D10DB8">
              <w:rPr>
                <w:sz w:val="18"/>
                <w:lang w:val="fr-CH"/>
              </w:rPr>
              <w:t>et enseignement secondaire</w:t>
            </w:r>
          </w:p>
        </w:tc>
        <w:tc>
          <w:tcPr>
            <w:tcW w:w="1700" w:type="dxa"/>
            <w:tcBorders>
              <w:left w:val="nil"/>
            </w:tcBorders>
            <w:shd w:val="clear" w:color="000000" w:fill="auto"/>
          </w:tcPr>
          <w:p w:rsidR="00C17D7C" w:rsidRPr="00D10DB8" w:rsidRDefault="00C17D7C" w:rsidP="00D10DB8">
            <w:pPr>
              <w:spacing w:before="40" w:after="40" w:line="220" w:lineRule="exact"/>
              <w:rPr>
                <w:sz w:val="18"/>
                <w:lang w:val="fr-CH"/>
              </w:rPr>
            </w:pPr>
          </w:p>
        </w:tc>
        <w:tc>
          <w:tcPr>
            <w:tcW w:w="1200" w:type="dxa"/>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53,2</w:t>
            </w:r>
          </w:p>
        </w:tc>
        <w:tc>
          <w:tcPr>
            <w:tcW w:w="1000" w:type="dxa"/>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53,6</w:t>
            </w:r>
          </w:p>
        </w:tc>
        <w:tc>
          <w:tcPr>
            <w:tcW w:w="1004" w:type="dxa"/>
            <w:shd w:val="clear" w:color="000000" w:fill="auto"/>
            <w:vAlign w:val="bottom"/>
          </w:tcPr>
          <w:p w:rsidR="00C17D7C" w:rsidRPr="00D10DB8" w:rsidRDefault="00C17D7C" w:rsidP="00D10DB8">
            <w:pPr>
              <w:spacing w:before="40" w:after="40" w:line="220" w:lineRule="exact"/>
              <w:jc w:val="right"/>
              <w:rPr>
                <w:sz w:val="18"/>
                <w:lang w:val="fr-CH"/>
              </w:rPr>
            </w:pPr>
            <w:r w:rsidRPr="00D10DB8">
              <w:rPr>
                <w:sz w:val="18"/>
                <w:lang w:val="fr-CH"/>
              </w:rPr>
              <w:t>53,8</w:t>
            </w:r>
          </w:p>
        </w:tc>
      </w:tr>
    </w:tbl>
    <w:p w:rsidR="00570B62" w:rsidRPr="00961388" w:rsidRDefault="00570B62" w:rsidP="00D10DB8">
      <w:pPr>
        <w:pStyle w:val="SingleTxtG"/>
        <w:spacing w:before="240"/>
        <w:rPr>
          <w:lang w:val="fr-CH"/>
        </w:rPr>
      </w:pPr>
      <w:r w:rsidRPr="00961388">
        <w:rPr>
          <w:lang w:val="fr-CH"/>
        </w:rPr>
        <w:t>227.</w:t>
      </w:r>
      <w:r w:rsidRPr="00961388">
        <w:rPr>
          <w:lang w:val="fr-CH"/>
        </w:rPr>
        <w:tab/>
        <w:t>L</w:t>
      </w:r>
      <w:r w:rsidR="00961388">
        <w:rPr>
          <w:lang w:val="fr-CH"/>
        </w:rPr>
        <w:t>’</w:t>
      </w:r>
      <w:r w:rsidRPr="00961388">
        <w:rPr>
          <w:lang w:val="fr-CH"/>
        </w:rPr>
        <w:t>État veille aussi selon la loi précitée à assurer les conditions adéquates permettant aux enfants aux besoins spécifiques de jouir de ce droit et apporte son aide aux élèves appartenant à des familles aux revenus modestes.</w:t>
      </w:r>
    </w:p>
    <w:p w:rsidR="00570B62" w:rsidRPr="00961388" w:rsidRDefault="00570B62" w:rsidP="00F54CE5">
      <w:pPr>
        <w:pStyle w:val="SingleTxtG"/>
        <w:rPr>
          <w:lang w:val="fr-CH"/>
        </w:rPr>
      </w:pPr>
      <w:r w:rsidRPr="00961388">
        <w:rPr>
          <w:lang w:val="fr-CH"/>
        </w:rPr>
        <w:t>228.</w:t>
      </w:r>
      <w:r w:rsidRPr="00961388">
        <w:rPr>
          <w:lang w:val="fr-CH"/>
        </w:rPr>
        <w:tab/>
        <w:t>Cette loi</w:t>
      </w:r>
      <w:r w:rsidR="00961388">
        <w:rPr>
          <w:lang w:val="fr-CH"/>
        </w:rPr>
        <w:t xml:space="preserve"> a été consolidée par la loi </w:t>
      </w:r>
      <w:r w:rsidR="00961388" w:rsidRPr="00961388">
        <w:rPr>
          <w:rFonts w:eastAsia="MS Mincho"/>
          <w:lang w:val="fr-CH"/>
        </w:rPr>
        <w:t>n</w:t>
      </w:r>
      <w:r w:rsidR="00961388" w:rsidRPr="00961388">
        <w:rPr>
          <w:rFonts w:eastAsia="MS Mincho"/>
          <w:vertAlign w:val="superscript"/>
          <w:lang w:val="fr-CH"/>
        </w:rPr>
        <w:t>o</w:t>
      </w:r>
      <w:r w:rsidR="00961388">
        <w:rPr>
          <w:lang w:val="fr-CH"/>
        </w:rPr>
        <w:t xml:space="preserve"> </w:t>
      </w:r>
      <w:r w:rsidRPr="00961388">
        <w:rPr>
          <w:lang w:val="fr-CH"/>
        </w:rPr>
        <w:t>2005-83 du 15 août 2005 relative à la promotion et à la protection des personnes handicapées qui vise à garantir l</w:t>
      </w:r>
      <w:r w:rsidR="00961388">
        <w:rPr>
          <w:lang w:val="fr-CH"/>
        </w:rPr>
        <w:t>’</w:t>
      </w:r>
      <w:r w:rsidRPr="00961388">
        <w:rPr>
          <w:lang w:val="fr-CH"/>
        </w:rPr>
        <w:t xml:space="preserve">égalité des chances entre les personnes handicapées et les autres personnes, ainsi que leur promotion et leur protection contre toutes formes de discrimination. Elle stipule également, que </w:t>
      </w:r>
      <w:r w:rsidR="00961388">
        <w:rPr>
          <w:lang w:val="fr-CH"/>
        </w:rPr>
        <w:t>«</w:t>
      </w:r>
      <w:r w:rsidRPr="00961388">
        <w:rPr>
          <w:lang w:val="fr-CH"/>
        </w:rPr>
        <w:t>la réhabilitation, l</w:t>
      </w:r>
      <w:r w:rsidR="00961388">
        <w:rPr>
          <w:lang w:val="fr-CH"/>
        </w:rPr>
        <w:t>’</w:t>
      </w:r>
      <w:r w:rsidRPr="00961388">
        <w:rPr>
          <w:lang w:val="fr-CH"/>
        </w:rPr>
        <w:t>éducation, l</w:t>
      </w:r>
      <w:r w:rsidR="00961388">
        <w:rPr>
          <w:lang w:val="fr-CH"/>
        </w:rPr>
        <w:t>’</w:t>
      </w:r>
      <w:r w:rsidRPr="00961388">
        <w:rPr>
          <w:lang w:val="fr-CH"/>
        </w:rPr>
        <w:t>enseignement, la formation professionnelle des personnes handicapées sont considérés comme une responsabilité nationale».</w:t>
      </w:r>
    </w:p>
    <w:p w:rsidR="00570B62" w:rsidRPr="00961388" w:rsidRDefault="00570B62" w:rsidP="00F54CE5">
      <w:pPr>
        <w:pStyle w:val="SingleTxtG"/>
        <w:rPr>
          <w:lang w:val="fr-CH"/>
        </w:rPr>
      </w:pPr>
      <w:r w:rsidRPr="00961388">
        <w:rPr>
          <w:lang w:val="fr-CH"/>
        </w:rPr>
        <w:t>229.</w:t>
      </w:r>
      <w:r w:rsidRPr="00961388">
        <w:rPr>
          <w:lang w:val="fr-CH"/>
        </w:rPr>
        <w:tab/>
        <w:t>Ainsi, au niveau des classes préparatoires destinées aux enfants âgés de 5 à 6 ans et afin de concrétiser le principe d</w:t>
      </w:r>
      <w:r w:rsidR="00961388">
        <w:rPr>
          <w:lang w:val="fr-CH"/>
        </w:rPr>
        <w:t>’</w:t>
      </w:r>
      <w:r w:rsidRPr="00961388">
        <w:rPr>
          <w:lang w:val="fr-CH"/>
        </w:rPr>
        <w:t>équité et d</w:t>
      </w:r>
      <w:r w:rsidR="00961388">
        <w:rPr>
          <w:lang w:val="fr-CH"/>
        </w:rPr>
        <w:t>’</w:t>
      </w:r>
      <w:r w:rsidRPr="00961388">
        <w:rPr>
          <w:lang w:val="fr-CH"/>
        </w:rPr>
        <w:t>égalité des chances pour tous les enfants en milieu rural comme en milieu urbain, l</w:t>
      </w:r>
      <w:r w:rsidR="00961388">
        <w:rPr>
          <w:lang w:val="fr-CH"/>
        </w:rPr>
        <w:t>’</w:t>
      </w:r>
      <w:r w:rsidRPr="00961388">
        <w:rPr>
          <w:lang w:val="fr-CH"/>
        </w:rPr>
        <w:t>État a œuvré pour l</w:t>
      </w:r>
      <w:r w:rsidR="00961388">
        <w:rPr>
          <w:lang w:val="fr-CH"/>
        </w:rPr>
        <w:t>’</w:t>
      </w:r>
      <w:r w:rsidRPr="00961388">
        <w:rPr>
          <w:lang w:val="fr-CH"/>
        </w:rPr>
        <w:t>intensification de création des classes préparatoires au sein des écoles primaires publiques essentiellement dans le milieu rural, étant donné que le secteur privé investit presque exclusivement en milieu urbain.</w:t>
      </w:r>
    </w:p>
    <w:p w:rsidR="00570B62" w:rsidRPr="00961388" w:rsidRDefault="00C17D7C" w:rsidP="00C17D7C">
      <w:pPr>
        <w:pStyle w:val="SingleTxtG"/>
        <w:rPr>
          <w:rtl/>
          <w:lang w:val="fr-CH" w:bidi="ar-TN"/>
        </w:rPr>
      </w:pPr>
      <w:r>
        <w:rPr>
          <w:lang w:val="fr-CH"/>
        </w:rPr>
        <w:t>230.</w:t>
      </w:r>
      <w:r>
        <w:rPr>
          <w:lang w:val="fr-CH"/>
        </w:rPr>
        <w:tab/>
      </w:r>
      <w:r w:rsidR="00570B62" w:rsidRPr="00961388">
        <w:rPr>
          <w:lang w:val="fr-CH"/>
        </w:rPr>
        <w:t>Au niveau du premier cycle de l</w:t>
      </w:r>
      <w:r w:rsidR="00961388">
        <w:rPr>
          <w:lang w:val="fr-CH"/>
        </w:rPr>
        <w:t>’</w:t>
      </w:r>
      <w:r w:rsidR="00570B62" w:rsidRPr="00961388">
        <w:rPr>
          <w:lang w:val="fr-CH"/>
        </w:rPr>
        <w:t>enseignement de base, une attention particulière a été accordée aux établissements à faible rendement, essentiellement en milieu rural, à travers des programmes spécifiques d</w:t>
      </w:r>
      <w:r w:rsidR="00961388">
        <w:rPr>
          <w:lang w:val="fr-CH"/>
        </w:rPr>
        <w:t>’</w:t>
      </w:r>
      <w:r w:rsidR="00570B62" w:rsidRPr="00961388">
        <w:rPr>
          <w:lang w:val="fr-CH"/>
        </w:rPr>
        <w:t>ordre</w:t>
      </w:r>
      <w:r w:rsidR="00570B62" w:rsidRPr="00961388">
        <w:rPr>
          <w:u w:val="single"/>
          <w:lang w:val="fr-CH"/>
        </w:rPr>
        <w:t xml:space="preserve"> </w:t>
      </w:r>
      <w:r w:rsidR="00570B62" w:rsidRPr="00961388">
        <w:rPr>
          <w:lang w:val="fr-CH"/>
        </w:rPr>
        <w:t>organisationnel, matériel et pédagogique ainsi qu</w:t>
      </w:r>
      <w:r w:rsidR="00961388">
        <w:rPr>
          <w:lang w:val="fr-CH"/>
        </w:rPr>
        <w:t>’</w:t>
      </w:r>
      <w:r w:rsidR="00570B62" w:rsidRPr="00961388">
        <w:rPr>
          <w:lang w:val="fr-CH"/>
        </w:rPr>
        <w:t>à l</w:t>
      </w:r>
      <w:r w:rsidR="00961388">
        <w:rPr>
          <w:lang w:val="fr-CH"/>
        </w:rPr>
        <w:t>’</w:t>
      </w:r>
      <w:r w:rsidR="00570B62" w:rsidRPr="00961388">
        <w:rPr>
          <w:lang w:val="fr-CH"/>
        </w:rPr>
        <w:t>amélioration de la vie scolaire des élèves (création de salles polyvalentes, cantines). En matière des équipements de base, les efforts ont été déployés par l</w:t>
      </w:r>
      <w:r w:rsidR="00961388">
        <w:rPr>
          <w:lang w:val="fr-CH"/>
        </w:rPr>
        <w:t>’</w:t>
      </w:r>
      <w:r w:rsidR="00570B62" w:rsidRPr="00961388">
        <w:rPr>
          <w:lang w:val="fr-CH"/>
        </w:rPr>
        <w:t>État pour généraliser l</w:t>
      </w:r>
      <w:r w:rsidR="00961388">
        <w:rPr>
          <w:lang w:val="fr-CH"/>
        </w:rPr>
        <w:t>’</w:t>
      </w:r>
      <w:r w:rsidR="00570B62" w:rsidRPr="00961388">
        <w:rPr>
          <w:lang w:val="fr-CH"/>
        </w:rPr>
        <w:t>équipement des écoles en eau courante, en électricité</w:t>
      </w:r>
      <w:r w:rsidR="00961388">
        <w:rPr>
          <w:lang w:val="fr-CH"/>
        </w:rPr>
        <w:t>;</w:t>
      </w:r>
      <w:r w:rsidR="00570B62" w:rsidRPr="00961388">
        <w:rPr>
          <w:lang w:val="fr-CH"/>
        </w:rPr>
        <w:t xml:space="preserve"> les taux sont respectivement de 89,2</w:t>
      </w:r>
      <w:r>
        <w:rPr>
          <w:lang w:val="fr-CH"/>
        </w:rPr>
        <w:t> </w:t>
      </w:r>
      <w:r w:rsidR="001973D8">
        <w:rPr>
          <w:lang w:val="fr-CH"/>
        </w:rPr>
        <w:t>%</w:t>
      </w:r>
      <w:r w:rsidR="00570B62" w:rsidRPr="00961388">
        <w:rPr>
          <w:lang w:val="fr-CH"/>
        </w:rPr>
        <w:t xml:space="preserve"> et 99,8</w:t>
      </w:r>
      <w:r w:rsidR="001973D8">
        <w:rPr>
          <w:lang w:val="fr-CH"/>
        </w:rPr>
        <w:t xml:space="preserve"> %</w:t>
      </w:r>
      <w:r w:rsidR="00961388">
        <w:rPr>
          <w:lang w:val="fr-CH"/>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314"/>
        <w:gridCol w:w="1720"/>
        <w:gridCol w:w="1352"/>
        <w:gridCol w:w="984"/>
      </w:tblGrid>
      <w:tr w:rsidR="00D10DB8" w:rsidRPr="00D10DB8" w:rsidTr="00D10DB8">
        <w:trPr>
          <w:tblHeader/>
        </w:trPr>
        <w:tc>
          <w:tcPr>
            <w:tcW w:w="3827" w:type="dxa"/>
            <w:tcBorders>
              <w:top w:val="single" w:sz="4" w:space="0" w:color="auto"/>
              <w:bottom w:val="single" w:sz="12" w:space="0" w:color="auto"/>
            </w:tcBorders>
            <w:shd w:val="clear" w:color="auto" w:fill="auto"/>
            <w:vAlign w:val="bottom"/>
          </w:tcPr>
          <w:p w:rsidR="00570B62" w:rsidRPr="00D10DB8" w:rsidRDefault="00570B62" w:rsidP="00D10DB8">
            <w:pPr>
              <w:suppressAutoHyphens w:val="0"/>
              <w:spacing w:before="80" w:after="80" w:line="200" w:lineRule="exact"/>
              <w:ind w:right="113"/>
              <w:rPr>
                <w:i/>
                <w:iCs/>
                <w:sz w:val="16"/>
                <w:lang w:val="fr-CH"/>
              </w:rPr>
            </w:pPr>
          </w:p>
        </w:tc>
        <w:tc>
          <w:tcPr>
            <w:tcW w:w="1985" w:type="dxa"/>
            <w:tcBorders>
              <w:top w:val="single" w:sz="4" w:space="0" w:color="auto"/>
              <w:bottom w:val="single" w:sz="12" w:space="0" w:color="auto"/>
            </w:tcBorders>
            <w:shd w:val="clear" w:color="auto" w:fill="auto"/>
            <w:vAlign w:val="bottom"/>
          </w:tcPr>
          <w:p w:rsidR="00570B62" w:rsidRPr="00D10DB8" w:rsidRDefault="00570B62" w:rsidP="00D10DB8">
            <w:pPr>
              <w:spacing w:before="80" w:after="80" w:line="200" w:lineRule="exact"/>
              <w:jc w:val="right"/>
              <w:rPr>
                <w:i/>
                <w:sz w:val="16"/>
                <w:lang w:val="fr-CH"/>
              </w:rPr>
            </w:pPr>
            <w:r w:rsidRPr="00D10DB8">
              <w:rPr>
                <w:i/>
                <w:sz w:val="16"/>
                <w:lang w:val="fr-CH"/>
              </w:rPr>
              <w:t>Milieu Urbain</w:t>
            </w:r>
          </w:p>
        </w:tc>
        <w:tc>
          <w:tcPr>
            <w:tcW w:w="1559" w:type="dxa"/>
            <w:tcBorders>
              <w:top w:val="single" w:sz="4" w:space="0" w:color="auto"/>
              <w:bottom w:val="single" w:sz="12" w:space="0" w:color="auto"/>
            </w:tcBorders>
            <w:shd w:val="clear" w:color="auto" w:fill="auto"/>
            <w:vAlign w:val="bottom"/>
          </w:tcPr>
          <w:p w:rsidR="00570B62" w:rsidRPr="00D10DB8" w:rsidRDefault="00570B62" w:rsidP="00D10DB8">
            <w:pPr>
              <w:spacing w:before="80" w:after="80" w:line="200" w:lineRule="exact"/>
              <w:jc w:val="right"/>
              <w:rPr>
                <w:i/>
                <w:sz w:val="16"/>
                <w:lang w:val="fr-CH"/>
              </w:rPr>
            </w:pPr>
            <w:r w:rsidRPr="00D10DB8">
              <w:rPr>
                <w:i/>
                <w:sz w:val="16"/>
                <w:lang w:val="fr-CH"/>
              </w:rPr>
              <w:t>Milieu Rural</w:t>
            </w:r>
          </w:p>
        </w:tc>
        <w:tc>
          <w:tcPr>
            <w:tcW w:w="1134" w:type="dxa"/>
            <w:tcBorders>
              <w:top w:val="single" w:sz="4" w:space="0" w:color="auto"/>
              <w:bottom w:val="single" w:sz="12" w:space="0" w:color="auto"/>
            </w:tcBorders>
            <w:shd w:val="clear" w:color="auto" w:fill="auto"/>
            <w:vAlign w:val="bottom"/>
          </w:tcPr>
          <w:p w:rsidR="00570B62" w:rsidRPr="00D10DB8" w:rsidRDefault="00570B62" w:rsidP="00D10DB8">
            <w:pPr>
              <w:spacing w:before="80" w:after="80" w:line="200" w:lineRule="exact"/>
              <w:jc w:val="right"/>
              <w:rPr>
                <w:i/>
                <w:sz w:val="16"/>
                <w:lang w:val="fr-CH"/>
              </w:rPr>
            </w:pPr>
            <w:r w:rsidRPr="00D10DB8">
              <w:rPr>
                <w:i/>
                <w:sz w:val="16"/>
                <w:lang w:val="fr-CH"/>
              </w:rPr>
              <w:t>Total</w:t>
            </w:r>
          </w:p>
        </w:tc>
      </w:tr>
      <w:tr w:rsidR="00D10DB8" w:rsidRPr="00D10DB8" w:rsidTr="00D10DB8">
        <w:tc>
          <w:tcPr>
            <w:tcW w:w="3827" w:type="dxa"/>
            <w:tcBorders>
              <w:top w:val="single" w:sz="12" w:space="0" w:color="auto"/>
            </w:tcBorders>
            <w:shd w:val="clear" w:color="auto" w:fill="auto"/>
          </w:tcPr>
          <w:p w:rsidR="00570B62" w:rsidRPr="00D10DB8" w:rsidRDefault="001973D8" w:rsidP="00D10DB8">
            <w:pPr>
              <w:spacing w:before="40" w:after="40" w:line="220" w:lineRule="exact"/>
              <w:rPr>
                <w:sz w:val="18"/>
                <w:lang w:val="fr-CH"/>
              </w:rPr>
            </w:pPr>
            <w:r w:rsidRPr="00D10DB8">
              <w:rPr>
                <w:sz w:val="18"/>
                <w:lang w:val="fr-CH"/>
              </w:rPr>
              <w:t>%</w:t>
            </w:r>
            <w:r w:rsidR="00570B62" w:rsidRPr="00D10DB8">
              <w:rPr>
                <w:sz w:val="18"/>
                <w:lang w:val="fr-CH"/>
              </w:rPr>
              <w:t xml:space="preserve"> Écoles pourvues en eau courante </w:t>
            </w:r>
          </w:p>
        </w:tc>
        <w:tc>
          <w:tcPr>
            <w:tcW w:w="1985" w:type="dxa"/>
            <w:tcBorders>
              <w:top w:val="single" w:sz="12" w:space="0" w:color="auto"/>
            </w:tcBorders>
            <w:shd w:val="clear" w:color="auto" w:fill="auto"/>
            <w:vAlign w:val="bottom"/>
          </w:tcPr>
          <w:p w:rsidR="00570B62" w:rsidRPr="00D10DB8" w:rsidRDefault="00570B62" w:rsidP="00D10DB8">
            <w:pPr>
              <w:spacing w:before="40" w:after="40" w:line="220" w:lineRule="exact"/>
              <w:jc w:val="right"/>
              <w:rPr>
                <w:sz w:val="18"/>
                <w:lang w:val="fr-CH"/>
              </w:rPr>
            </w:pPr>
            <w:r w:rsidRPr="00D10DB8">
              <w:rPr>
                <w:sz w:val="18"/>
                <w:lang w:val="fr-CH"/>
              </w:rPr>
              <w:t>99,5</w:t>
            </w:r>
          </w:p>
        </w:tc>
        <w:tc>
          <w:tcPr>
            <w:tcW w:w="1559" w:type="dxa"/>
            <w:tcBorders>
              <w:top w:val="single" w:sz="12" w:space="0" w:color="auto"/>
            </w:tcBorders>
            <w:shd w:val="clear" w:color="auto" w:fill="auto"/>
            <w:vAlign w:val="bottom"/>
          </w:tcPr>
          <w:p w:rsidR="00570B62" w:rsidRPr="00D10DB8" w:rsidRDefault="00570B62" w:rsidP="00D10DB8">
            <w:pPr>
              <w:spacing w:before="40" w:after="40" w:line="220" w:lineRule="exact"/>
              <w:jc w:val="right"/>
              <w:rPr>
                <w:sz w:val="18"/>
                <w:lang w:val="fr-CH"/>
              </w:rPr>
            </w:pPr>
            <w:r w:rsidRPr="00D10DB8">
              <w:rPr>
                <w:sz w:val="18"/>
                <w:lang w:val="fr-CH"/>
              </w:rPr>
              <w:t>82,5</w:t>
            </w:r>
          </w:p>
        </w:tc>
        <w:tc>
          <w:tcPr>
            <w:tcW w:w="1134" w:type="dxa"/>
            <w:tcBorders>
              <w:top w:val="single" w:sz="12" w:space="0" w:color="auto"/>
            </w:tcBorders>
            <w:shd w:val="clear" w:color="auto" w:fill="auto"/>
            <w:vAlign w:val="bottom"/>
          </w:tcPr>
          <w:p w:rsidR="00570B62" w:rsidRPr="00D10DB8" w:rsidRDefault="00570B62" w:rsidP="00D10DB8">
            <w:pPr>
              <w:spacing w:before="40" w:after="40" w:line="220" w:lineRule="exact"/>
              <w:jc w:val="right"/>
              <w:rPr>
                <w:sz w:val="18"/>
                <w:lang w:val="fr-CH"/>
              </w:rPr>
            </w:pPr>
            <w:r w:rsidRPr="00D10DB8">
              <w:rPr>
                <w:sz w:val="18"/>
                <w:lang w:val="fr-CH"/>
              </w:rPr>
              <w:t>89,2</w:t>
            </w:r>
          </w:p>
        </w:tc>
      </w:tr>
      <w:tr w:rsidR="00D10DB8" w:rsidRPr="00D10DB8" w:rsidTr="00D10DB8">
        <w:tc>
          <w:tcPr>
            <w:tcW w:w="3827" w:type="dxa"/>
            <w:shd w:val="clear" w:color="auto" w:fill="auto"/>
          </w:tcPr>
          <w:p w:rsidR="00570B62" w:rsidRPr="00D10DB8" w:rsidRDefault="001973D8" w:rsidP="00D10DB8">
            <w:pPr>
              <w:spacing w:before="40" w:after="40" w:line="220" w:lineRule="exact"/>
              <w:rPr>
                <w:sz w:val="18"/>
                <w:lang w:val="fr-CH"/>
              </w:rPr>
            </w:pPr>
            <w:r w:rsidRPr="00D10DB8">
              <w:rPr>
                <w:sz w:val="18"/>
                <w:lang w:val="fr-CH"/>
              </w:rPr>
              <w:t>%</w:t>
            </w:r>
            <w:r w:rsidR="00570B62" w:rsidRPr="00D10DB8">
              <w:rPr>
                <w:sz w:val="18"/>
                <w:lang w:val="fr-CH"/>
              </w:rPr>
              <w:t xml:space="preserve"> Écoles reliées au réseau électrique </w:t>
            </w:r>
          </w:p>
        </w:tc>
        <w:tc>
          <w:tcPr>
            <w:tcW w:w="1985" w:type="dxa"/>
            <w:shd w:val="clear" w:color="auto" w:fill="auto"/>
            <w:vAlign w:val="bottom"/>
          </w:tcPr>
          <w:p w:rsidR="00570B62" w:rsidRPr="00D10DB8" w:rsidRDefault="00570B62" w:rsidP="00D10DB8">
            <w:pPr>
              <w:spacing w:before="40" w:after="40" w:line="220" w:lineRule="exact"/>
              <w:jc w:val="right"/>
              <w:rPr>
                <w:sz w:val="18"/>
                <w:lang w:val="fr-CH"/>
              </w:rPr>
            </w:pPr>
            <w:r w:rsidRPr="00D10DB8">
              <w:rPr>
                <w:sz w:val="18"/>
                <w:lang w:val="fr-CH"/>
              </w:rPr>
              <w:t>100</w:t>
            </w:r>
          </w:p>
        </w:tc>
        <w:tc>
          <w:tcPr>
            <w:tcW w:w="1559" w:type="dxa"/>
            <w:shd w:val="clear" w:color="auto" w:fill="auto"/>
            <w:vAlign w:val="bottom"/>
          </w:tcPr>
          <w:p w:rsidR="00570B62" w:rsidRPr="00D10DB8" w:rsidRDefault="00570B62" w:rsidP="00D10DB8">
            <w:pPr>
              <w:spacing w:before="40" w:after="40" w:line="220" w:lineRule="exact"/>
              <w:jc w:val="right"/>
              <w:rPr>
                <w:sz w:val="18"/>
                <w:lang w:val="fr-CH"/>
              </w:rPr>
            </w:pPr>
            <w:r w:rsidRPr="00D10DB8">
              <w:rPr>
                <w:sz w:val="18"/>
                <w:lang w:val="fr-CH"/>
              </w:rPr>
              <w:t>99,6</w:t>
            </w:r>
          </w:p>
        </w:tc>
        <w:tc>
          <w:tcPr>
            <w:tcW w:w="1134" w:type="dxa"/>
            <w:shd w:val="clear" w:color="auto" w:fill="auto"/>
            <w:vAlign w:val="bottom"/>
          </w:tcPr>
          <w:p w:rsidR="00570B62" w:rsidRPr="00D10DB8" w:rsidRDefault="00570B62" w:rsidP="00D10DB8">
            <w:pPr>
              <w:spacing w:before="40" w:after="40" w:line="220" w:lineRule="exact"/>
              <w:jc w:val="right"/>
              <w:rPr>
                <w:sz w:val="18"/>
                <w:lang w:val="fr-CH"/>
              </w:rPr>
            </w:pPr>
            <w:r w:rsidRPr="00D10DB8">
              <w:rPr>
                <w:sz w:val="18"/>
                <w:lang w:val="fr-CH"/>
              </w:rPr>
              <w:t>99,8</w:t>
            </w:r>
          </w:p>
        </w:tc>
      </w:tr>
    </w:tbl>
    <w:p w:rsidR="00570B62" w:rsidRPr="00961388" w:rsidRDefault="00570B62" w:rsidP="00D10DB8">
      <w:pPr>
        <w:pStyle w:val="SingleTxtG"/>
        <w:spacing w:before="240"/>
        <w:rPr>
          <w:lang w:val="fr-CH"/>
        </w:rPr>
      </w:pPr>
      <w:r w:rsidRPr="00961388">
        <w:rPr>
          <w:lang w:val="fr-CH"/>
        </w:rPr>
        <w:t>231.</w:t>
      </w:r>
      <w:r w:rsidRPr="00961388">
        <w:rPr>
          <w:lang w:val="fr-CH"/>
        </w:rPr>
        <w:tab/>
        <w:t>Par ailleurs, il importe de mettre en exergue le fait que les filles handicapées jouissent du même droit d</w:t>
      </w:r>
      <w:r w:rsidR="00961388">
        <w:rPr>
          <w:lang w:val="fr-CH"/>
        </w:rPr>
        <w:t>’</w:t>
      </w:r>
      <w:r w:rsidRPr="00961388">
        <w:rPr>
          <w:lang w:val="fr-CH"/>
        </w:rPr>
        <w:t>accès à l</w:t>
      </w:r>
      <w:r w:rsidR="00961388">
        <w:rPr>
          <w:lang w:val="fr-CH"/>
        </w:rPr>
        <w:t>’</w:t>
      </w:r>
      <w:r w:rsidRPr="00961388">
        <w:rPr>
          <w:lang w:val="fr-CH"/>
        </w:rPr>
        <w:t>éducation que les autres élèves. En effet, outre les établissements spécialisés qui relèvent du Ministère des affaires sociales et qui accueillent les enfants portant des handicaps lourds, l</w:t>
      </w:r>
      <w:r w:rsidR="00961388">
        <w:rPr>
          <w:lang w:val="fr-CH"/>
        </w:rPr>
        <w:t>’</w:t>
      </w:r>
      <w:r w:rsidRPr="00961388">
        <w:rPr>
          <w:lang w:val="fr-CH"/>
        </w:rPr>
        <w:t>État tunisien met en œuvre un programme d</w:t>
      </w:r>
      <w:r w:rsidR="00961388">
        <w:rPr>
          <w:lang w:val="fr-CH"/>
        </w:rPr>
        <w:t>’</w:t>
      </w:r>
      <w:r w:rsidRPr="00961388">
        <w:rPr>
          <w:lang w:val="fr-CH"/>
        </w:rPr>
        <w:t>intégration scolaire à l</w:t>
      </w:r>
      <w:r w:rsidR="00961388">
        <w:rPr>
          <w:lang w:val="fr-CH"/>
        </w:rPr>
        <w:t>’</w:t>
      </w:r>
      <w:r w:rsidRPr="00961388">
        <w:rPr>
          <w:lang w:val="fr-CH"/>
        </w:rPr>
        <w:t xml:space="preserve">intention des enfants (filles et garçons) souffrant de handicaps légers pour leur permettre de suivre une scolarité normale et favoriser ainsi leur insertion sociale. </w:t>
      </w:r>
    </w:p>
    <w:p w:rsidR="00570B62" w:rsidRPr="00961388" w:rsidRDefault="00570B62" w:rsidP="00F54CE5">
      <w:pPr>
        <w:pStyle w:val="SingleTxtG"/>
        <w:rPr>
          <w:lang w:val="fr-CH"/>
        </w:rPr>
      </w:pPr>
      <w:r w:rsidRPr="00961388">
        <w:rPr>
          <w:lang w:val="fr-CH"/>
        </w:rPr>
        <w:t>232.</w:t>
      </w:r>
      <w:r w:rsidRPr="00961388">
        <w:rPr>
          <w:lang w:val="fr-CH"/>
        </w:rPr>
        <w:tab/>
        <w:t>Ce programme consiste à créer des classes intégrantes avec une formation appropriée de l</w:t>
      </w:r>
      <w:r w:rsidR="00961388">
        <w:rPr>
          <w:lang w:val="fr-CH"/>
        </w:rPr>
        <w:t>’</w:t>
      </w:r>
      <w:r w:rsidRPr="00961388">
        <w:rPr>
          <w:lang w:val="fr-CH"/>
        </w:rPr>
        <w:t>enseignant afin qu</w:t>
      </w:r>
      <w:r w:rsidR="00961388">
        <w:rPr>
          <w:lang w:val="fr-CH"/>
        </w:rPr>
        <w:t>’</w:t>
      </w:r>
      <w:r w:rsidRPr="00961388">
        <w:rPr>
          <w:lang w:val="fr-CH"/>
        </w:rPr>
        <w:t>il puisse adapter sa pédagogie au profil des apprenants. Il englobe également l</w:t>
      </w:r>
      <w:r w:rsidR="00961388">
        <w:rPr>
          <w:lang w:val="fr-CH"/>
        </w:rPr>
        <w:t>’</w:t>
      </w:r>
      <w:r w:rsidRPr="00961388">
        <w:rPr>
          <w:lang w:val="fr-CH"/>
        </w:rPr>
        <w:t>aménagement des espaces dans ces établissements, de telle sorte que l</w:t>
      </w:r>
      <w:r w:rsidR="00961388">
        <w:rPr>
          <w:lang w:val="fr-CH"/>
        </w:rPr>
        <w:t>’</w:t>
      </w:r>
      <w:r w:rsidRPr="00961388">
        <w:rPr>
          <w:lang w:val="fr-CH"/>
        </w:rPr>
        <w:t>élève handicapé puisse accéder à l</w:t>
      </w:r>
      <w:r w:rsidR="00961388">
        <w:rPr>
          <w:lang w:val="fr-CH"/>
        </w:rPr>
        <w:t>’</w:t>
      </w:r>
      <w:r w:rsidRPr="00961388">
        <w:rPr>
          <w:lang w:val="fr-CH"/>
        </w:rPr>
        <w:t>école, s</w:t>
      </w:r>
      <w:r w:rsidR="00961388">
        <w:rPr>
          <w:lang w:val="fr-CH"/>
        </w:rPr>
        <w:t>’</w:t>
      </w:r>
      <w:r w:rsidRPr="00961388">
        <w:rPr>
          <w:lang w:val="fr-CH"/>
        </w:rPr>
        <w:t xml:space="preserve">y déplacer et disposer librement des différents services. </w:t>
      </w:r>
    </w:p>
    <w:p w:rsidR="00570B62" w:rsidRPr="00F54CE5" w:rsidRDefault="00570B62" w:rsidP="00F54CE5">
      <w:pPr>
        <w:pStyle w:val="SingleTxtG"/>
        <w:rPr>
          <w:b/>
          <w:lang w:val="fr-CH"/>
        </w:rPr>
      </w:pPr>
      <w:r w:rsidRPr="00961388">
        <w:rPr>
          <w:lang w:val="fr-CH"/>
        </w:rPr>
        <w:t>233.</w:t>
      </w:r>
      <w:r w:rsidRPr="00961388">
        <w:rPr>
          <w:lang w:val="fr-CH"/>
        </w:rPr>
        <w:tab/>
      </w:r>
      <w:r w:rsidRPr="00F54CE5">
        <w:rPr>
          <w:b/>
          <w:lang w:val="fr-CH"/>
        </w:rPr>
        <w:t>Le tableau suivant retrace l</w:t>
      </w:r>
      <w:r w:rsidR="00961388" w:rsidRPr="00F54CE5">
        <w:rPr>
          <w:b/>
          <w:lang w:val="fr-CH"/>
        </w:rPr>
        <w:t>’</w:t>
      </w:r>
      <w:r w:rsidRPr="00F54CE5">
        <w:rPr>
          <w:b/>
          <w:lang w:val="fr-CH"/>
        </w:rPr>
        <w:t>évolution du programme d</w:t>
      </w:r>
      <w:r w:rsidR="00961388" w:rsidRPr="00F54CE5">
        <w:rPr>
          <w:b/>
          <w:lang w:val="fr-CH"/>
        </w:rPr>
        <w:t>’</w:t>
      </w:r>
      <w:r w:rsidRPr="00F54CE5">
        <w:rPr>
          <w:b/>
          <w:lang w:val="fr-CH"/>
        </w:rPr>
        <w:t>intégration scolaire des enfants aux besoins spécifiques et leur répartition par sexe.</w:t>
      </w:r>
    </w:p>
    <w:tbl>
      <w:tblPr>
        <w:tblW w:w="7602"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1897"/>
        <w:gridCol w:w="712"/>
        <w:gridCol w:w="610"/>
        <w:gridCol w:w="610"/>
        <w:gridCol w:w="115"/>
        <w:gridCol w:w="610"/>
        <w:gridCol w:w="508"/>
        <w:gridCol w:w="573"/>
        <w:gridCol w:w="115"/>
        <w:gridCol w:w="710"/>
        <w:gridCol w:w="610"/>
        <w:gridCol w:w="512"/>
        <w:gridCol w:w="20"/>
      </w:tblGrid>
      <w:tr w:rsidR="001212AB" w:rsidRPr="00D10DB8" w:rsidTr="00E74CB3">
        <w:trPr>
          <w:tblHeader/>
        </w:trPr>
        <w:tc>
          <w:tcPr>
            <w:tcW w:w="1866" w:type="dxa"/>
            <w:vMerge w:val="restart"/>
            <w:tcBorders>
              <w:top w:val="single" w:sz="4" w:space="0" w:color="auto"/>
              <w:bottom w:val="single" w:sz="12" w:space="0" w:color="auto"/>
            </w:tcBorders>
            <w:shd w:val="clear" w:color="000000" w:fill="auto"/>
            <w:vAlign w:val="bottom"/>
          </w:tcPr>
          <w:p w:rsidR="001212AB" w:rsidRPr="00D10DB8" w:rsidRDefault="001212AB" w:rsidP="00D10DB8">
            <w:pPr>
              <w:suppressAutoHyphens w:val="0"/>
              <w:spacing w:before="80" w:after="80" w:line="200" w:lineRule="exact"/>
              <w:ind w:right="113"/>
              <w:rPr>
                <w:bCs/>
                <w:i/>
                <w:sz w:val="16"/>
                <w:lang w:val="fr-CH"/>
              </w:rPr>
            </w:pPr>
          </w:p>
        </w:tc>
        <w:tc>
          <w:tcPr>
            <w:tcW w:w="1900" w:type="dxa"/>
            <w:gridSpan w:val="3"/>
            <w:tcBorders>
              <w:top w:val="single" w:sz="4" w:space="0" w:color="auto"/>
              <w:bottom w:val="single" w:sz="4" w:space="0" w:color="auto"/>
              <w:right w:val="nil"/>
            </w:tcBorders>
            <w:shd w:val="clear" w:color="000000" w:fill="auto"/>
            <w:vAlign w:val="bottom"/>
          </w:tcPr>
          <w:p w:rsidR="001212AB" w:rsidRPr="00D10DB8" w:rsidRDefault="001212AB" w:rsidP="00D10DB8">
            <w:pPr>
              <w:spacing w:before="80" w:after="80" w:line="200" w:lineRule="exact"/>
              <w:jc w:val="center"/>
              <w:rPr>
                <w:i/>
                <w:sz w:val="16"/>
                <w:lang w:val="fr-CH"/>
              </w:rPr>
            </w:pPr>
            <w:r w:rsidRPr="00D10DB8">
              <w:rPr>
                <w:i/>
                <w:sz w:val="16"/>
                <w:lang w:val="fr-CH"/>
              </w:rPr>
              <w:t>2007/2008</w:t>
            </w:r>
          </w:p>
        </w:tc>
        <w:tc>
          <w:tcPr>
            <w:tcW w:w="113" w:type="dxa"/>
            <w:tcBorders>
              <w:top w:val="single" w:sz="4" w:space="0" w:color="auto"/>
              <w:left w:val="nil"/>
              <w:bottom w:val="nil"/>
              <w:right w:val="nil"/>
            </w:tcBorders>
            <w:shd w:val="clear" w:color="000000" w:fill="auto"/>
            <w:vAlign w:val="bottom"/>
          </w:tcPr>
          <w:p w:rsidR="001212AB" w:rsidRPr="00D10DB8" w:rsidRDefault="001212AB" w:rsidP="001212AB">
            <w:pPr>
              <w:spacing w:before="80" w:after="80" w:line="200" w:lineRule="exact"/>
              <w:jc w:val="center"/>
              <w:rPr>
                <w:i/>
                <w:sz w:val="16"/>
                <w:lang w:val="fr-CH"/>
              </w:rPr>
            </w:pPr>
          </w:p>
        </w:tc>
        <w:tc>
          <w:tcPr>
            <w:tcW w:w="1664" w:type="dxa"/>
            <w:gridSpan w:val="3"/>
            <w:tcBorders>
              <w:top w:val="single" w:sz="4" w:space="0" w:color="auto"/>
              <w:left w:val="nil"/>
              <w:bottom w:val="single" w:sz="4" w:space="0" w:color="auto"/>
            </w:tcBorders>
            <w:shd w:val="clear" w:color="000000" w:fill="auto"/>
            <w:vAlign w:val="bottom"/>
          </w:tcPr>
          <w:p w:rsidR="001212AB" w:rsidRPr="00D10DB8" w:rsidRDefault="001212AB" w:rsidP="00D10DB8">
            <w:pPr>
              <w:spacing w:before="80" w:after="80" w:line="200" w:lineRule="exact"/>
              <w:jc w:val="center"/>
              <w:rPr>
                <w:i/>
                <w:sz w:val="16"/>
                <w:lang w:val="fr-CH"/>
              </w:rPr>
            </w:pPr>
            <w:r w:rsidRPr="00D10DB8">
              <w:rPr>
                <w:i/>
                <w:sz w:val="16"/>
                <w:lang w:val="fr-CH"/>
              </w:rPr>
              <w:t>2008/2009</w:t>
            </w:r>
          </w:p>
        </w:tc>
        <w:tc>
          <w:tcPr>
            <w:tcW w:w="113" w:type="dxa"/>
            <w:tcBorders>
              <w:top w:val="single" w:sz="4" w:space="0" w:color="auto"/>
              <w:bottom w:val="nil"/>
              <w:right w:val="nil"/>
            </w:tcBorders>
            <w:shd w:val="clear" w:color="000000" w:fill="auto"/>
            <w:vAlign w:val="bottom"/>
          </w:tcPr>
          <w:p w:rsidR="001212AB" w:rsidRPr="00D10DB8" w:rsidRDefault="001212AB" w:rsidP="001212AB">
            <w:pPr>
              <w:spacing w:before="80" w:after="80" w:line="200" w:lineRule="exact"/>
              <w:jc w:val="center"/>
              <w:rPr>
                <w:i/>
                <w:sz w:val="16"/>
                <w:lang w:val="fr-CH"/>
              </w:rPr>
            </w:pPr>
          </w:p>
        </w:tc>
        <w:tc>
          <w:tcPr>
            <w:tcW w:w="1823" w:type="dxa"/>
            <w:gridSpan w:val="4"/>
            <w:tcBorders>
              <w:top w:val="single" w:sz="4" w:space="0" w:color="auto"/>
              <w:left w:val="nil"/>
              <w:bottom w:val="single" w:sz="4" w:space="0" w:color="auto"/>
            </w:tcBorders>
            <w:shd w:val="clear" w:color="000000" w:fill="auto"/>
            <w:vAlign w:val="bottom"/>
          </w:tcPr>
          <w:p w:rsidR="001212AB" w:rsidRPr="00D10DB8" w:rsidRDefault="001212AB" w:rsidP="00D10DB8">
            <w:pPr>
              <w:spacing w:before="80" w:after="80" w:line="200" w:lineRule="exact"/>
              <w:jc w:val="center"/>
              <w:rPr>
                <w:i/>
                <w:sz w:val="16"/>
                <w:lang w:val="fr-CH"/>
              </w:rPr>
            </w:pPr>
            <w:r w:rsidRPr="00D10DB8">
              <w:rPr>
                <w:i/>
                <w:sz w:val="16"/>
                <w:lang w:val="fr-CH"/>
              </w:rPr>
              <w:t>2009/2010</w:t>
            </w:r>
          </w:p>
        </w:tc>
      </w:tr>
      <w:tr w:rsidR="001212AB" w:rsidRPr="00D10DB8" w:rsidTr="00E74CB3">
        <w:trPr>
          <w:gridAfter w:val="1"/>
          <w:wAfter w:w="20" w:type="dxa"/>
          <w:tblHeader/>
        </w:trPr>
        <w:tc>
          <w:tcPr>
            <w:tcW w:w="1866" w:type="dxa"/>
            <w:vMerge/>
            <w:tcBorders>
              <w:top w:val="single" w:sz="12" w:space="0" w:color="auto"/>
              <w:bottom w:val="single" w:sz="12" w:space="0" w:color="auto"/>
            </w:tcBorders>
            <w:shd w:val="clear" w:color="000000" w:fill="auto"/>
            <w:vAlign w:val="bottom"/>
          </w:tcPr>
          <w:p w:rsidR="001212AB" w:rsidRPr="00D10DB8" w:rsidRDefault="001212AB" w:rsidP="00D10DB8">
            <w:pPr>
              <w:suppressAutoHyphens w:val="0"/>
              <w:spacing w:before="40" w:after="40" w:line="220" w:lineRule="exact"/>
              <w:ind w:right="113"/>
              <w:rPr>
                <w:b/>
                <w:bCs/>
                <w:sz w:val="18"/>
                <w:lang w:val="fr-CH"/>
              </w:rPr>
            </w:pPr>
          </w:p>
        </w:tc>
        <w:tc>
          <w:tcPr>
            <w:tcW w:w="700" w:type="dxa"/>
            <w:tcBorders>
              <w:top w:val="single" w:sz="4" w:space="0" w:color="auto"/>
              <w:bottom w:val="single" w:sz="12" w:space="0" w:color="auto"/>
            </w:tcBorders>
            <w:shd w:val="clear" w:color="000000" w:fill="auto"/>
            <w:vAlign w:val="bottom"/>
          </w:tcPr>
          <w:p w:rsidR="001212AB" w:rsidRPr="00D10DB8" w:rsidRDefault="001212AB" w:rsidP="00D10DB8">
            <w:pPr>
              <w:spacing w:before="80" w:after="80" w:line="200" w:lineRule="exact"/>
              <w:jc w:val="right"/>
              <w:rPr>
                <w:i/>
                <w:sz w:val="16"/>
                <w:lang w:val="fr-CH"/>
              </w:rPr>
            </w:pPr>
            <w:r w:rsidRPr="00D10DB8">
              <w:rPr>
                <w:i/>
                <w:sz w:val="16"/>
                <w:lang w:val="fr-CH"/>
              </w:rPr>
              <w:t>Garçons</w:t>
            </w:r>
          </w:p>
        </w:tc>
        <w:tc>
          <w:tcPr>
            <w:tcW w:w="600" w:type="dxa"/>
            <w:tcBorders>
              <w:top w:val="single" w:sz="4" w:space="0" w:color="auto"/>
              <w:bottom w:val="single" w:sz="12" w:space="0" w:color="auto"/>
            </w:tcBorders>
            <w:shd w:val="clear" w:color="000000" w:fill="auto"/>
            <w:vAlign w:val="bottom"/>
          </w:tcPr>
          <w:p w:rsidR="001212AB" w:rsidRPr="00D10DB8" w:rsidRDefault="001212AB" w:rsidP="00D10DB8">
            <w:pPr>
              <w:spacing w:before="80" w:after="80" w:line="200" w:lineRule="exact"/>
              <w:jc w:val="right"/>
              <w:rPr>
                <w:i/>
                <w:sz w:val="16"/>
                <w:lang w:val="fr-CH"/>
              </w:rPr>
            </w:pPr>
            <w:r w:rsidRPr="00D10DB8">
              <w:rPr>
                <w:i/>
                <w:sz w:val="16"/>
                <w:lang w:val="fr-CH"/>
              </w:rPr>
              <w:t>Filles</w:t>
            </w:r>
          </w:p>
        </w:tc>
        <w:tc>
          <w:tcPr>
            <w:tcW w:w="600" w:type="dxa"/>
            <w:tcBorders>
              <w:top w:val="single" w:sz="4" w:space="0" w:color="auto"/>
              <w:bottom w:val="single" w:sz="12" w:space="0" w:color="auto"/>
            </w:tcBorders>
            <w:shd w:val="clear" w:color="000000" w:fill="auto"/>
            <w:vAlign w:val="bottom"/>
          </w:tcPr>
          <w:p w:rsidR="001212AB" w:rsidRPr="00D10DB8" w:rsidRDefault="001212AB" w:rsidP="00D10DB8">
            <w:pPr>
              <w:spacing w:before="80" w:after="80" w:line="200" w:lineRule="exact"/>
              <w:jc w:val="right"/>
              <w:rPr>
                <w:i/>
                <w:sz w:val="16"/>
                <w:lang w:val="fr-CH"/>
              </w:rPr>
            </w:pPr>
            <w:r w:rsidRPr="00D10DB8">
              <w:rPr>
                <w:i/>
                <w:sz w:val="16"/>
                <w:lang w:val="fr-CH"/>
              </w:rPr>
              <w:t>Total</w:t>
            </w:r>
          </w:p>
        </w:tc>
        <w:tc>
          <w:tcPr>
            <w:tcW w:w="113" w:type="dxa"/>
            <w:tcBorders>
              <w:top w:val="nil"/>
              <w:bottom w:val="single" w:sz="12" w:space="0" w:color="auto"/>
              <w:right w:val="nil"/>
            </w:tcBorders>
            <w:shd w:val="clear" w:color="000000" w:fill="auto"/>
            <w:vAlign w:val="bottom"/>
          </w:tcPr>
          <w:p w:rsidR="001212AB" w:rsidRPr="00D10DB8" w:rsidRDefault="001212AB" w:rsidP="001212AB">
            <w:pPr>
              <w:spacing w:before="80" w:after="80" w:line="200" w:lineRule="exact"/>
              <w:jc w:val="right"/>
              <w:rPr>
                <w:i/>
                <w:sz w:val="16"/>
                <w:lang w:val="fr-CH"/>
              </w:rPr>
            </w:pPr>
          </w:p>
        </w:tc>
        <w:tc>
          <w:tcPr>
            <w:tcW w:w="600" w:type="dxa"/>
            <w:tcBorders>
              <w:top w:val="single" w:sz="4" w:space="0" w:color="auto"/>
              <w:left w:val="nil"/>
              <w:bottom w:val="single" w:sz="12" w:space="0" w:color="auto"/>
            </w:tcBorders>
            <w:shd w:val="clear" w:color="000000" w:fill="auto"/>
            <w:vAlign w:val="bottom"/>
          </w:tcPr>
          <w:p w:rsidR="001212AB" w:rsidRPr="00D10DB8" w:rsidRDefault="001212AB" w:rsidP="00D10DB8">
            <w:pPr>
              <w:spacing w:before="80" w:after="80" w:line="200" w:lineRule="exact"/>
              <w:jc w:val="right"/>
              <w:rPr>
                <w:i/>
                <w:sz w:val="16"/>
                <w:lang w:val="fr-CH"/>
              </w:rPr>
            </w:pPr>
            <w:r w:rsidRPr="00D10DB8">
              <w:rPr>
                <w:i/>
                <w:sz w:val="16"/>
                <w:lang w:val="fr-CH"/>
              </w:rPr>
              <w:t>Garçons</w:t>
            </w:r>
          </w:p>
        </w:tc>
        <w:tc>
          <w:tcPr>
            <w:tcW w:w="500" w:type="dxa"/>
            <w:tcBorders>
              <w:top w:val="single" w:sz="4" w:space="0" w:color="auto"/>
              <w:bottom w:val="single" w:sz="12" w:space="0" w:color="auto"/>
            </w:tcBorders>
            <w:shd w:val="clear" w:color="000000" w:fill="auto"/>
            <w:vAlign w:val="bottom"/>
          </w:tcPr>
          <w:p w:rsidR="001212AB" w:rsidRPr="00D10DB8" w:rsidRDefault="001212AB" w:rsidP="00D10DB8">
            <w:pPr>
              <w:spacing w:before="80" w:after="80" w:line="200" w:lineRule="exact"/>
              <w:jc w:val="right"/>
              <w:rPr>
                <w:i/>
                <w:sz w:val="16"/>
                <w:lang w:val="fr-CH"/>
              </w:rPr>
            </w:pPr>
            <w:r w:rsidRPr="00D10DB8">
              <w:rPr>
                <w:i/>
                <w:sz w:val="16"/>
                <w:lang w:val="fr-CH"/>
              </w:rPr>
              <w:t>Filles</w:t>
            </w:r>
          </w:p>
        </w:tc>
        <w:tc>
          <w:tcPr>
            <w:tcW w:w="564" w:type="dxa"/>
            <w:tcBorders>
              <w:top w:val="single" w:sz="4" w:space="0" w:color="auto"/>
              <w:bottom w:val="single" w:sz="12" w:space="0" w:color="auto"/>
            </w:tcBorders>
            <w:shd w:val="clear" w:color="000000" w:fill="auto"/>
            <w:vAlign w:val="bottom"/>
          </w:tcPr>
          <w:p w:rsidR="001212AB" w:rsidRPr="00D10DB8" w:rsidRDefault="001212AB" w:rsidP="00D10DB8">
            <w:pPr>
              <w:spacing w:before="80" w:after="80" w:line="200" w:lineRule="exact"/>
              <w:jc w:val="right"/>
              <w:rPr>
                <w:i/>
                <w:sz w:val="16"/>
                <w:lang w:val="fr-CH"/>
              </w:rPr>
            </w:pPr>
            <w:r w:rsidRPr="00D10DB8">
              <w:rPr>
                <w:i/>
                <w:sz w:val="16"/>
                <w:lang w:val="fr-CH"/>
              </w:rPr>
              <w:t>Total</w:t>
            </w:r>
          </w:p>
        </w:tc>
        <w:tc>
          <w:tcPr>
            <w:tcW w:w="113" w:type="dxa"/>
            <w:tcBorders>
              <w:top w:val="nil"/>
              <w:bottom w:val="single" w:sz="12" w:space="0" w:color="auto"/>
              <w:right w:val="nil"/>
            </w:tcBorders>
            <w:shd w:val="clear" w:color="000000" w:fill="auto"/>
            <w:vAlign w:val="bottom"/>
          </w:tcPr>
          <w:p w:rsidR="001212AB" w:rsidRPr="00D10DB8" w:rsidRDefault="001212AB" w:rsidP="00D10DB8">
            <w:pPr>
              <w:spacing w:before="80" w:after="80" w:line="200" w:lineRule="exact"/>
              <w:jc w:val="right"/>
              <w:rPr>
                <w:i/>
                <w:sz w:val="16"/>
                <w:lang w:val="fr-CH"/>
              </w:rPr>
            </w:pPr>
          </w:p>
        </w:tc>
        <w:tc>
          <w:tcPr>
            <w:tcW w:w="699" w:type="dxa"/>
            <w:tcBorders>
              <w:top w:val="single" w:sz="4" w:space="0" w:color="auto"/>
              <w:left w:val="nil"/>
              <w:bottom w:val="single" w:sz="12" w:space="0" w:color="auto"/>
            </w:tcBorders>
            <w:shd w:val="clear" w:color="000000" w:fill="auto"/>
            <w:vAlign w:val="bottom"/>
          </w:tcPr>
          <w:p w:rsidR="001212AB" w:rsidRPr="00D10DB8" w:rsidRDefault="001212AB" w:rsidP="00D10DB8">
            <w:pPr>
              <w:spacing w:before="80" w:after="80" w:line="200" w:lineRule="exact"/>
              <w:jc w:val="right"/>
              <w:rPr>
                <w:i/>
                <w:sz w:val="16"/>
                <w:lang w:val="fr-CH"/>
              </w:rPr>
            </w:pPr>
            <w:r w:rsidRPr="00D10DB8">
              <w:rPr>
                <w:i/>
                <w:sz w:val="16"/>
                <w:lang w:val="fr-CH"/>
              </w:rPr>
              <w:t>Garçons</w:t>
            </w:r>
          </w:p>
        </w:tc>
        <w:tc>
          <w:tcPr>
            <w:tcW w:w="600" w:type="dxa"/>
            <w:tcBorders>
              <w:top w:val="single" w:sz="4" w:space="0" w:color="auto"/>
              <w:bottom w:val="single" w:sz="12" w:space="0" w:color="auto"/>
            </w:tcBorders>
            <w:shd w:val="clear" w:color="000000" w:fill="auto"/>
            <w:vAlign w:val="bottom"/>
          </w:tcPr>
          <w:p w:rsidR="001212AB" w:rsidRPr="00D10DB8" w:rsidRDefault="001212AB" w:rsidP="00D10DB8">
            <w:pPr>
              <w:spacing w:before="80" w:after="80" w:line="200" w:lineRule="exact"/>
              <w:jc w:val="right"/>
              <w:rPr>
                <w:i/>
                <w:sz w:val="16"/>
                <w:lang w:val="fr-CH"/>
              </w:rPr>
            </w:pPr>
            <w:r w:rsidRPr="00D10DB8">
              <w:rPr>
                <w:i/>
                <w:sz w:val="16"/>
                <w:lang w:val="fr-CH"/>
              </w:rPr>
              <w:t>Filles</w:t>
            </w:r>
          </w:p>
        </w:tc>
        <w:tc>
          <w:tcPr>
            <w:tcW w:w="504" w:type="dxa"/>
            <w:tcBorders>
              <w:top w:val="single" w:sz="4" w:space="0" w:color="auto"/>
              <w:bottom w:val="single" w:sz="12" w:space="0" w:color="auto"/>
            </w:tcBorders>
            <w:shd w:val="clear" w:color="000000" w:fill="auto"/>
            <w:vAlign w:val="bottom"/>
          </w:tcPr>
          <w:p w:rsidR="001212AB" w:rsidRPr="00D10DB8" w:rsidRDefault="001212AB" w:rsidP="00D10DB8">
            <w:pPr>
              <w:spacing w:before="80" w:after="80" w:line="200" w:lineRule="exact"/>
              <w:jc w:val="right"/>
              <w:rPr>
                <w:i/>
                <w:sz w:val="16"/>
                <w:lang w:val="fr-CH"/>
              </w:rPr>
            </w:pPr>
            <w:r w:rsidRPr="00D10DB8">
              <w:rPr>
                <w:i/>
                <w:sz w:val="16"/>
                <w:lang w:val="fr-CH"/>
              </w:rPr>
              <w:t>Total</w:t>
            </w:r>
          </w:p>
        </w:tc>
      </w:tr>
      <w:tr w:rsidR="001212AB" w:rsidRPr="00D10DB8" w:rsidTr="001212AB">
        <w:trPr>
          <w:gridAfter w:val="1"/>
          <w:wAfter w:w="20" w:type="dxa"/>
        </w:trPr>
        <w:tc>
          <w:tcPr>
            <w:tcW w:w="1866" w:type="dxa"/>
            <w:tcBorders>
              <w:top w:val="single" w:sz="12" w:space="0" w:color="auto"/>
            </w:tcBorders>
            <w:shd w:val="clear" w:color="000000" w:fill="auto"/>
          </w:tcPr>
          <w:p w:rsidR="001212AB" w:rsidRPr="00D10DB8" w:rsidRDefault="001212AB" w:rsidP="00D10DB8">
            <w:pPr>
              <w:spacing w:before="40" w:after="40" w:line="220" w:lineRule="exact"/>
              <w:rPr>
                <w:sz w:val="18"/>
                <w:lang w:val="fr-CH"/>
              </w:rPr>
            </w:pPr>
            <w:r>
              <w:rPr>
                <w:sz w:val="18"/>
                <w:lang w:val="fr-CH"/>
              </w:rPr>
              <w:t>Premier</w:t>
            </w:r>
            <w:r w:rsidRPr="00D10DB8">
              <w:rPr>
                <w:sz w:val="18"/>
                <w:lang w:val="fr-CH"/>
              </w:rPr>
              <w:t xml:space="preserve"> cycle de l’enseignement de base</w:t>
            </w:r>
          </w:p>
        </w:tc>
        <w:tc>
          <w:tcPr>
            <w:tcW w:w="700" w:type="dxa"/>
            <w:tcBorders>
              <w:top w:val="single" w:sz="12" w:space="0" w:color="auto"/>
            </w:tcBorders>
            <w:shd w:val="clear" w:color="000000" w:fill="auto"/>
            <w:vAlign w:val="bottom"/>
          </w:tcPr>
          <w:p w:rsidR="001212AB" w:rsidRPr="00D10DB8" w:rsidRDefault="001212AB" w:rsidP="00D10DB8">
            <w:pPr>
              <w:spacing w:before="40" w:after="40" w:line="220" w:lineRule="exact"/>
              <w:jc w:val="right"/>
              <w:rPr>
                <w:sz w:val="18"/>
                <w:lang w:val="fr-CH"/>
              </w:rPr>
            </w:pPr>
            <w:r w:rsidRPr="00D10DB8">
              <w:rPr>
                <w:sz w:val="18"/>
                <w:lang w:val="fr-CH"/>
              </w:rPr>
              <w:t>1.547</w:t>
            </w:r>
          </w:p>
        </w:tc>
        <w:tc>
          <w:tcPr>
            <w:tcW w:w="600" w:type="dxa"/>
            <w:tcBorders>
              <w:top w:val="single" w:sz="12" w:space="0" w:color="auto"/>
            </w:tcBorders>
            <w:shd w:val="clear" w:color="000000" w:fill="auto"/>
            <w:vAlign w:val="bottom"/>
          </w:tcPr>
          <w:p w:rsidR="001212AB" w:rsidRPr="00D10DB8" w:rsidRDefault="001212AB" w:rsidP="00D10DB8">
            <w:pPr>
              <w:spacing w:before="40" w:after="40" w:line="220" w:lineRule="exact"/>
              <w:jc w:val="right"/>
              <w:rPr>
                <w:sz w:val="18"/>
                <w:lang w:val="fr-CH"/>
              </w:rPr>
            </w:pPr>
            <w:r w:rsidRPr="00D10DB8">
              <w:rPr>
                <w:sz w:val="18"/>
                <w:lang w:val="fr-CH"/>
              </w:rPr>
              <w:t>1.069</w:t>
            </w:r>
          </w:p>
        </w:tc>
        <w:tc>
          <w:tcPr>
            <w:tcW w:w="600" w:type="dxa"/>
            <w:tcBorders>
              <w:top w:val="single" w:sz="12" w:space="0" w:color="auto"/>
            </w:tcBorders>
            <w:shd w:val="clear" w:color="000000" w:fill="auto"/>
            <w:vAlign w:val="bottom"/>
          </w:tcPr>
          <w:p w:rsidR="001212AB" w:rsidRPr="00D10DB8" w:rsidRDefault="001212AB" w:rsidP="00D10DB8">
            <w:pPr>
              <w:spacing w:before="40" w:after="40" w:line="220" w:lineRule="exact"/>
              <w:jc w:val="right"/>
              <w:rPr>
                <w:sz w:val="18"/>
                <w:lang w:val="fr-CH"/>
              </w:rPr>
            </w:pPr>
            <w:r w:rsidRPr="00D10DB8">
              <w:rPr>
                <w:sz w:val="18"/>
                <w:lang w:val="fr-CH"/>
              </w:rPr>
              <w:t>2.616</w:t>
            </w:r>
          </w:p>
        </w:tc>
        <w:tc>
          <w:tcPr>
            <w:tcW w:w="113" w:type="dxa"/>
            <w:tcBorders>
              <w:top w:val="single" w:sz="12" w:space="0" w:color="auto"/>
              <w:right w:val="nil"/>
            </w:tcBorders>
            <w:shd w:val="clear" w:color="000000" w:fill="auto"/>
            <w:vAlign w:val="bottom"/>
          </w:tcPr>
          <w:p w:rsidR="001212AB" w:rsidRPr="00D10DB8" w:rsidRDefault="001212AB" w:rsidP="001212AB">
            <w:pPr>
              <w:spacing w:before="40" w:after="40" w:line="220" w:lineRule="exact"/>
              <w:jc w:val="right"/>
              <w:rPr>
                <w:sz w:val="18"/>
                <w:lang w:val="fr-CH"/>
              </w:rPr>
            </w:pPr>
          </w:p>
        </w:tc>
        <w:tc>
          <w:tcPr>
            <w:tcW w:w="600" w:type="dxa"/>
            <w:tcBorders>
              <w:top w:val="single" w:sz="12" w:space="0" w:color="auto"/>
              <w:left w:val="nil"/>
            </w:tcBorders>
            <w:shd w:val="clear" w:color="000000" w:fill="auto"/>
            <w:vAlign w:val="bottom"/>
          </w:tcPr>
          <w:p w:rsidR="001212AB" w:rsidRPr="00D10DB8" w:rsidRDefault="001212AB" w:rsidP="00D10DB8">
            <w:pPr>
              <w:spacing w:before="40" w:after="40" w:line="220" w:lineRule="exact"/>
              <w:jc w:val="right"/>
              <w:rPr>
                <w:sz w:val="18"/>
                <w:lang w:val="fr-CH"/>
              </w:rPr>
            </w:pPr>
            <w:r w:rsidRPr="00D10DB8">
              <w:rPr>
                <w:sz w:val="18"/>
                <w:lang w:val="fr-CH"/>
              </w:rPr>
              <w:t>1.592</w:t>
            </w:r>
          </w:p>
        </w:tc>
        <w:tc>
          <w:tcPr>
            <w:tcW w:w="500" w:type="dxa"/>
            <w:tcBorders>
              <w:top w:val="single" w:sz="12" w:space="0" w:color="auto"/>
            </w:tcBorders>
            <w:shd w:val="clear" w:color="000000" w:fill="auto"/>
            <w:vAlign w:val="bottom"/>
          </w:tcPr>
          <w:p w:rsidR="001212AB" w:rsidRPr="00D10DB8" w:rsidRDefault="001212AB" w:rsidP="00D10DB8">
            <w:pPr>
              <w:spacing w:before="40" w:after="40" w:line="220" w:lineRule="exact"/>
              <w:jc w:val="right"/>
              <w:rPr>
                <w:sz w:val="18"/>
                <w:lang w:val="fr-CH"/>
              </w:rPr>
            </w:pPr>
            <w:r w:rsidRPr="00D10DB8">
              <w:rPr>
                <w:sz w:val="18"/>
                <w:lang w:val="fr-CH"/>
              </w:rPr>
              <w:t>1.061</w:t>
            </w:r>
          </w:p>
        </w:tc>
        <w:tc>
          <w:tcPr>
            <w:tcW w:w="564" w:type="dxa"/>
            <w:tcBorders>
              <w:top w:val="single" w:sz="12" w:space="0" w:color="auto"/>
            </w:tcBorders>
            <w:shd w:val="clear" w:color="000000" w:fill="auto"/>
            <w:vAlign w:val="bottom"/>
          </w:tcPr>
          <w:p w:rsidR="001212AB" w:rsidRPr="00D10DB8" w:rsidRDefault="001212AB" w:rsidP="00D10DB8">
            <w:pPr>
              <w:spacing w:before="40" w:after="40" w:line="220" w:lineRule="exact"/>
              <w:jc w:val="right"/>
              <w:rPr>
                <w:sz w:val="18"/>
                <w:lang w:val="fr-CH"/>
              </w:rPr>
            </w:pPr>
            <w:r w:rsidRPr="00D10DB8">
              <w:rPr>
                <w:sz w:val="18"/>
                <w:lang w:val="fr-CH"/>
              </w:rPr>
              <w:t>2.653</w:t>
            </w:r>
          </w:p>
        </w:tc>
        <w:tc>
          <w:tcPr>
            <w:tcW w:w="113" w:type="dxa"/>
            <w:tcBorders>
              <w:top w:val="single" w:sz="12" w:space="0" w:color="auto"/>
              <w:right w:val="nil"/>
            </w:tcBorders>
            <w:shd w:val="clear" w:color="000000" w:fill="auto"/>
            <w:vAlign w:val="bottom"/>
          </w:tcPr>
          <w:p w:rsidR="001212AB" w:rsidRPr="00D10DB8" w:rsidRDefault="001212AB" w:rsidP="001212AB">
            <w:pPr>
              <w:spacing w:before="40" w:after="40" w:line="220" w:lineRule="exact"/>
              <w:jc w:val="right"/>
              <w:rPr>
                <w:sz w:val="18"/>
                <w:lang w:val="fr-CH"/>
              </w:rPr>
            </w:pPr>
          </w:p>
        </w:tc>
        <w:tc>
          <w:tcPr>
            <w:tcW w:w="699" w:type="dxa"/>
            <w:tcBorders>
              <w:top w:val="single" w:sz="12" w:space="0" w:color="auto"/>
              <w:left w:val="nil"/>
            </w:tcBorders>
            <w:shd w:val="clear" w:color="000000" w:fill="auto"/>
            <w:vAlign w:val="bottom"/>
          </w:tcPr>
          <w:p w:rsidR="001212AB" w:rsidRPr="00D10DB8" w:rsidRDefault="001212AB" w:rsidP="00D10DB8">
            <w:pPr>
              <w:spacing w:before="40" w:after="40" w:line="220" w:lineRule="exact"/>
              <w:jc w:val="right"/>
              <w:rPr>
                <w:sz w:val="18"/>
                <w:lang w:val="fr-CH"/>
              </w:rPr>
            </w:pPr>
            <w:r w:rsidRPr="00D10DB8">
              <w:rPr>
                <w:sz w:val="18"/>
                <w:lang w:val="fr-CH"/>
              </w:rPr>
              <w:t>1.688</w:t>
            </w:r>
          </w:p>
        </w:tc>
        <w:tc>
          <w:tcPr>
            <w:tcW w:w="600" w:type="dxa"/>
            <w:shd w:val="clear" w:color="000000" w:fill="auto"/>
            <w:vAlign w:val="bottom"/>
          </w:tcPr>
          <w:p w:rsidR="001212AB" w:rsidRPr="00D10DB8" w:rsidRDefault="001212AB" w:rsidP="00D10DB8">
            <w:pPr>
              <w:spacing w:before="40" w:after="40" w:line="220" w:lineRule="exact"/>
              <w:jc w:val="right"/>
              <w:rPr>
                <w:sz w:val="18"/>
                <w:lang w:val="fr-CH"/>
              </w:rPr>
            </w:pPr>
            <w:r w:rsidRPr="00D10DB8">
              <w:rPr>
                <w:sz w:val="18"/>
                <w:lang w:val="fr-CH"/>
              </w:rPr>
              <w:t>1.114</w:t>
            </w:r>
          </w:p>
        </w:tc>
        <w:tc>
          <w:tcPr>
            <w:tcW w:w="504" w:type="dxa"/>
            <w:shd w:val="clear" w:color="000000" w:fill="auto"/>
            <w:vAlign w:val="bottom"/>
          </w:tcPr>
          <w:p w:rsidR="001212AB" w:rsidRPr="00D10DB8" w:rsidRDefault="001212AB" w:rsidP="00D10DB8">
            <w:pPr>
              <w:spacing w:before="40" w:after="40" w:line="220" w:lineRule="exact"/>
              <w:jc w:val="right"/>
              <w:rPr>
                <w:sz w:val="18"/>
                <w:lang w:val="fr-CH"/>
              </w:rPr>
            </w:pPr>
            <w:r w:rsidRPr="00D10DB8">
              <w:rPr>
                <w:sz w:val="18"/>
                <w:lang w:val="fr-CH"/>
              </w:rPr>
              <w:t>2.802</w:t>
            </w:r>
          </w:p>
        </w:tc>
      </w:tr>
      <w:tr w:rsidR="001212AB" w:rsidRPr="00D10DB8" w:rsidTr="001212AB">
        <w:trPr>
          <w:gridAfter w:val="1"/>
          <w:wAfter w:w="20" w:type="dxa"/>
        </w:trPr>
        <w:tc>
          <w:tcPr>
            <w:tcW w:w="1866" w:type="dxa"/>
            <w:shd w:val="clear" w:color="000000" w:fill="auto"/>
          </w:tcPr>
          <w:p w:rsidR="001212AB" w:rsidRPr="00D10DB8" w:rsidRDefault="001212AB" w:rsidP="00D10DB8">
            <w:pPr>
              <w:spacing w:before="40" w:after="40" w:line="220" w:lineRule="exact"/>
              <w:rPr>
                <w:sz w:val="18"/>
                <w:lang w:val="fr-CH"/>
              </w:rPr>
            </w:pPr>
            <w:r>
              <w:rPr>
                <w:sz w:val="18"/>
                <w:lang w:val="fr-CH"/>
              </w:rPr>
              <w:t>deuxième</w:t>
            </w:r>
            <w:r w:rsidRPr="00D10DB8">
              <w:rPr>
                <w:sz w:val="18"/>
                <w:lang w:val="fr-CH"/>
              </w:rPr>
              <w:t xml:space="preserve"> cycle de l’enseignement de base et enseignement secondaire</w:t>
            </w:r>
          </w:p>
        </w:tc>
        <w:tc>
          <w:tcPr>
            <w:tcW w:w="700" w:type="dxa"/>
            <w:shd w:val="clear" w:color="000000" w:fill="auto"/>
            <w:vAlign w:val="bottom"/>
          </w:tcPr>
          <w:p w:rsidR="001212AB" w:rsidRPr="00D10DB8" w:rsidRDefault="001212AB" w:rsidP="00D10DB8">
            <w:pPr>
              <w:spacing w:before="40" w:after="40" w:line="220" w:lineRule="exact"/>
              <w:jc w:val="right"/>
              <w:rPr>
                <w:sz w:val="18"/>
                <w:lang w:val="fr-CH"/>
              </w:rPr>
            </w:pPr>
            <w:r w:rsidRPr="00D10DB8">
              <w:rPr>
                <w:sz w:val="18"/>
                <w:lang w:val="fr-CH"/>
              </w:rPr>
              <w:t>1.038</w:t>
            </w:r>
          </w:p>
        </w:tc>
        <w:tc>
          <w:tcPr>
            <w:tcW w:w="600" w:type="dxa"/>
            <w:shd w:val="clear" w:color="000000" w:fill="auto"/>
            <w:vAlign w:val="bottom"/>
          </w:tcPr>
          <w:p w:rsidR="001212AB" w:rsidRPr="00D10DB8" w:rsidRDefault="001212AB" w:rsidP="00D10DB8">
            <w:pPr>
              <w:spacing w:before="40" w:after="40" w:line="220" w:lineRule="exact"/>
              <w:jc w:val="right"/>
              <w:rPr>
                <w:sz w:val="18"/>
                <w:lang w:val="fr-CH"/>
              </w:rPr>
            </w:pPr>
            <w:r w:rsidRPr="00D10DB8">
              <w:rPr>
                <w:sz w:val="18"/>
                <w:lang w:val="fr-CH"/>
              </w:rPr>
              <w:t>755</w:t>
            </w:r>
          </w:p>
        </w:tc>
        <w:tc>
          <w:tcPr>
            <w:tcW w:w="600" w:type="dxa"/>
            <w:shd w:val="clear" w:color="000000" w:fill="auto"/>
            <w:vAlign w:val="bottom"/>
          </w:tcPr>
          <w:p w:rsidR="001212AB" w:rsidRPr="00D10DB8" w:rsidRDefault="001212AB" w:rsidP="00D10DB8">
            <w:pPr>
              <w:spacing w:before="40" w:after="40" w:line="220" w:lineRule="exact"/>
              <w:jc w:val="right"/>
              <w:rPr>
                <w:sz w:val="18"/>
                <w:lang w:val="fr-CH"/>
              </w:rPr>
            </w:pPr>
            <w:r w:rsidRPr="00D10DB8">
              <w:rPr>
                <w:sz w:val="18"/>
                <w:lang w:val="fr-CH"/>
              </w:rPr>
              <w:t>1.793</w:t>
            </w:r>
          </w:p>
        </w:tc>
        <w:tc>
          <w:tcPr>
            <w:tcW w:w="113" w:type="dxa"/>
            <w:tcBorders>
              <w:bottom w:val="single" w:sz="12" w:space="0" w:color="auto"/>
              <w:right w:val="nil"/>
            </w:tcBorders>
            <w:shd w:val="clear" w:color="000000" w:fill="auto"/>
            <w:vAlign w:val="bottom"/>
          </w:tcPr>
          <w:p w:rsidR="001212AB" w:rsidRPr="00D10DB8" w:rsidRDefault="001212AB" w:rsidP="001212AB">
            <w:pPr>
              <w:spacing w:before="40" w:after="40" w:line="220" w:lineRule="exact"/>
              <w:jc w:val="right"/>
              <w:rPr>
                <w:sz w:val="18"/>
                <w:lang w:val="fr-CH"/>
              </w:rPr>
            </w:pPr>
          </w:p>
        </w:tc>
        <w:tc>
          <w:tcPr>
            <w:tcW w:w="600" w:type="dxa"/>
            <w:tcBorders>
              <w:left w:val="nil"/>
            </w:tcBorders>
            <w:shd w:val="clear" w:color="000000" w:fill="auto"/>
            <w:vAlign w:val="bottom"/>
          </w:tcPr>
          <w:p w:rsidR="001212AB" w:rsidRPr="00D10DB8" w:rsidRDefault="001212AB" w:rsidP="00D10DB8">
            <w:pPr>
              <w:spacing w:before="40" w:after="40" w:line="220" w:lineRule="exact"/>
              <w:jc w:val="right"/>
              <w:rPr>
                <w:sz w:val="18"/>
                <w:lang w:val="fr-CH"/>
              </w:rPr>
            </w:pPr>
            <w:r w:rsidRPr="00D10DB8">
              <w:rPr>
                <w:sz w:val="18"/>
                <w:lang w:val="fr-CH"/>
              </w:rPr>
              <w:t>1.028</w:t>
            </w:r>
          </w:p>
        </w:tc>
        <w:tc>
          <w:tcPr>
            <w:tcW w:w="500" w:type="dxa"/>
            <w:shd w:val="clear" w:color="000000" w:fill="auto"/>
            <w:vAlign w:val="bottom"/>
          </w:tcPr>
          <w:p w:rsidR="001212AB" w:rsidRPr="00D10DB8" w:rsidRDefault="001212AB" w:rsidP="00D10DB8">
            <w:pPr>
              <w:spacing w:before="40" w:after="40" w:line="220" w:lineRule="exact"/>
              <w:jc w:val="right"/>
              <w:rPr>
                <w:sz w:val="18"/>
                <w:lang w:val="fr-CH"/>
              </w:rPr>
            </w:pPr>
            <w:r w:rsidRPr="00D10DB8">
              <w:rPr>
                <w:sz w:val="18"/>
                <w:lang w:val="fr-CH"/>
              </w:rPr>
              <w:t>772</w:t>
            </w:r>
          </w:p>
        </w:tc>
        <w:tc>
          <w:tcPr>
            <w:tcW w:w="564" w:type="dxa"/>
            <w:shd w:val="clear" w:color="000000" w:fill="auto"/>
            <w:vAlign w:val="bottom"/>
          </w:tcPr>
          <w:p w:rsidR="001212AB" w:rsidRPr="00D10DB8" w:rsidRDefault="001212AB" w:rsidP="00D10DB8">
            <w:pPr>
              <w:spacing w:before="40" w:after="40" w:line="220" w:lineRule="exact"/>
              <w:jc w:val="right"/>
              <w:rPr>
                <w:sz w:val="18"/>
                <w:lang w:val="fr-CH"/>
              </w:rPr>
            </w:pPr>
            <w:r w:rsidRPr="00D10DB8">
              <w:rPr>
                <w:sz w:val="18"/>
                <w:lang w:val="fr-CH"/>
              </w:rPr>
              <w:t>1.800</w:t>
            </w:r>
          </w:p>
        </w:tc>
        <w:tc>
          <w:tcPr>
            <w:tcW w:w="113" w:type="dxa"/>
            <w:tcBorders>
              <w:bottom w:val="single" w:sz="12" w:space="0" w:color="auto"/>
              <w:right w:val="nil"/>
            </w:tcBorders>
            <w:shd w:val="clear" w:color="000000" w:fill="auto"/>
            <w:vAlign w:val="bottom"/>
          </w:tcPr>
          <w:p w:rsidR="001212AB" w:rsidRPr="00D10DB8" w:rsidRDefault="001212AB" w:rsidP="001212AB">
            <w:pPr>
              <w:spacing w:before="40" w:after="40" w:line="220" w:lineRule="exact"/>
              <w:jc w:val="right"/>
              <w:rPr>
                <w:sz w:val="18"/>
                <w:lang w:val="fr-CH"/>
              </w:rPr>
            </w:pPr>
          </w:p>
        </w:tc>
        <w:tc>
          <w:tcPr>
            <w:tcW w:w="699" w:type="dxa"/>
            <w:tcBorders>
              <w:left w:val="nil"/>
            </w:tcBorders>
            <w:shd w:val="clear" w:color="000000" w:fill="auto"/>
            <w:vAlign w:val="bottom"/>
          </w:tcPr>
          <w:p w:rsidR="001212AB" w:rsidRPr="00D10DB8" w:rsidRDefault="001212AB" w:rsidP="00D10DB8">
            <w:pPr>
              <w:spacing w:before="40" w:after="40" w:line="220" w:lineRule="exact"/>
              <w:jc w:val="right"/>
              <w:rPr>
                <w:sz w:val="18"/>
                <w:lang w:val="fr-CH"/>
              </w:rPr>
            </w:pPr>
            <w:r w:rsidRPr="00D10DB8">
              <w:rPr>
                <w:sz w:val="18"/>
                <w:lang w:val="fr-CH"/>
              </w:rPr>
              <w:t>944</w:t>
            </w:r>
          </w:p>
        </w:tc>
        <w:tc>
          <w:tcPr>
            <w:tcW w:w="600" w:type="dxa"/>
            <w:shd w:val="clear" w:color="000000" w:fill="auto"/>
            <w:vAlign w:val="bottom"/>
          </w:tcPr>
          <w:p w:rsidR="001212AB" w:rsidRPr="00D10DB8" w:rsidRDefault="001212AB" w:rsidP="00D10DB8">
            <w:pPr>
              <w:spacing w:before="40" w:after="40" w:line="220" w:lineRule="exact"/>
              <w:jc w:val="right"/>
              <w:rPr>
                <w:sz w:val="18"/>
                <w:lang w:val="fr-CH"/>
              </w:rPr>
            </w:pPr>
            <w:r w:rsidRPr="00D10DB8">
              <w:rPr>
                <w:sz w:val="18"/>
                <w:lang w:val="fr-CH"/>
              </w:rPr>
              <w:t>734</w:t>
            </w:r>
          </w:p>
        </w:tc>
        <w:tc>
          <w:tcPr>
            <w:tcW w:w="504" w:type="dxa"/>
            <w:shd w:val="clear" w:color="000000" w:fill="auto"/>
            <w:vAlign w:val="bottom"/>
          </w:tcPr>
          <w:p w:rsidR="001212AB" w:rsidRPr="00D10DB8" w:rsidRDefault="001212AB" w:rsidP="00D10DB8">
            <w:pPr>
              <w:spacing w:before="40" w:after="40" w:line="220" w:lineRule="exact"/>
              <w:jc w:val="right"/>
              <w:rPr>
                <w:sz w:val="18"/>
                <w:lang w:val="fr-CH"/>
              </w:rPr>
            </w:pPr>
            <w:r w:rsidRPr="00D10DB8">
              <w:rPr>
                <w:sz w:val="18"/>
                <w:lang w:val="fr-CH"/>
              </w:rPr>
              <w:t>1.678</w:t>
            </w:r>
          </w:p>
        </w:tc>
      </w:tr>
    </w:tbl>
    <w:p w:rsidR="00570B62" w:rsidRPr="00961388" w:rsidRDefault="00570B62" w:rsidP="00F54CE5">
      <w:pPr>
        <w:pStyle w:val="SingleTxtG"/>
        <w:rPr>
          <w:lang w:val="fr-CH"/>
        </w:rPr>
      </w:pPr>
      <w:r w:rsidRPr="00961388">
        <w:rPr>
          <w:lang w:val="fr-CH"/>
        </w:rPr>
        <w:t>234.</w:t>
      </w:r>
      <w:r w:rsidRPr="00961388">
        <w:rPr>
          <w:lang w:val="fr-CH"/>
        </w:rPr>
        <w:tab/>
        <w:t>Quant à la question des groupes minoritaires, il importe de rappeler que la Tunisie a toujours été un pays d</w:t>
      </w:r>
      <w:r w:rsidR="00961388">
        <w:rPr>
          <w:lang w:val="fr-CH"/>
        </w:rPr>
        <w:t>’</w:t>
      </w:r>
      <w:r w:rsidRPr="00961388">
        <w:rPr>
          <w:lang w:val="fr-CH"/>
        </w:rPr>
        <w:t>accueil et a toujours constitué un carrefour de civilisations. Aussi a-t-elle su intégrer cette diversité culturelle en respectant la différence constitutive de chaque groupe social</w:t>
      </w:r>
      <w:r w:rsidR="00961388">
        <w:rPr>
          <w:lang w:val="fr-CH"/>
        </w:rPr>
        <w:t>,</w:t>
      </w:r>
      <w:r w:rsidRPr="00961388">
        <w:rPr>
          <w:lang w:val="fr-CH"/>
        </w:rPr>
        <w:t xml:space="preserve"> tout en favorisant le brassage culturel et en conjuguant ces différents apports dans une optique de fusion et d</w:t>
      </w:r>
      <w:r w:rsidR="00961388">
        <w:rPr>
          <w:lang w:val="fr-CH"/>
        </w:rPr>
        <w:t>’</w:t>
      </w:r>
      <w:r w:rsidRPr="00961388">
        <w:rPr>
          <w:lang w:val="fr-CH"/>
        </w:rPr>
        <w:t>harmonie sociale.</w:t>
      </w:r>
    </w:p>
    <w:p w:rsidR="00570B62" w:rsidRPr="00961388" w:rsidRDefault="00570B62" w:rsidP="00F54CE5">
      <w:pPr>
        <w:pStyle w:val="SingleTxtG"/>
        <w:rPr>
          <w:lang w:val="fr-CH"/>
        </w:rPr>
      </w:pPr>
      <w:r w:rsidRPr="00961388">
        <w:rPr>
          <w:lang w:val="fr-CH"/>
        </w:rPr>
        <w:t>235.</w:t>
      </w:r>
      <w:r w:rsidRPr="00961388">
        <w:rPr>
          <w:lang w:val="fr-CH"/>
        </w:rPr>
        <w:tab/>
        <w:t>Par conséquent, la question des minorités ne s</w:t>
      </w:r>
      <w:r w:rsidR="00961388">
        <w:rPr>
          <w:lang w:val="fr-CH"/>
        </w:rPr>
        <w:t>’</w:t>
      </w:r>
      <w:r w:rsidRPr="00961388">
        <w:rPr>
          <w:lang w:val="fr-CH"/>
        </w:rPr>
        <w:t>est jamais posée en Tunisie, notamment en matière d</w:t>
      </w:r>
      <w:r w:rsidR="00961388">
        <w:rPr>
          <w:lang w:val="fr-CH"/>
        </w:rPr>
        <w:t>’</w:t>
      </w:r>
      <w:r w:rsidRPr="00961388">
        <w:rPr>
          <w:lang w:val="fr-CH"/>
        </w:rPr>
        <w:t>éducation dans la mesure où tous les élèves parlent la même langue, partagent les mêmes valeurs culturelles et civiques, se réclament de traditions communes et rejoignent les mêmes établissements lesquels dispensent un programme d</w:t>
      </w:r>
      <w:r w:rsidR="00961388">
        <w:rPr>
          <w:lang w:val="fr-CH"/>
        </w:rPr>
        <w:t>’</w:t>
      </w:r>
      <w:r w:rsidRPr="00961388">
        <w:rPr>
          <w:lang w:val="fr-CH"/>
        </w:rPr>
        <w:t>enseignement unique.</w:t>
      </w:r>
    </w:p>
    <w:p w:rsidR="00570B62" w:rsidRPr="00961388" w:rsidRDefault="00F54CE5" w:rsidP="00F54CE5">
      <w:pPr>
        <w:pStyle w:val="H23G"/>
        <w:rPr>
          <w:lang w:val="fr-CH"/>
        </w:rPr>
      </w:pPr>
      <w:r>
        <w:rPr>
          <w:lang w:val="fr-CH"/>
        </w:rPr>
        <w:tab/>
      </w:r>
      <w:r>
        <w:rPr>
          <w:lang w:val="fr-CH"/>
        </w:rPr>
        <w:tab/>
      </w:r>
      <w:r w:rsidR="00570B62" w:rsidRPr="00961388">
        <w:rPr>
          <w:lang w:val="fr-CH"/>
        </w:rPr>
        <w:t xml:space="preserve">Réponse au paragraphe 23 </w:t>
      </w:r>
      <w:r w:rsidR="00910D7D">
        <w:rPr>
          <w:lang w:val="fr-CH"/>
        </w:rPr>
        <w:t>de la liste de points à traiter</w:t>
      </w:r>
    </w:p>
    <w:p w:rsidR="00570B62" w:rsidRPr="00961388" w:rsidRDefault="00F54CE5" w:rsidP="00F54CE5">
      <w:pPr>
        <w:pStyle w:val="H4G"/>
        <w:rPr>
          <w:lang w:val="fr-CH"/>
        </w:rPr>
      </w:pPr>
      <w:r>
        <w:rPr>
          <w:lang w:val="fr-CH"/>
        </w:rPr>
        <w:tab/>
        <w:t>1.</w:t>
      </w:r>
      <w:r>
        <w:rPr>
          <w:lang w:val="fr-CH"/>
        </w:rPr>
        <w:tab/>
      </w:r>
      <w:r w:rsidR="00570B62" w:rsidRPr="00961388">
        <w:rPr>
          <w:lang w:val="fr-CH"/>
        </w:rPr>
        <w:t>Élimination de toute représentation dégradante et dévalorisante entre femmes et hommes dans les manuels scolaires</w:t>
      </w:r>
    </w:p>
    <w:p w:rsidR="00570B62" w:rsidRPr="00961388" w:rsidRDefault="00570B62" w:rsidP="00F54CE5">
      <w:pPr>
        <w:pStyle w:val="SingleTxtG"/>
        <w:rPr>
          <w:lang w:val="fr-CH"/>
        </w:rPr>
      </w:pPr>
      <w:r w:rsidRPr="00961388">
        <w:rPr>
          <w:lang w:val="fr-CH"/>
        </w:rPr>
        <w:t>236.</w:t>
      </w:r>
      <w:r w:rsidRPr="00961388">
        <w:rPr>
          <w:lang w:val="fr-CH"/>
        </w:rPr>
        <w:tab/>
        <w:t>L</w:t>
      </w:r>
      <w:r w:rsidR="00961388">
        <w:rPr>
          <w:lang w:val="fr-CH"/>
        </w:rPr>
        <w:t>’</w:t>
      </w:r>
      <w:r w:rsidRPr="00961388">
        <w:rPr>
          <w:lang w:val="fr-CH"/>
        </w:rPr>
        <w:t>égalité et la parité filles garçons est une réalité dans tous les cycles de l</w:t>
      </w:r>
      <w:r w:rsidR="00961388">
        <w:rPr>
          <w:lang w:val="fr-CH"/>
        </w:rPr>
        <w:t>’</w:t>
      </w:r>
      <w:r w:rsidRPr="00961388">
        <w:rPr>
          <w:lang w:val="fr-CH"/>
        </w:rPr>
        <w:t>enseignement mais aussi une exigence dans l</w:t>
      </w:r>
      <w:r w:rsidR="00961388">
        <w:rPr>
          <w:lang w:val="fr-CH"/>
        </w:rPr>
        <w:t>’</w:t>
      </w:r>
      <w:r w:rsidRPr="00961388">
        <w:rPr>
          <w:lang w:val="fr-CH"/>
        </w:rPr>
        <w:t>élaboration des programmes et des manuels scolaires.</w:t>
      </w:r>
    </w:p>
    <w:p w:rsidR="00570B62" w:rsidRPr="00961388" w:rsidRDefault="00570B62" w:rsidP="00F54CE5">
      <w:pPr>
        <w:pStyle w:val="SingleTxtG"/>
        <w:rPr>
          <w:lang w:val="fr-CH"/>
        </w:rPr>
      </w:pPr>
      <w:r w:rsidRPr="00961388">
        <w:rPr>
          <w:lang w:val="fr-CH"/>
        </w:rPr>
        <w:t>237.</w:t>
      </w:r>
      <w:r w:rsidRPr="00961388">
        <w:rPr>
          <w:lang w:val="fr-CH"/>
        </w:rPr>
        <w:tab/>
        <w:t>L</w:t>
      </w:r>
      <w:r w:rsidR="00961388">
        <w:rPr>
          <w:lang w:val="fr-CH"/>
        </w:rPr>
        <w:t>’</w:t>
      </w:r>
      <w:r w:rsidRPr="00961388">
        <w:rPr>
          <w:lang w:val="fr-CH"/>
        </w:rPr>
        <w:t>un des critères du cahier des charges pour l</w:t>
      </w:r>
      <w:r w:rsidR="00961388">
        <w:rPr>
          <w:lang w:val="fr-CH"/>
        </w:rPr>
        <w:t>’</w:t>
      </w:r>
      <w:r w:rsidRPr="00961388">
        <w:rPr>
          <w:lang w:val="fr-CH"/>
        </w:rPr>
        <w:t>élaboration d</w:t>
      </w:r>
      <w:r w:rsidR="00961388">
        <w:rPr>
          <w:lang w:val="fr-CH"/>
        </w:rPr>
        <w:t>’</w:t>
      </w:r>
      <w:r w:rsidRPr="00961388">
        <w:rPr>
          <w:lang w:val="fr-CH"/>
        </w:rPr>
        <w:t>un manuel scolaire est qu</w:t>
      </w:r>
      <w:r w:rsidR="00961388">
        <w:rPr>
          <w:lang w:val="fr-CH"/>
        </w:rPr>
        <w:t>’</w:t>
      </w:r>
      <w:r w:rsidRPr="00961388">
        <w:rPr>
          <w:lang w:val="fr-CH"/>
        </w:rPr>
        <w:t>il soit exempt de discrimination</w:t>
      </w:r>
      <w:r w:rsidR="00961388">
        <w:rPr>
          <w:lang w:val="fr-CH"/>
        </w:rPr>
        <w:t>:</w:t>
      </w:r>
      <w:r w:rsidRPr="00961388">
        <w:rPr>
          <w:lang w:val="fr-CH"/>
        </w:rPr>
        <w:t xml:space="preserve"> </w:t>
      </w:r>
      <w:r w:rsidR="00961388">
        <w:rPr>
          <w:lang w:val="fr-CH"/>
        </w:rPr>
        <w:t>«</w:t>
      </w:r>
      <w:r w:rsidRPr="00961388">
        <w:rPr>
          <w:lang w:val="fr-CH"/>
        </w:rPr>
        <w:t>rapports égalitaires entre les personnages des deux sexes, représentation….Non stéréotypée des caractéristiques personnelles ou sociales</w:t>
      </w:r>
      <w:r w:rsidR="00961388">
        <w:rPr>
          <w:lang w:val="fr-CH"/>
        </w:rPr>
        <w:t>»</w:t>
      </w:r>
      <w:r w:rsidRPr="00961388">
        <w:rPr>
          <w:lang w:val="fr-CH"/>
        </w:rPr>
        <w:t>.</w:t>
      </w:r>
    </w:p>
    <w:p w:rsidR="00570B62" w:rsidRPr="00961388" w:rsidRDefault="00570B62" w:rsidP="00F54CE5">
      <w:pPr>
        <w:pStyle w:val="SingleTxtG"/>
        <w:rPr>
          <w:lang w:val="fr-CH"/>
        </w:rPr>
      </w:pPr>
      <w:r w:rsidRPr="00961388">
        <w:rPr>
          <w:lang w:val="fr-CH"/>
        </w:rPr>
        <w:t>238.</w:t>
      </w:r>
      <w:r w:rsidRPr="00961388">
        <w:rPr>
          <w:lang w:val="fr-CH"/>
        </w:rPr>
        <w:tab/>
        <w:t>La concrétisation du principe d</w:t>
      </w:r>
      <w:r w:rsidR="00961388">
        <w:rPr>
          <w:lang w:val="fr-CH"/>
        </w:rPr>
        <w:t>’</w:t>
      </w:r>
      <w:r w:rsidRPr="00961388">
        <w:rPr>
          <w:lang w:val="fr-CH"/>
        </w:rPr>
        <w:t>égalité absolue entre les deux sexes constitue l</w:t>
      </w:r>
      <w:r w:rsidR="00961388">
        <w:rPr>
          <w:lang w:val="fr-CH"/>
        </w:rPr>
        <w:t>’</w:t>
      </w:r>
      <w:r w:rsidRPr="00961388">
        <w:rPr>
          <w:lang w:val="fr-CH"/>
        </w:rPr>
        <w:t>un des acquis à mettre à l</w:t>
      </w:r>
      <w:r w:rsidR="00961388">
        <w:rPr>
          <w:lang w:val="fr-CH"/>
        </w:rPr>
        <w:t>’</w:t>
      </w:r>
      <w:r w:rsidRPr="00961388">
        <w:rPr>
          <w:lang w:val="fr-CH"/>
        </w:rPr>
        <w:t>actif du système éducatif tunisien. Le 1er impératif est de déterminer avec la rigueur requise ce que l</w:t>
      </w:r>
      <w:r w:rsidR="00961388">
        <w:rPr>
          <w:lang w:val="fr-CH"/>
        </w:rPr>
        <w:t>’</w:t>
      </w:r>
      <w:r w:rsidRPr="00961388">
        <w:rPr>
          <w:lang w:val="fr-CH"/>
        </w:rPr>
        <w:t>École doit prioritairement enseigner aux élèves</w:t>
      </w:r>
      <w:r w:rsidR="00961388">
        <w:rPr>
          <w:lang w:val="fr-CH"/>
        </w:rPr>
        <w:t>:</w:t>
      </w:r>
      <w:r w:rsidRPr="00961388">
        <w:rPr>
          <w:lang w:val="fr-CH"/>
        </w:rPr>
        <w:t xml:space="preserve"> c</w:t>
      </w:r>
      <w:r w:rsidR="00961388">
        <w:rPr>
          <w:lang w:val="fr-CH"/>
        </w:rPr>
        <w:t>’</w:t>
      </w:r>
      <w:r w:rsidRPr="00961388">
        <w:rPr>
          <w:lang w:val="fr-CH"/>
        </w:rPr>
        <w:t>est-à-dire l</w:t>
      </w:r>
      <w:r w:rsidR="00961388">
        <w:rPr>
          <w:lang w:val="fr-CH"/>
        </w:rPr>
        <w:t>’</w:t>
      </w:r>
      <w:r w:rsidRPr="00961388">
        <w:rPr>
          <w:lang w:val="fr-CH"/>
        </w:rPr>
        <w:t>égalité et le respect de l</w:t>
      </w:r>
      <w:r w:rsidR="00961388">
        <w:rPr>
          <w:lang w:val="fr-CH"/>
        </w:rPr>
        <w:t>’</w:t>
      </w:r>
      <w:r w:rsidRPr="00961388">
        <w:rPr>
          <w:lang w:val="fr-CH"/>
        </w:rPr>
        <w:t>autre.</w:t>
      </w:r>
    </w:p>
    <w:p w:rsidR="00570B62" w:rsidRPr="00961388" w:rsidRDefault="00570B62" w:rsidP="00F54CE5">
      <w:pPr>
        <w:pStyle w:val="SingleTxtG"/>
        <w:rPr>
          <w:lang w:val="fr-CH"/>
        </w:rPr>
      </w:pPr>
      <w:r w:rsidRPr="00961388">
        <w:rPr>
          <w:lang w:val="fr-CH"/>
        </w:rPr>
        <w:t>239.</w:t>
      </w:r>
      <w:r w:rsidRPr="00961388">
        <w:rPr>
          <w:lang w:val="fr-CH"/>
        </w:rPr>
        <w:tab/>
        <w:t>Les manuels scolaires proposent à cet effet des modèles féminins valorisés, volontaires et brillants à l</w:t>
      </w:r>
      <w:r w:rsidR="00961388">
        <w:rPr>
          <w:lang w:val="fr-CH"/>
        </w:rPr>
        <w:t>’</w:t>
      </w:r>
      <w:r w:rsidRPr="00961388">
        <w:rPr>
          <w:lang w:val="fr-CH"/>
        </w:rPr>
        <w:t>instar de celui des textes inscrits dans le manuel d</w:t>
      </w:r>
      <w:r w:rsidR="00961388">
        <w:rPr>
          <w:lang w:val="fr-CH"/>
        </w:rPr>
        <w:t>’</w:t>
      </w:r>
      <w:r w:rsidRPr="00961388">
        <w:rPr>
          <w:lang w:val="fr-CH"/>
        </w:rPr>
        <w:t xml:space="preserve">arabe de 8éme année de base: </w:t>
      </w:r>
      <w:r w:rsidR="00961388">
        <w:rPr>
          <w:lang w:val="fr-CH"/>
        </w:rPr>
        <w:t>«</w:t>
      </w:r>
      <w:r w:rsidRPr="00961388">
        <w:rPr>
          <w:i/>
          <w:iCs/>
          <w:lang w:val="fr-CH"/>
        </w:rPr>
        <w:t>Om Kalthoum</w:t>
      </w:r>
      <w:r w:rsidRPr="00961388">
        <w:rPr>
          <w:lang w:val="fr-CH"/>
        </w:rPr>
        <w:t xml:space="preserve">» et </w:t>
      </w:r>
      <w:r w:rsidR="00961388">
        <w:rPr>
          <w:lang w:val="fr-CH"/>
        </w:rPr>
        <w:t>«</w:t>
      </w:r>
      <w:r w:rsidRPr="00961388">
        <w:rPr>
          <w:lang w:val="fr-CH"/>
        </w:rPr>
        <w:t>Une championne olympique</w:t>
      </w:r>
      <w:r w:rsidR="00961388">
        <w:rPr>
          <w:lang w:val="fr-CH"/>
        </w:rPr>
        <w:t>»,</w:t>
      </w:r>
      <w:r w:rsidRPr="00961388">
        <w:rPr>
          <w:lang w:val="fr-CH"/>
        </w:rPr>
        <w:t xml:space="preserve"> de femmes chirurgiennes ou menuisières, des Prix Nobel, telle que Marie Curie. Ces manuels encouragent aussi les filles à choisir un métier ou une activité s</w:t>
      </w:r>
      <w:r w:rsidR="00961388">
        <w:rPr>
          <w:lang w:val="fr-CH"/>
        </w:rPr>
        <w:t>’</w:t>
      </w:r>
      <w:r w:rsidRPr="00961388">
        <w:rPr>
          <w:lang w:val="fr-CH"/>
        </w:rPr>
        <w:t>écartant du schéma sexué traditionnel et développant l</w:t>
      </w:r>
      <w:r w:rsidR="00961388">
        <w:rPr>
          <w:lang w:val="fr-CH"/>
        </w:rPr>
        <w:t>’</w:t>
      </w:r>
      <w:r w:rsidRPr="00961388">
        <w:rPr>
          <w:lang w:val="fr-CH"/>
        </w:rPr>
        <w:t>ambition et l</w:t>
      </w:r>
      <w:r w:rsidR="00961388">
        <w:rPr>
          <w:lang w:val="fr-CH"/>
        </w:rPr>
        <w:t>’</w:t>
      </w:r>
      <w:r w:rsidRPr="00961388">
        <w:rPr>
          <w:lang w:val="fr-CH"/>
        </w:rPr>
        <w:t>indépendance des petites filles.</w:t>
      </w:r>
    </w:p>
    <w:p w:rsidR="00570B62" w:rsidRPr="00961388" w:rsidRDefault="00570B62" w:rsidP="00F54CE5">
      <w:pPr>
        <w:pStyle w:val="SingleTxtG"/>
        <w:rPr>
          <w:lang w:val="fr-CH"/>
        </w:rPr>
      </w:pPr>
      <w:r w:rsidRPr="00961388">
        <w:rPr>
          <w:lang w:val="fr-CH"/>
        </w:rPr>
        <w:t>240.</w:t>
      </w:r>
      <w:r w:rsidRPr="00961388">
        <w:rPr>
          <w:lang w:val="fr-CH"/>
        </w:rPr>
        <w:tab/>
        <w:t>D</w:t>
      </w:r>
      <w:r w:rsidR="00961388">
        <w:rPr>
          <w:lang w:val="fr-CH"/>
        </w:rPr>
        <w:t>’</w:t>
      </w:r>
      <w:r w:rsidRPr="00961388">
        <w:rPr>
          <w:lang w:val="fr-CH"/>
        </w:rPr>
        <w:t>autres textes évoquent l</w:t>
      </w:r>
      <w:r w:rsidR="00961388">
        <w:rPr>
          <w:lang w:val="fr-CH"/>
        </w:rPr>
        <w:t>’</w:t>
      </w:r>
      <w:r w:rsidRPr="00961388">
        <w:rPr>
          <w:lang w:val="fr-CH"/>
        </w:rPr>
        <w:t>égalité entre homme et femme dans le travail et au niveau des responsabilités.</w:t>
      </w:r>
    </w:p>
    <w:p w:rsidR="00570B62" w:rsidRPr="00961388" w:rsidRDefault="00570B62" w:rsidP="00F54CE5">
      <w:pPr>
        <w:pStyle w:val="SingleTxtG"/>
        <w:rPr>
          <w:lang w:val="fr-CH"/>
        </w:rPr>
      </w:pPr>
      <w:r w:rsidRPr="00961388">
        <w:rPr>
          <w:lang w:val="fr-CH"/>
        </w:rPr>
        <w:t>241.</w:t>
      </w:r>
      <w:r w:rsidRPr="00961388">
        <w:rPr>
          <w:lang w:val="fr-CH"/>
        </w:rPr>
        <w:tab/>
        <w:t>Le second thème du manuel d</w:t>
      </w:r>
      <w:r w:rsidR="00961388">
        <w:rPr>
          <w:lang w:val="fr-CH"/>
        </w:rPr>
        <w:t>’</w:t>
      </w:r>
      <w:r w:rsidRPr="00961388">
        <w:rPr>
          <w:lang w:val="fr-CH"/>
        </w:rPr>
        <w:t xml:space="preserve">arabe de 9ème année de base </w:t>
      </w:r>
      <w:r w:rsidR="00961388">
        <w:rPr>
          <w:lang w:val="fr-CH"/>
        </w:rPr>
        <w:t>«</w:t>
      </w:r>
      <w:r w:rsidRPr="00961388">
        <w:rPr>
          <w:lang w:val="fr-CH"/>
        </w:rPr>
        <w:t>La femme dans les sociétés modernes</w:t>
      </w:r>
      <w:r w:rsidR="00961388">
        <w:rPr>
          <w:lang w:val="fr-CH"/>
        </w:rPr>
        <w:t>»</w:t>
      </w:r>
      <w:r w:rsidRPr="00961388">
        <w:rPr>
          <w:lang w:val="fr-CH"/>
        </w:rPr>
        <w:t>, évoque la place de la femme dans ces sociétés mais porte aussi un regard critique sur l</w:t>
      </w:r>
      <w:r w:rsidR="00961388">
        <w:rPr>
          <w:lang w:val="fr-CH"/>
        </w:rPr>
        <w:t>’</w:t>
      </w:r>
      <w:r w:rsidRPr="00961388">
        <w:rPr>
          <w:lang w:val="fr-CH"/>
        </w:rPr>
        <w:t>exploitation de la femme par les médias.</w:t>
      </w:r>
    </w:p>
    <w:p w:rsidR="00570B62" w:rsidRPr="00961388" w:rsidRDefault="00570B62" w:rsidP="00F54CE5">
      <w:pPr>
        <w:pStyle w:val="SingleTxtG"/>
        <w:rPr>
          <w:lang w:val="fr-CH"/>
        </w:rPr>
      </w:pPr>
      <w:r w:rsidRPr="00961388">
        <w:rPr>
          <w:lang w:val="fr-CH"/>
        </w:rPr>
        <w:t>242.</w:t>
      </w:r>
      <w:r w:rsidRPr="00961388">
        <w:rPr>
          <w:lang w:val="fr-CH"/>
        </w:rPr>
        <w:tab/>
        <w:t>Le troisième thème du manuel d</w:t>
      </w:r>
      <w:r w:rsidR="00961388">
        <w:rPr>
          <w:lang w:val="fr-CH"/>
        </w:rPr>
        <w:t>’</w:t>
      </w:r>
      <w:r w:rsidRPr="00961388">
        <w:rPr>
          <w:lang w:val="fr-CH"/>
        </w:rPr>
        <w:t>arabe de 3ème année secondaire (sections scientifiques) «Les préoccupations de la femme rédigées par des femmes</w:t>
      </w:r>
      <w:r w:rsidR="00961388">
        <w:rPr>
          <w:lang w:val="fr-CH"/>
        </w:rPr>
        <w:t>»</w:t>
      </w:r>
      <w:r w:rsidRPr="00961388">
        <w:rPr>
          <w:lang w:val="fr-CH"/>
        </w:rPr>
        <w:t>, traite de la liberté, du travail de la femme et de sa relation avec l</w:t>
      </w:r>
      <w:r w:rsidR="00961388">
        <w:rPr>
          <w:lang w:val="fr-CH"/>
        </w:rPr>
        <w:t>’</w:t>
      </w:r>
      <w:r w:rsidRPr="00961388">
        <w:rPr>
          <w:lang w:val="fr-CH"/>
        </w:rPr>
        <w:t>homme.</w:t>
      </w:r>
    </w:p>
    <w:p w:rsidR="00570B62" w:rsidRPr="00961388" w:rsidRDefault="00570B62" w:rsidP="00F54CE5">
      <w:pPr>
        <w:pStyle w:val="SingleTxtG"/>
        <w:rPr>
          <w:lang w:val="fr-CH"/>
        </w:rPr>
      </w:pPr>
      <w:r w:rsidRPr="00961388">
        <w:rPr>
          <w:lang w:val="fr-CH"/>
        </w:rPr>
        <w:t>243.</w:t>
      </w:r>
      <w:r w:rsidRPr="00961388">
        <w:rPr>
          <w:lang w:val="fr-CH"/>
        </w:rPr>
        <w:tab/>
        <w:t>Ces manuels encouragent aussi les filles à choisir un métier ou une activité s</w:t>
      </w:r>
      <w:r w:rsidR="00961388">
        <w:rPr>
          <w:lang w:val="fr-CH"/>
        </w:rPr>
        <w:t>’</w:t>
      </w:r>
      <w:r w:rsidRPr="00961388">
        <w:rPr>
          <w:lang w:val="fr-CH"/>
        </w:rPr>
        <w:t>écartant du schéma sexué traditionnel et développant l</w:t>
      </w:r>
      <w:r w:rsidR="00961388">
        <w:rPr>
          <w:lang w:val="fr-CH"/>
        </w:rPr>
        <w:t>’</w:t>
      </w:r>
      <w:r w:rsidRPr="00961388">
        <w:rPr>
          <w:lang w:val="fr-CH"/>
        </w:rPr>
        <w:t>ambition et l</w:t>
      </w:r>
      <w:r w:rsidR="00961388">
        <w:rPr>
          <w:lang w:val="fr-CH"/>
        </w:rPr>
        <w:t>’</w:t>
      </w:r>
      <w:r w:rsidRPr="00961388">
        <w:rPr>
          <w:lang w:val="fr-CH"/>
        </w:rPr>
        <w:t xml:space="preserve">indépendance des petites filles. </w:t>
      </w:r>
      <w:r w:rsidR="009D78BE">
        <w:rPr>
          <w:lang w:val="fr-CH"/>
        </w:rPr>
        <w:t>À</w:t>
      </w:r>
      <w:r w:rsidRPr="00961388">
        <w:rPr>
          <w:lang w:val="fr-CH"/>
        </w:rPr>
        <w:t xml:space="preserve"> titre d</w:t>
      </w:r>
      <w:r w:rsidR="00961388">
        <w:rPr>
          <w:lang w:val="fr-CH"/>
        </w:rPr>
        <w:t>’</w:t>
      </w:r>
      <w:r w:rsidRPr="00961388">
        <w:rPr>
          <w:lang w:val="fr-CH"/>
        </w:rPr>
        <w:t>exemple, le texte «Le génie de Mouna</w:t>
      </w:r>
      <w:r w:rsidR="00961388">
        <w:rPr>
          <w:lang w:val="fr-CH"/>
        </w:rPr>
        <w:t>»</w:t>
      </w:r>
      <w:r w:rsidRPr="00961388">
        <w:rPr>
          <w:lang w:val="fr-CH"/>
        </w:rPr>
        <w:t xml:space="preserve"> dans le manuel de 2ème année de base, présente une petite fille qui a réparé, sans aucune aide, un poste de radio.</w:t>
      </w:r>
    </w:p>
    <w:p w:rsidR="00570B62" w:rsidRPr="00961388" w:rsidRDefault="00570B62" w:rsidP="00F54CE5">
      <w:pPr>
        <w:pStyle w:val="SingleTxtG"/>
        <w:rPr>
          <w:lang w:val="fr-CH"/>
        </w:rPr>
      </w:pPr>
      <w:r w:rsidRPr="00961388">
        <w:rPr>
          <w:lang w:val="fr-CH"/>
        </w:rPr>
        <w:t>244.</w:t>
      </w:r>
      <w:r w:rsidRPr="00961388">
        <w:rPr>
          <w:lang w:val="fr-CH"/>
        </w:rPr>
        <w:tab/>
        <w:t>De même, dans les manuels de français, la place de la femme est prépondérante: elle est inventrice, détentrice du prix Nobel, c</w:t>
      </w:r>
      <w:r w:rsidR="00961388">
        <w:rPr>
          <w:lang w:val="fr-CH"/>
        </w:rPr>
        <w:t>’</w:t>
      </w:r>
      <w:r w:rsidRPr="00961388">
        <w:rPr>
          <w:lang w:val="fr-CH"/>
        </w:rPr>
        <w:t xml:space="preserve">est Marie Curie dans le texte </w:t>
      </w:r>
      <w:r w:rsidR="00961388">
        <w:rPr>
          <w:lang w:val="fr-CH"/>
        </w:rPr>
        <w:t>«</w:t>
      </w:r>
      <w:r w:rsidRPr="00961388">
        <w:rPr>
          <w:lang w:val="fr-CH"/>
        </w:rPr>
        <w:t>La découverte du radium</w:t>
      </w:r>
      <w:r w:rsidR="00961388">
        <w:rPr>
          <w:lang w:val="fr-CH"/>
        </w:rPr>
        <w:t>»</w:t>
      </w:r>
      <w:r w:rsidRPr="00961388">
        <w:rPr>
          <w:lang w:val="fr-CH"/>
        </w:rPr>
        <w:t xml:space="preserve">, championne de marathon dans le texte </w:t>
      </w:r>
      <w:r w:rsidR="00961388">
        <w:rPr>
          <w:lang w:val="fr-CH"/>
        </w:rPr>
        <w:t>«</w:t>
      </w:r>
      <w:r w:rsidRPr="00961388">
        <w:rPr>
          <w:lang w:val="fr-CH"/>
        </w:rPr>
        <w:t>Institut Curie</w:t>
      </w:r>
      <w:r w:rsidR="00961388">
        <w:rPr>
          <w:lang w:val="fr-CH"/>
        </w:rPr>
        <w:t>»</w:t>
      </w:r>
      <w:r w:rsidRPr="00961388">
        <w:rPr>
          <w:lang w:val="fr-CH"/>
        </w:rPr>
        <w:t>, inscrit dans le manuel de 9ème année de base.</w:t>
      </w:r>
    </w:p>
    <w:p w:rsidR="00570B62" w:rsidRPr="00961388" w:rsidRDefault="00570B62" w:rsidP="00F54CE5">
      <w:pPr>
        <w:pStyle w:val="SingleTxtG"/>
        <w:rPr>
          <w:lang w:val="fr-CH"/>
        </w:rPr>
      </w:pPr>
      <w:r w:rsidRPr="00961388">
        <w:rPr>
          <w:lang w:val="fr-CH"/>
        </w:rPr>
        <w:t>245.</w:t>
      </w:r>
      <w:r w:rsidRPr="00961388">
        <w:rPr>
          <w:lang w:val="fr-CH"/>
        </w:rPr>
        <w:tab/>
        <w:t xml:space="preserve">Le module 3 du manuel de 2ème année secondaire intitulé </w:t>
      </w:r>
      <w:r w:rsidR="00961388">
        <w:rPr>
          <w:lang w:val="fr-CH"/>
        </w:rPr>
        <w:t>«</w:t>
      </w:r>
      <w:r w:rsidRPr="00961388">
        <w:rPr>
          <w:lang w:val="fr-CH"/>
        </w:rPr>
        <w:t>Femme et société</w:t>
      </w:r>
      <w:r w:rsidR="00961388">
        <w:rPr>
          <w:lang w:val="fr-CH"/>
        </w:rPr>
        <w:t>»</w:t>
      </w:r>
      <w:r w:rsidRPr="00961388">
        <w:rPr>
          <w:lang w:val="fr-CH"/>
        </w:rPr>
        <w:t xml:space="preserve"> porte sur le combat mené contre les préjugés et cela à travers l</w:t>
      </w:r>
      <w:r w:rsidR="00961388">
        <w:rPr>
          <w:lang w:val="fr-CH"/>
        </w:rPr>
        <w:t>’</w:t>
      </w:r>
      <w:r w:rsidRPr="00961388">
        <w:rPr>
          <w:lang w:val="fr-CH"/>
        </w:rPr>
        <w:t>ironie et la caricature</w:t>
      </w:r>
      <w:r w:rsidR="00961388">
        <w:rPr>
          <w:lang w:val="fr-CH"/>
        </w:rPr>
        <w:t>:</w:t>
      </w:r>
      <w:r w:rsidRPr="00961388">
        <w:rPr>
          <w:lang w:val="fr-CH"/>
        </w:rPr>
        <w:t xml:space="preserve"> </w:t>
      </w:r>
      <w:r w:rsidR="00961388">
        <w:rPr>
          <w:lang w:val="fr-CH"/>
        </w:rPr>
        <w:t>«</w:t>
      </w:r>
      <w:r w:rsidRPr="00961388">
        <w:rPr>
          <w:lang w:val="fr-CH"/>
        </w:rPr>
        <w:t>Ainsi était ma mère</w:t>
      </w:r>
      <w:r w:rsidR="00961388">
        <w:rPr>
          <w:lang w:val="fr-CH"/>
        </w:rPr>
        <w:t>»</w:t>
      </w:r>
      <w:r w:rsidRPr="00961388">
        <w:rPr>
          <w:lang w:val="fr-CH"/>
        </w:rPr>
        <w:t xml:space="preserve">, </w:t>
      </w:r>
      <w:r w:rsidR="00961388">
        <w:rPr>
          <w:lang w:val="fr-CH"/>
        </w:rPr>
        <w:t>«</w:t>
      </w:r>
      <w:r w:rsidRPr="00961388">
        <w:rPr>
          <w:lang w:val="fr-CH"/>
        </w:rPr>
        <w:t>Voleuses d</w:t>
      </w:r>
      <w:r w:rsidR="00961388">
        <w:rPr>
          <w:lang w:val="fr-CH"/>
        </w:rPr>
        <w:t>’</w:t>
      </w:r>
      <w:r w:rsidRPr="00961388">
        <w:rPr>
          <w:lang w:val="fr-CH"/>
        </w:rPr>
        <w:t>emploi</w:t>
      </w:r>
      <w:r w:rsidR="00961388">
        <w:rPr>
          <w:lang w:val="fr-CH"/>
        </w:rPr>
        <w:t>?</w:t>
      </w:r>
      <w:r w:rsidRPr="00961388">
        <w:rPr>
          <w:lang w:val="fr-CH"/>
        </w:rPr>
        <w:t>», mais aussi à travers des illustrations de femmes chirurgiennes ou menuisières.</w:t>
      </w:r>
    </w:p>
    <w:p w:rsidR="00570B62" w:rsidRPr="00961388" w:rsidRDefault="00570B62" w:rsidP="00F54CE5">
      <w:pPr>
        <w:pStyle w:val="SingleTxtG"/>
        <w:rPr>
          <w:lang w:val="fr-CH"/>
        </w:rPr>
      </w:pPr>
      <w:r w:rsidRPr="00961388">
        <w:rPr>
          <w:lang w:val="fr-CH"/>
        </w:rPr>
        <w:t>246.</w:t>
      </w:r>
      <w:r w:rsidRPr="00961388">
        <w:rPr>
          <w:lang w:val="fr-CH"/>
        </w:rPr>
        <w:tab/>
        <w:t>Les manuels d</w:t>
      </w:r>
      <w:r w:rsidR="00961388">
        <w:rPr>
          <w:lang w:val="fr-CH"/>
        </w:rPr>
        <w:t>’</w:t>
      </w:r>
      <w:r w:rsidRPr="00961388">
        <w:rPr>
          <w:lang w:val="fr-CH"/>
        </w:rPr>
        <w:t>anglais mettent en lumière des femmes brillantes exerçant différents métiers: enseignantes d</w:t>
      </w:r>
      <w:r w:rsidR="00961388">
        <w:rPr>
          <w:lang w:val="fr-CH"/>
        </w:rPr>
        <w:t>’</w:t>
      </w:r>
      <w:r w:rsidRPr="00961388">
        <w:rPr>
          <w:lang w:val="fr-CH"/>
        </w:rPr>
        <w:t>informatique, de maths, chef de cuisine.</w:t>
      </w:r>
    </w:p>
    <w:p w:rsidR="00570B62" w:rsidRPr="00961388" w:rsidRDefault="00570B62" w:rsidP="00F54CE5">
      <w:pPr>
        <w:pStyle w:val="SingleTxtG"/>
        <w:rPr>
          <w:lang w:val="fr-CH"/>
        </w:rPr>
      </w:pPr>
      <w:r w:rsidRPr="00961388">
        <w:rPr>
          <w:lang w:val="fr-CH"/>
        </w:rPr>
        <w:t>247.</w:t>
      </w:r>
      <w:r w:rsidRPr="00961388">
        <w:rPr>
          <w:lang w:val="fr-CH"/>
        </w:rPr>
        <w:tab/>
        <w:t xml:space="preserve">La leçon 6 du manuel de 2ème année intitulée </w:t>
      </w:r>
      <w:r w:rsidR="00961388">
        <w:rPr>
          <w:lang w:val="fr-CH"/>
        </w:rPr>
        <w:t>«</w:t>
      </w:r>
      <w:r w:rsidRPr="00961388">
        <w:rPr>
          <w:i/>
          <w:iCs/>
          <w:lang w:val="fr-CH"/>
        </w:rPr>
        <w:t>Men and Women</w:t>
      </w:r>
      <w:r w:rsidRPr="00961388">
        <w:rPr>
          <w:lang w:val="fr-CH"/>
        </w:rPr>
        <w:t>» ainsi que le texte du manuel de 3ème année secondaire évoquent l</w:t>
      </w:r>
      <w:r w:rsidR="00961388">
        <w:rPr>
          <w:lang w:val="fr-CH"/>
        </w:rPr>
        <w:t>’</w:t>
      </w:r>
      <w:r w:rsidRPr="00961388">
        <w:rPr>
          <w:lang w:val="fr-CH"/>
        </w:rPr>
        <w:t>égalité entre homme et femme dans le travail et au niveau des responsabilités.</w:t>
      </w:r>
    </w:p>
    <w:p w:rsidR="00570B62" w:rsidRPr="00961388" w:rsidRDefault="00570B62" w:rsidP="00F54CE5">
      <w:pPr>
        <w:pStyle w:val="SingleTxtG"/>
        <w:rPr>
          <w:lang w:val="fr-CH"/>
        </w:rPr>
      </w:pPr>
      <w:r w:rsidRPr="00961388">
        <w:rPr>
          <w:lang w:val="fr-CH"/>
        </w:rPr>
        <w:t>248.</w:t>
      </w:r>
      <w:r w:rsidRPr="00961388">
        <w:rPr>
          <w:lang w:val="fr-CH"/>
        </w:rPr>
        <w:tab/>
        <w:t>En transmettant des savoirs, les nouveaux programmes et manuels scolaires proposent des représentations de la société; ils dépeignent le statut et la place de la femme inculquant aux élèves les valeurs d</w:t>
      </w:r>
      <w:r w:rsidR="00961388">
        <w:rPr>
          <w:lang w:val="fr-CH"/>
        </w:rPr>
        <w:t>’</w:t>
      </w:r>
      <w:r w:rsidRPr="00961388">
        <w:rPr>
          <w:lang w:val="fr-CH"/>
        </w:rPr>
        <w:t>égalité et de tolérance.</w:t>
      </w:r>
    </w:p>
    <w:p w:rsidR="00570B62" w:rsidRPr="00961388" w:rsidRDefault="00F54CE5" w:rsidP="00F54CE5">
      <w:pPr>
        <w:pStyle w:val="H4G"/>
        <w:rPr>
          <w:lang w:val="fr-CH"/>
        </w:rPr>
      </w:pPr>
      <w:r>
        <w:rPr>
          <w:lang w:val="fr-CH"/>
        </w:rPr>
        <w:tab/>
        <w:t>2.</w:t>
      </w:r>
      <w:r>
        <w:rPr>
          <w:lang w:val="fr-CH"/>
        </w:rPr>
        <w:tab/>
      </w:r>
      <w:r w:rsidR="00570B62" w:rsidRPr="00961388">
        <w:rPr>
          <w:lang w:val="fr-CH"/>
        </w:rPr>
        <w:t xml:space="preserve">Formation professionnelle </w:t>
      </w:r>
    </w:p>
    <w:p w:rsidR="00570B62" w:rsidRPr="00961388" w:rsidRDefault="00570B62" w:rsidP="00F54CE5">
      <w:pPr>
        <w:pStyle w:val="SingleTxtG"/>
        <w:rPr>
          <w:lang w:val="fr-CH"/>
        </w:rPr>
      </w:pPr>
      <w:r w:rsidRPr="00961388">
        <w:rPr>
          <w:lang w:val="fr-CH"/>
        </w:rPr>
        <w:t>249.</w:t>
      </w:r>
      <w:r w:rsidRPr="00961388">
        <w:rPr>
          <w:lang w:val="fr-CH"/>
        </w:rPr>
        <w:tab/>
        <w:t>Le souci de maîtriser les technologies les plus évoluées et de gagner la bataille de la compétitivité ont conduit la Tunisie à s</w:t>
      </w:r>
      <w:r w:rsidR="00961388">
        <w:rPr>
          <w:lang w:val="fr-CH"/>
        </w:rPr>
        <w:t>’</w:t>
      </w:r>
      <w:r w:rsidRPr="00961388">
        <w:rPr>
          <w:lang w:val="fr-CH"/>
        </w:rPr>
        <w:t>engager dans un processus de mise à niveau intégrale de son système de formation professionnelle à travers la rénovation de son cadre législatif et réglementaire, la restructuration des établissements de formation, l</w:t>
      </w:r>
      <w:r w:rsidR="00961388">
        <w:rPr>
          <w:lang w:val="fr-CH"/>
        </w:rPr>
        <w:t>’</w:t>
      </w:r>
      <w:r w:rsidRPr="00961388">
        <w:rPr>
          <w:lang w:val="fr-CH"/>
        </w:rPr>
        <w:t>introduction de nouvelles approches pédagogiques mettant à contribution l</w:t>
      </w:r>
      <w:r w:rsidR="00961388">
        <w:rPr>
          <w:lang w:val="fr-CH"/>
        </w:rPr>
        <w:t>’</w:t>
      </w:r>
      <w:r w:rsidRPr="00961388">
        <w:rPr>
          <w:lang w:val="fr-CH"/>
        </w:rPr>
        <w:t>entreprise comme pivot autour duquel s</w:t>
      </w:r>
      <w:r w:rsidR="00961388">
        <w:rPr>
          <w:lang w:val="fr-CH"/>
        </w:rPr>
        <w:t>’</w:t>
      </w:r>
      <w:r w:rsidRPr="00961388">
        <w:rPr>
          <w:lang w:val="fr-CH"/>
        </w:rPr>
        <w:t>organise et se déploie la formation initiale, la formation en alternance, l</w:t>
      </w:r>
      <w:r w:rsidR="00961388">
        <w:rPr>
          <w:lang w:val="fr-CH"/>
        </w:rPr>
        <w:t>’</w:t>
      </w:r>
      <w:r w:rsidRPr="00961388">
        <w:rPr>
          <w:lang w:val="fr-CH"/>
        </w:rPr>
        <w:t>apprentissage et la formation continue.</w:t>
      </w:r>
    </w:p>
    <w:p w:rsidR="00570B62" w:rsidRPr="00961388" w:rsidRDefault="00570B62" w:rsidP="00F54CE5">
      <w:pPr>
        <w:pStyle w:val="SingleTxtG"/>
        <w:rPr>
          <w:lang w:val="fr-CH"/>
        </w:rPr>
      </w:pPr>
      <w:r w:rsidRPr="00961388">
        <w:rPr>
          <w:lang w:val="fr-CH"/>
        </w:rPr>
        <w:t>250.</w:t>
      </w:r>
      <w:r w:rsidRPr="00961388">
        <w:rPr>
          <w:lang w:val="fr-CH"/>
        </w:rPr>
        <w:tab/>
        <w:t>Le dispositif national de formation professionnelle continue à se développer dans une perspective économique qui concerne la contribution à un développement social et humain. Cette dernière incarne, en réponse à une politique nationale, les principes du genre et développement.</w:t>
      </w:r>
    </w:p>
    <w:p w:rsidR="00570B62" w:rsidRPr="00961388" w:rsidRDefault="00570B62" w:rsidP="00F54CE5">
      <w:pPr>
        <w:pStyle w:val="SingleTxtG"/>
        <w:rPr>
          <w:lang w:val="fr-CH"/>
        </w:rPr>
      </w:pPr>
      <w:r w:rsidRPr="00961388">
        <w:rPr>
          <w:lang w:val="fr-CH"/>
        </w:rPr>
        <w:t>251.</w:t>
      </w:r>
      <w:r w:rsidRPr="00961388">
        <w:rPr>
          <w:lang w:val="fr-CH"/>
        </w:rPr>
        <w:tab/>
        <w:t>En effet, aucune distinction discriminatoire entre les garçons et les filles tant dans les textes que dans la réalité n</w:t>
      </w:r>
      <w:r w:rsidR="00961388">
        <w:rPr>
          <w:lang w:val="fr-CH"/>
        </w:rPr>
        <w:t>’</w:t>
      </w:r>
      <w:r w:rsidRPr="00961388">
        <w:rPr>
          <w:lang w:val="fr-CH"/>
        </w:rPr>
        <w:t>existe dans le processus de réforme du système de formation, qui montre une nette mixité dans ses institutions avec en plus la consécration exclusive d</w:t>
      </w:r>
      <w:r w:rsidR="00961388">
        <w:rPr>
          <w:lang w:val="fr-CH"/>
        </w:rPr>
        <w:t>’</w:t>
      </w:r>
      <w:r w:rsidRPr="00961388">
        <w:rPr>
          <w:lang w:val="fr-CH"/>
        </w:rPr>
        <w:t>un nombre d</w:t>
      </w:r>
      <w:r w:rsidR="00961388">
        <w:rPr>
          <w:lang w:val="fr-CH"/>
        </w:rPr>
        <w:t>’</w:t>
      </w:r>
      <w:r w:rsidRPr="00961388">
        <w:rPr>
          <w:lang w:val="fr-CH"/>
        </w:rPr>
        <w:t>institutions aux jeunes filles.</w:t>
      </w:r>
    </w:p>
    <w:p w:rsidR="00570B62" w:rsidRPr="00F54CE5" w:rsidRDefault="00570B62" w:rsidP="00F54CE5">
      <w:pPr>
        <w:pStyle w:val="SingleTxtG"/>
        <w:rPr>
          <w:b/>
          <w:lang w:val="fr-CH"/>
        </w:rPr>
      </w:pPr>
      <w:r w:rsidRPr="00F54CE5">
        <w:rPr>
          <w:b/>
          <w:lang w:val="fr-CH"/>
        </w:rPr>
        <w:t xml:space="preserve">* Les ressources humaines femmes et le nouveau cadre juridique de formation </w:t>
      </w:r>
    </w:p>
    <w:p w:rsidR="00570B62" w:rsidRPr="00961388" w:rsidRDefault="00570B62" w:rsidP="00F54CE5">
      <w:pPr>
        <w:pStyle w:val="SingleTxtG"/>
        <w:rPr>
          <w:lang w:val="fr-CH"/>
        </w:rPr>
      </w:pPr>
      <w:r w:rsidRPr="00961388">
        <w:rPr>
          <w:lang w:val="fr-CH"/>
        </w:rPr>
        <w:t>252.</w:t>
      </w:r>
      <w:r w:rsidRPr="00961388">
        <w:rPr>
          <w:lang w:val="fr-CH"/>
        </w:rPr>
        <w:tab/>
        <w:t>La loi d</w:t>
      </w:r>
      <w:r w:rsidR="00961388">
        <w:rPr>
          <w:lang w:val="fr-CH"/>
        </w:rPr>
        <w:t>’</w:t>
      </w:r>
      <w:r w:rsidR="001973D8">
        <w:rPr>
          <w:lang w:val="fr-CH"/>
        </w:rPr>
        <w:t xml:space="preserve">orientation </w:t>
      </w:r>
      <w:r w:rsidR="001973D8" w:rsidRPr="001973D8">
        <w:rPr>
          <w:rFonts w:eastAsia="MS Mincho"/>
          <w:lang w:val="fr-CH"/>
        </w:rPr>
        <w:t>n</w:t>
      </w:r>
      <w:r w:rsidR="001973D8" w:rsidRPr="001973D8">
        <w:rPr>
          <w:rFonts w:eastAsia="MS Mincho"/>
          <w:vertAlign w:val="superscript"/>
          <w:lang w:val="fr-CH"/>
        </w:rPr>
        <w:t>o</w:t>
      </w:r>
      <w:r w:rsidR="001973D8">
        <w:rPr>
          <w:lang w:val="fr-CH"/>
        </w:rPr>
        <w:t xml:space="preserve"> </w:t>
      </w:r>
      <w:r w:rsidRPr="00961388">
        <w:rPr>
          <w:lang w:val="fr-CH"/>
        </w:rPr>
        <w:t>2008-10 du 11 février 2008, relative à la formation professionnelle (remplaçant la loi d</w:t>
      </w:r>
      <w:r w:rsidR="00961388">
        <w:rPr>
          <w:lang w:val="fr-CH"/>
        </w:rPr>
        <w:t>’</w:t>
      </w:r>
      <w:r w:rsidRPr="00961388">
        <w:rPr>
          <w:lang w:val="fr-CH"/>
        </w:rPr>
        <w:t>orientation de la Formation Professionnelle et de l</w:t>
      </w:r>
      <w:r w:rsidR="00961388">
        <w:rPr>
          <w:lang w:val="fr-CH"/>
        </w:rPr>
        <w:t>’</w:t>
      </w:r>
      <w:r w:rsidRPr="00961388">
        <w:rPr>
          <w:lang w:val="fr-CH"/>
        </w:rPr>
        <w:t>Emploi) a mis en place un nouveau cadre juridique et institutionnel au service des ressources humaines sans distinction des sexes.</w:t>
      </w:r>
    </w:p>
    <w:p w:rsidR="00570B62" w:rsidRPr="00961388" w:rsidRDefault="00570B62" w:rsidP="00F54CE5">
      <w:pPr>
        <w:pStyle w:val="SingleTxtG"/>
        <w:rPr>
          <w:lang w:val="fr-CH"/>
        </w:rPr>
      </w:pPr>
      <w:r w:rsidRPr="00961388">
        <w:rPr>
          <w:lang w:val="fr-CH"/>
        </w:rPr>
        <w:t>253.</w:t>
      </w:r>
      <w:r w:rsidRPr="00961388">
        <w:rPr>
          <w:lang w:val="fr-CH"/>
        </w:rPr>
        <w:tab/>
        <w:t>Cette loi dès sa promulgation en février 2008 (à l</w:t>
      </w:r>
      <w:r w:rsidR="00961388">
        <w:rPr>
          <w:lang w:val="fr-CH"/>
        </w:rPr>
        <w:t>’</w:t>
      </w:r>
      <w:r w:rsidRPr="00961388">
        <w:rPr>
          <w:lang w:val="fr-CH"/>
        </w:rPr>
        <w:t>instar de la loi du février 1993), a instauré les bases d</w:t>
      </w:r>
      <w:r w:rsidR="00961388">
        <w:rPr>
          <w:lang w:val="fr-CH"/>
        </w:rPr>
        <w:t>’</w:t>
      </w:r>
      <w:r w:rsidRPr="00961388">
        <w:rPr>
          <w:lang w:val="fr-CH"/>
        </w:rPr>
        <w:t>un nouveau système national de formation professionnelle valorisée accordant à la promotion des travailleurs hommes et femmes, à l</w:t>
      </w:r>
      <w:r w:rsidR="00961388">
        <w:rPr>
          <w:lang w:val="fr-CH"/>
        </w:rPr>
        <w:t>’</w:t>
      </w:r>
      <w:r w:rsidRPr="00961388">
        <w:rPr>
          <w:lang w:val="fr-CH"/>
        </w:rPr>
        <w:t>orientation et la formation des deux sexes, une importance majeure.</w:t>
      </w:r>
    </w:p>
    <w:p w:rsidR="00570B62" w:rsidRPr="00961388" w:rsidRDefault="00570B62" w:rsidP="00F54CE5">
      <w:pPr>
        <w:pStyle w:val="SingleTxtG"/>
        <w:rPr>
          <w:lang w:val="fr-CH"/>
        </w:rPr>
      </w:pPr>
      <w:r w:rsidRPr="00961388">
        <w:rPr>
          <w:lang w:val="fr-CH"/>
        </w:rPr>
        <w:t>254.</w:t>
      </w:r>
      <w:r w:rsidRPr="00961388">
        <w:rPr>
          <w:lang w:val="fr-CH"/>
        </w:rPr>
        <w:tab/>
        <w:t>En effet, l</w:t>
      </w:r>
      <w:r w:rsidR="00961388">
        <w:rPr>
          <w:lang w:val="fr-CH"/>
        </w:rPr>
        <w:t>’</w:t>
      </w:r>
      <w:r w:rsidRPr="00961388">
        <w:rPr>
          <w:lang w:val="fr-CH"/>
        </w:rPr>
        <w:t>article 3 de cette loi dispose que la formation professionnelle est fondée, dans ses contenus et dans son organisation, sur le principe d</w:t>
      </w:r>
      <w:r w:rsidR="00961388">
        <w:rPr>
          <w:lang w:val="fr-CH"/>
        </w:rPr>
        <w:t>’</w:t>
      </w:r>
      <w:r w:rsidRPr="00961388">
        <w:rPr>
          <w:lang w:val="fr-CH"/>
        </w:rPr>
        <w:t>égalité des chances entre tous les demandeurs de formation, en veillant au respect des dispositions de la législation en vigueur concernant les personnes handicapées.</w:t>
      </w:r>
    </w:p>
    <w:p w:rsidR="00570B62" w:rsidRPr="00961388" w:rsidRDefault="00570B62" w:rsidP="00F54CE5">
      <w:pPr>
        <w:pStyle w:val="SingleTxtG"/>
        <w:rPr>
          <w:lang w:val="fr-CH"/>
        </w:rPr>
      </w:pPr>
      <w:r w:rsidRPr="00961388">
        <w:rPr>
          <w:lang w:val="fr-CH"/>
        </w:rPr>
        <w:t>255.</w:t>
      </w:r>
      <w:r w:rsidRPr="00961388">
        <w:rPr>
          <w:lang w:val="fr-CH"/>
        </w:rPr>
        <w:tab/>
        <w:t>L</w:t>
      </w:r>
      <w:r w:rsidR="00961388">
        <w:rPr>
          <w:lang w:val="fr-CH"/>
        </w:rPr>
        <w:t>’</w:t>
      </w:r>
      <w:r w:rsidRPr="00961388">
        <w:rPr>
          <w:lang w:val="fr-CH"/>
        </w:rPr>
        <w:t>article 1</w:t>
      </w:r>
      <w:r w:rsidRPr="00E74CB3">
        <w:rPr>
          <w:vertAlign w:val="superscript"/>
          <w:lang w:val="fr-CH"/>
        </w:rPr>
        <w:t>er</w:t>
      </w:r>
      <w:r w:rsidRPr="00961388">
        <w:rPr>
          <w:lang w:val="fr-CH"/>
        </w:rPr>
        <w:t xml:space="preserve"> de cette loi dispose que la formation professionnelle est l</w:t>
      </w:r>
      <w:r w:rsidR="00961388">
        <w:rPr>
          <w:lang w:val="fr-CH"/>
        </w:rPr>
        <w:t>’</w:t>
      </w:r>
      <w:r w:rsidRPr="00961388">
        <w:rPr>
          <w:lang w:val="fr-CH"/>
        </w:rPr>
        <w:t>une des composantes du dispositif national de préparation des ressources humaines et l</w:t>
      </w:r>
      <w:r w:rsidR="00961388">
        <w:rPr>
          <w:lang w:val="fr-CH"/>
        </w:rPr>
        <w:t>’</w:t>
      </w:r>
      <w:r w:rsidRPr="00961388">
        <w:rPr>
          <w:lang w:val="fr-CH"/>
        </w:rPr>
        <w:t>un des principaux leviers du développement. La formation professionnelle a pour but, en complémentarité et en synergie avec les secteurs de l</w:t>
      </w:r>
      <w:r w:rsidR="00961388">
        <w:rPr>
          <w:lang w:val="fr-CH"/>
        </w:rPr>
        <w:t>’</w:t>
      </w:r>
      <w:r w:rsidRPr="00961388">
        <w:rPr>
          <w:lang w:val="fr-CH"/>
        </w:rPr>
        <w:t>éducation, de l</w:t>
      </w:r>
      <w:r w:rsidR="00961388">
        <w:rPr>
          <w:lang w:val="fr-CH"/>
        </w:rPr>
        <w:t>’</w:t>
      </w:r>
      <w:r w:rsidRPr="00961388">
        <w:rPr>
          <w:lang w:val="fr-CH"/>
        </w:rPr>
        <w:t>enseignement supérieur et de l</w:t>
      </w:r>
      <w:r w:rsidR="00961388">
        <w:rPr>
          <w:lang w:val="fr-CH"/>
        </w:rPr>
        <w:t>’</w:t>
      </w:r>
      <w:r w:rsidRPr="00961388">
        <w:rPr>
          <w:lang w:val="fr-CH"/>
        </w:rPr>
        <w:t>emploi, de qualifier les demandeurs de formation sur les plans professionnel, social et culturel</w:t>
      </w:r>
      <w:r w:rsidR="00961388">
        <w:rPr>
          <w:lang w:val="fr-CH"/>
        </w:rPr>
        <w:t>;</w:t>
      </w:r>
      <w:r w:rsidRPr="00961388">
        <w:rPr>
          <w:lang w:val="fr-CH"/>
        </w:rPr>
        <w:t xml:space="preserve"> de développer les capacités professionnelles des travailleurs et de doter l</w:t>
      </w:r>
      <w:r w:rsidR="00961388">
        <w:rPr>
          <w:lang w:val="fr-CH"/>
        </w:rPr>
        <w:t>’</w:t>
      </w:r>
      <w:r w:rsidRPr="00961388">
        <w:rPr>
          <w:lang w:val="fr-CH"/>
        </w:rPr>
        <w:t>entreprise des moyens d</w:t>
      </w:r>
      <w:r w:rsidR="00961388">
        <w:rPr>
          <w:lang w:val="fr-CH"/>
        </w:rPr>
        <w:t>’</w:t>
      </w:r>
      <w:r w:rsidRPr="00961388">
        <w:rPr>
          <w:lang w:val="fr-CH"/>
        </w:rPr>
        <w:t>améliorer sa productivité et d</w:t>
      </w:r>
      <w:r w:rsidR="00961388">
        <w:rPr>
          <w:lang w:val="fr-CH"/>
        </w:rPr>
        <w:t>’</w:t>
      </w:r>
      <w:r w:rsidRPr="00961388">
        <w:rPr>
          <w:lang w:val="fr-CH"/>
        </w:rPr>
        <w:t xml:space="preserve">accroître sa compétitivité. Il est entendu, que le mot </w:t>
      </w:r>
      <w:r w:rsidR="00961388">
        <w:rPr>
          <w:lang w:val="fr-CH"/>
        </w:rPr>
        <w:t>«</w:t>
      </w:r>
      <w:r w:rsidRPr="00961388">
        <w:rPr>
          <w:lang w:val="fr-CH"/>
        </w:rPr>
        <w:t xml:space="preserve">travailleur» englobe aussi bien les femmes que les hommes </w:t>
      </w:r>
    </w:p>
    <w:p w:rsidR="00F54CE5" w:rsidRDefault="00570B62" w:rsidP="00F54CE5">
      <w:pPr>
        <w:pStyle w:val="SingleTxtG"/>
        <w:rPr>
          <w:lang w:val="fr-CH"/>
        </w:rPr>
      </w:pPr>
      <w:r w:rsidRPr="00961388">
        <w:rPr>
          <w:lang w:val="fr-CH"/>
        </w:rPr>
        <w:t>256.</w:t>
      </w:r>
      <w:r w:rsidRPr="00961388">
        <w:rPr>
          <w:lang w:val="fr-CH"/>
        </w:rPr>
        <w:tab/>
        <w:t>L</w:t>
      </w:r>
      <w:r w:rsidR="00961388">
        <w:rPr>
          <w:lang w:val="fr-CH"/>
        </w:rPr>
        <w:t>’</w:t>
      </w:r>
      <w:r w:rsidRPr="00961388">
        <w:rPr>
          <w:lang w:val="fr-CH"/>
        </w:rPr>
        <w:t>article 2 de cette loi ajoute que la formation contribue notamment</w:t>
      </w:r>
      <w:r w:rsidR="00961388">
        <w:rPr>
          <w:lang w:val="fr-CH"/>
        </w:rPr>
        <w:t>:</w:t>
      </w:r>
    </w:p>
    <w:p w:rsidR="00F54CE5" w:rsidRDefault="00570B62" w:rsidP="00F54CE5">
      <w:pPr>
        <w:pStyle w:val="Bullet1G"/>
        <w:rPr>
          <w:lang w:val="fr-CH"/>
        </w:rPr>
      </w:pPr>
      <w:r w:rsidRPr="00961388">
        <w:rPr>
          <w:lang w:val="fr-CH"/>
        </w:rPr>
        <w:t>À la satisfaction des besoins de l</w:t>
      </w:r>
      <w:r w:rsidR="00961388">
        <w:rPr>
          <w:lang w:val="fr-CH"/>
        </w:rPr>
        <w:t>’</w:t>
      </w:r>
      <w:r w:rsidRPr="00961388">
        <w:rPr>
          <w:lang w:val="fr-CH"/>
        </w:rPr>
        <w:t xml:space="preserve">économie en qualifications pour les différents emplois; </w:t>
      </w:r>
    </w:p>
    <w:p w:rsidR="00F54CE5" w:rsidRDefault="00570B62" w:rsidP="00F54CE5">
      <w:pPr>
        <w:pStyle w:val="Bullet1G"/>
        <w:rPr>
          <w:lang w:val="fr-CH"/>
        </w:rPr>
      </w:pPr>
      <w:r w:rsidRPr="00961388">
        <w:rPr>
          <w:lang w:val="fr-CH"/>
        </w:rPr>
        <w:t>À la promotion du travail comme valeur</w:t>
      </w:r>
      <w:r w:rsidR="00961388">
        <w:rPr>
          <w:lang w:val="fr-CH"/>
        </w:rPr>
        <w:t>;</w:t>
      </w:r>
      <w:r w:rsidRPr="00961388">
        <w:rPr>
          <w:lang w:val="fr-CH"/>
        </w:rPr>
        <w:t xml:space="preserve"> </w:t>
      </w:r>
    </w:p>
    <w:p w:rsidR="00F54CE5" w:rsidRDefault="00570B62" w:rsidP="00F54CE5">
      <w:pPr>
        <w:pStyle w:val="Bullet1G"/>
        <w:rPr>
          <w:lang w:val="fr-CH"/>
        </w:rPr>
      </w:pPr>
      <w:r w:rsidRPr="00961388">
        <w:rPr>
          <w:lang w:val="fr-CH"/>
        </w:rPr>
        <w:t>Au développement de la culture de l</w:t>
      </w:r>
      <w:r w:rsidR="00961388">
        <w:rPr>
          <w:lang w:val="fr-CH"/>
        </w:rPr>
        <w:t>’</w:t>
      </w:r>
      <w:r w:rsidRPr="00961388">
        <w:rPr>
          <w:lang w:val="fr-CH"/>
        </w:rPr>
        <w:t>entreprise et de l</w:t>
      </w:r>
      <w:r w:rsidR="00961388">
        <w:rPr>
          <w:lang w:val="fr-CH"/>
        </w:rPr>
        <w:t>’</w:t>
      </w:r>
      <w:r w:rsidRPr="00961388">
        <w:rPr>
          <w:lang w:val="fr-CH"/>
        </w:rPr>
        <w:t>esprit d</w:t>
      </w:r>
      <w:r w:rsidR="00961388">
        <w:rPr>
          <w:lang w:val="fr-CH"/>
        </w:rPr>
        <w:t>’</w:t>
      </w:r>
      <w:r w:rsidRPr="00961388">
        <w:rPr>
          <w:lang w:val="fr-CH"/>
        </w:rPr>
        <w:t>initiative et de créativité chez les jeunes</w:t>
      </w:r>
      <w:r w:rsidR="00961388">
        <w:rPr>
          <w:lang w:val="fr-CH"/>
        </w:rPr>
        <w:t>;</w:t>
      </w:r>
      <w:r w:rsidRPr="00961388">
        <w:rPr>
          <w:lang w:val="fr-CH"/>
        </w:rPr>
        <w:t xml:space="preserve"> </w:t>
      </w:r>
    </w:p>
    <w:p w:rsidR="00F54CE5" w:rsidRDefault="00570B62" w:rsidP="00F54CE5">
      <w:pPr>
        <w:pStyle w:val="Bullet1G"/>
        <w:rPr>
          <w:lang w:val="fr-CH"/>
        </w:rPr>
      </w:pPr>
      <w:r w:rsidRPr="00961388">
        <w:rPr>
          <w:lang w:val="fr-CH"/>
        </w:rPr>
        <w:t>À la diffusion d</w:t>
      </w:r>
      <w:r w:rsidR="00961388">
        <w:rPr>
          <w:lang w:val="fr-CH"/>
        </w:rPr>
        <w:t>’</w:t>
      </w:r>
      <w:r w:rsidRPr="00961388">
        <w:rPr>
          <w:lang w:val="fr-CH"/>
        </w:rPr>
        <w:t>une culture technologique et technique en phase avec l</w:t>
      </w:r>
      <w:r w:rsidR="00961388">
        <w:rPr>
          <w:lang w:val="fr-CH"/>
        </w:rPr>
        <w:t>’</w:t>
      </w:r>
      <w:r w:rsidRPr="00961388">
        <w:rPr>
          <w:lang w:val="fr-CH"/>
        </w:rPr>
        <w:t>évolution des systèmes de production et de travail, contribuant ainsi à l</w:t>
      </w:r>
      <w:r w:rsidR="00961388">
        <w:rPr>
          <w:lang w:val="fr-CH"/>
        </w:rPr>
        <w:t>’</w:t>
      </w:r>
      <w:r w:rsidRPr="00961388">
        <w:rPr>
          <w:lang w:val="fr-CH"/>
        </w:rPr>
        <w:t>innovation et à la modernisation</w:t>
      </w:r>
      <w:r w:rsidR="00961388">
        <w:rPr>
          <w:lang w:val="fr-CH"/>
        </w:rPr>
        <w:t>;</w:t>
      </w:r>
      <w:r w:rsidRPr="00961388">
        <w:rPr>
          <w:lang w:val="fr-CH"/>
        </w:rPr>
        <w:t xml:space="preserve"> </w:t>
      </w:r>
    </w:p>
    <w:p w:rsidR="00570B62" w:rsidRPr="00961388" w:rsidRDefault="00570B62" w:rsidP="00F54CE5">
      <w:pPr>
        <w:pStyle w:val="Bullet1G"/>
        <w:rPr>
          <w:lang w:val="fr-CH"/>
        </w:rPr>
      </w:pPr>
      <w:r w:rsidRPr="00961388">
        <w:rPr>
          <w:lang w:val="fr-CH"/>
        </w:rPr>
        <w:t xml:space="preserve">À la préparation aux métiers du futur et aux nouveaux modes de travail. </w:t>
      </w:r>
    </w:p>
    <w:p w:rsidR="00570B62" w:rsidRPr="00961388" w:rsidRDefault="0042507D" w:rsidP="0042507D">
      <w:pPr>
        <w:pStyle w:val="SingleTxtG"/>
        <w:rPr>
          <w:rtl/>
          <w:lang w:val="fr-CH" w:bidi="ar-TN"/>
        </w:rPr>
      </w:pPr>
      <w:r>
        <w:rPr>
          <w:lang w:val="fr-CH"/>
        </w:rPr>
        <w:t>257.</w:t>
      </w:r>
      <w:r>
        <w:rPr>
          <w:lang w:val="fr-CH"/>
        </w:rPr>
        <w:tab/>
      </w:r>
      <w:r w:rsidR="00570B62" w:rsidRPr="00961388">
        <w:rPr>
          <w:lang w:val="fr-CH"/>
        </w:rPr>
        <w:t>La formation professionnelle a aussi pour but, en tant que composante du dispositif national de développement des ressources humaines, d</w:t>
      </w:r>
      <w:r w:rsidR="00961388">
        <w:rPr>
          <w:lang w:val="fr-CH"/>
        </w:rPr>
        <w:t>’</w:t>
      </w:r>
      <w:r w:rsidR="00570B62" w:rsidRPr="00961388">
        <w:rPr>
          <w:lang w:val="fr-CH"/>
        </w:rPr>
        <w:t>affermir chez les apprenants la fierté d</w:t>
      </w:r>
      <w:r w:rsidR="00961388">
        <w:rPr>
          <w:lang w:val="fr-CH"/>
        </w:rPr>
        <w:t>’</w:t>
      </w:r>
      <w:r w:rsidR="00570B62" w:rsidRPr="00961388">
        <w:rPr>
          <w:lang w:val="fr-CH"/>
        </w:rPr>
        <w:t>appartenir à la Tunisie et la loyauté à son égard</w:t>
      </w:r>
      <w:r w:rsidR="00961388">
        <w:rPr>
          <w:lang w:val="fr-CH"/>
        </w:rPr>
        <w:t>;</w:t>
      </w:r>
      <w:r w:rsidR="00570B62" w:rsidRPr="00961388">
        <w:rPr>
          <w:lang w:val="fr-CH"/>
        </w:rPr>
        <w:t xml:space="preserve"> d</w:t>
      </w:r>
      <w:r w:rsidR="00961388">
        <w:rPr>
          <w:lang w:val="fr-CH"/>
        </w:rPr>
        <w:t>’</w:t>
      </w:r>
      <w:r w:rsidR="00570B62" w:rsidRPr="00961388">
        <w:rPr>
          <w:lang w:val="fr-CH"/>
        </w:rPr>
        <w:t>enraciner l</w:t>
      </w:r>
      <w:r w:rsidR="00961388">
        <w:rPr>
          <w:lang w:val="fr-CH"/>
        </w:rPr>
        <w:t>’</w:t>
      </w:r>
      <w:r w:rsidR="00570B62" w:rsidRPr="00961388">
        <w:rPr>
          <w:lang w:val="fr-CH"/>
        </w:rPr>
        <w:t>amour de la patrie et la conscience de l</w:t>
      </w:r>
      <w:r w:rsidR="00961388">
        <w:rPr>
          <w:lang w:val="fr-CH"/>
        </w:rPr>
        <w:t>’</w:t>
      </w:r>
      <w:r w:rsidR="00570B62" w:rsidRPr="00961388">
        <w:rPr>
          <w:lang w:val="fr-CH"/>
        </w:rPr>
        <w:t xml:space="preserve">identité nationale, et de renforcer leur ouverture sur la civilisation humaine. </w:t>
      </w:r>
    </w:p>
    <w:p w:rsidR="00570B62" w:rsidRPr="0042507D" w:rsidRDefault="00570B62" w:rsidP="0042507D">
      <w:pPr>
        <w:pStyle w:val="SingleTxtG"/>
        <w:rPr>
          <w:b/>
          <w:lang w:val="fr-CH"/>
        </w:rPr>
      </w:pPr>
      <w:r w:rsidRPr="0042507D">
        <w:rPr>
          <w:b/>
          <w:lang w:val="fr-CH"/>
        </w:rPr>
        <w:t>*</w:t>
      </w:r>
      <w:r w:rsidR="0042507D">
        <w:rPr>
          <w:b/>
          <w:lang w:val="fr-CH"/>
        </w:rPr>
        <w:t xml:space="preserve"> </w:t>
      </w:r>
      <w:r w:rsidRPr="0042507D">
        <w:rPr>
          <w:b/>
          <w:lang w:val="fr-CH"/>
        </w:rPr>
        <w:t>La Formation et ses différents opérateurs</w:t>
      </w:r>
    </w:p>
    <w:p w:rsidR="00570B62" w:rsidRPr="00961388" w:rsidRDefault="00570B62" w:rsidP="0042507D">
      <w:pPr>
        <w:pStyle w:val="SingleTxtG"/>
        <w:rPr>
          <w:lang w:val="fr-CH"/>
        </w:rPr>
      </w:pPr>
      <w:r w:rsidRPr="00961388">
        <w:rPr>
          <w:lang w:val="fr-CH"/>
        </w:rPr>
        <w:t>258.</w:t>
      </w:r>
      <w:r w:rsidRPr="00961388">
        <w:rPr>
          <w:lang w:val="fr-CH"/>
        </w:rPr>
        <w:tab/>
        <w:t>Différents opérateurs continuent à intervenir dans le domaine de la formation professionnelle.</w:t>
      </w:r>
    </w:p>
    <w:p w:rsidR="00570B62" w:rsidRPr="00FC7BA3" w:rsidRDefault="00570B62" w:rsidP="00FC7BA3">
      <w:pPr>
        <w:pStyle w:val="SingleTxtG"/>
        <w:rPr>
          <w:b/>
          <w:lang w:val="fr-CH"/>
        </w:rPr>
      </w:pPr>
      <w:r w:rsidRPr="00961388">
        <w:rPr>
          <w:lang w:val="fr-CH"/>
        </w:rPr>
        <w:t>259.</w:t>
      </w:r>
      <w:r w:rsidRPr="00961388">
        <w:rPr>
          <w:lang w:val="fr-CH"/>
        </w:rPr>
        <w:tab/>
      </w:r>
      <w:r w:rsidRPr="0042507D">
        <w:rPr>
          <w:b/>
          <w:lang w:val="fr-CH"/>
        </w:rPr>
        <w:t>Le secteur public</w:t>
      </w:r>
      <w:r w:rsidR="00961388" w:rsidRPr="0042507D">
        <w:rPr>
          <w:b/>
          <w:lang w:val="fr-CH"/>
        </w:rPr>
        <w:t>:</w:t>
      </w:r>
      <w:r w:rsidRPr="0042507D">
        <w:rPr>
          <w:b/>
          <w:lang w:val="fr-CH"/>
        </w:rPr>
        <w:t xml:space="preserve"> </w:t>
      </w:r>
      <w:r w:rsidRPr="00961388">
        <w:rPr>
          <w:lang w:val="fr-CH"/>
        </w:rPr>
        <w:t>L</w:t>
      </w:r>
      <w:r w:rsidR="00961388">
        <w:rPr>
          <w:lang w:val="fr-CH"/>
        </w:rPr>
        <w:t>’</w:t>
      </w:r>
      <w:r w:rsidRPr="00961388">
        <w:rPr>
          <w:lang w:val="fr-CH"/>
        </w:rPr>
        <w:t>organisation du secteur, l</w:t>
      </w:r>
      <w:r w:rsidR="00961388">
        <w:rPr>
          <w:lang w:val="fr-CH"/>
        </w:rPr>
        <w:t>’</w:t>
      </w:r>
      <w:r w:rsidRPr="00961388">
        <w:rPr>
          <w:lang w:val="fr-CH"/>
        </w:rPr>
        <w:t>évaluation de son rendement, la conception et la mise en œuvre des politiques de promotion de la formation et la coordination entre les différents opérateurs publics et privés sont exercées par le ministère de la formation professionnelle et de l</w:t>
      </w:r>
      <w:r w:rsidR="00961388">
        <w:rPr>
          <w:lang w:val="fr-CH"/>
        </w:rPr>
        <w:t>’</w:t>
      </w:r>
      <w:r w:rsidRPr="00961388">
        <w:rPr>
          <w:lang w:val="fr-CH"/>
        </w:rPr>
        <w:t>emploi.</w:t>
      </w:r>
    </w:p>
    <w:p w:rsidR="00570B62" w:rsidRPr="00961388" w:rsidRDefault="00570B62" w:rsidP="0042507D">
      <w:pPr>
        <w:pStyle w:val="SingleTxtG"/>
        <w:rPr>
          <w:lang w:val="fr-CH"/>
        </w:rPr>
      </w:pPr>
      <w:r w:rsidRPr="00961388">
        <w:rPr>
          <w:lang w:val="fr-CH"/>
        </w:rPr>
        <w:t>260.</w:t>
      </w:r>
      <w:r w:rsidRPr="00961388">
        <w:rPr>
          <w:lang w:val="fr-CH"/>
        </w:rPr>
        <w:tab/>
        <w:t>Le dispositif national de formation ne fait aucune distinction discriminatoire entre les garçons et les filles, il comprend plus de 1300 établissements de formation.</w:t>
      </w:r>
    </w:p>
    <w:p w:rsidR="00570B62" w:rsidRPr="0042507D" w:rsidRDefault="00570B62" w:rsidP="00C8422B">
      <w:pPr>
        <w:pStyle w:val="SingleTxtG"/>
        <w:spacing w:after="240"/>
        <w:rPr>
          <w:b/>
          <w:lang w:val="fr-CH"/>
        </w:rPr>
      </w:pPr>
      <w:r w:rsidRPr="00961388">
        <w:rPr>
          <w:lang w:val="fr-CH"/>
        </w:rPr>
        <w:t>261.</w:t>
      </w:r>
      <w:r w:rsidRPr="00961388">
        <w:rPr>
          <w:lang w:val="fr-CH"/>
        </w:rPr>
        <w:tab/>
      </w:r>
      <w:r w:rsidRPr="0042507D">
        <w:rPr>
          <w:b/>
          <w:lang w:val="fr-CH"/>
        </w:rPr>
        <w:t>Le tableau ci-après présente la répartition des institutions de formation professionnelle par opérateur</w:t>
      </w:r>
      <w:r w:rsidR="00961388" w:rsidRPr="0042507D">
        <w:rPr>
          <w:b/>
          <w:lang w:val="fr-CH"/>
        </w:rPr>
        <w:t>:</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1466"/>
        <w:gridCol w:w="2700"/>
        <w:gridCol w:w="1602"/>
        <w:gridCol w:w="1602"/>
      </w:tblGrid>
      <w:tr w:rsidR="00A129A0" w:rsidRPr="00A129A0" w:rsidTr="000316AC">
        <w:trPr>
          <w:cantSplit/>
          <w:tblHeader/>
        </w:trPr>
        <w:tc>
          <w:tcPr>
            <w:tcW w:w="1466" w:type="dxa"/>
            <w:vMerge w:val="restart"/>
            <w:tcBorders>
              <w:top w:val="single" w:sz="4" w:space="0" w:color="auto"/>
              <w:bottom w:val="single" w:sz="12" w:space="0" w:color="auto"/>
            </w:tcBorders>
            <w:shd w:val="clear" w:color="000000" w:fill="auto"/>
            <w:vAlign w:val="bottom"/>
          </w:tcPr>
          <w:p w:rsidR="00570B62" w:rsidRPr="00A129A0" w:rsidRDefault="00570B62" w:rsidP="00A129A0">
            <w:pPr>
              <w:suppressAutoHyphens w:val="0"/>
              <w:spacing w:before="80" w:after="80" w:line="200" w:lineRule="exact"/>
              <w:ind w:right="113"/>
              <w:rPr>
                <w:bCs/>
                <w:i/>
                <w:iCs/>
                <w:sz w:val="16"/>
                <w:lang w:val="fr-CH"/>
              </w:rPr>
            </w:pPr>
            <w:r w:rsidRPr="00A129A0">
              <w:rPr>
                <w:bCs/>
                <w:i/>
                <w:iCs/>
                <w:sz w:val="16"/>
                <w:lang w:val="fr-CH"/>
              </w:rPr>
              <w:t>Secteur</w:t>
            </w:r>
          </w:p>
        </w:tc>
        <w:tc>
          <w:tcPr>
            <w:tcW w:w="2700" w:type="dxa"/>
            <w:vMerge w:val="restart"/>
            <w:tcBorders>
              <w:top w:val="single" w:sz="4" w:space="0" w:color="auto"/>
              <w:bottom w:val="single" w:sz="12" w:space="0" w:color="auto"/>
            </w:tcBorders>
            <w:shd w:val="clear" w:color="000000" w:fill="auto"/>
            <w:vAlign w:val="bottom"/>
          </w:tcPr>
          <w:p w:rsidR="00570B62" w:rsidRPr="00A129A0" w:rsidRDefault="00570B62" w:rsidP="00B2542A">
            <w:pPr>
              <w:suppressAutoHyphens w:val="0"/>
              <w:spacing w:before="80" w:after="80" w:line="200" w:lineRule="exact"/>
              <w:ind w:right="113"/>
              <w:rPr>
                <w:bCs/>
                <w:i/>
                <w:iCs/>
                <w:sz w:val="16"/>
                <w:lang w:val="fr-CH"/>
              </w:rPr>
            </w:pPr>
            <w:r w:rsidRPr="00A129A0">
              <w:rPr>
                <w:bCs/>
                <w:i/>
                <w:iCs/>
                <w:sz w:val="16"/>
                <w:lang w:val="fr-CH"/>
              </w:rPr>
              <w:t>Opérateur</w:t>
            </w:r>
          </w:p>
        </w:tc>
        <w:tc>
          <w:tcPr>
            <w:tcW w:w="3204" w:type="dxa"/>
            <w:gridSpan w:val="2"/>
            <w:tcBorders>
              <w:top w:val="single" w:sz="4" w:space="0" w:color="auto"/>
              <w:bottom w:val="single" w:sz="4" w:space="0" w:color="auto"/>
            </w:tcBorders>
            <w:shd w:val="clear" w:color="000000" w:fill="auto"/>
            <w:vAlign w:val="bottom"/>
          </w:tcPr>
          <w:p w:rsidR="00570B62" w:rsidRPr="00B2542A" w:rsidRDefault="00570B62" w:rsidP="00B2542A">
            <w:pPr>
              <w:spacing w:before="80" w:after="80" w:line="200" w:lineRule="exact"/>
              <w:jc w:val="center"/>
              <w:rPr>
                <w:bCs/>
                <w:i/>
                <w:iCs/>
                <w:sz w:val="16"/>
                <w:lang w:val="fr-CH"/>
              </w:rPr>
            </w:pPr>
            <w:r w:rsidRPr="00B2542A">
              <w:rPr>
                <w:i/>
                <w:sz w:val="16"/>
                <w:lang w:val="fr-CH"/>
              </w:rPr>
              <w:t>Nombre d</w:t>
            </w:r>
            <w:r w:rsidR="00961388" w:rsidRPr="00B2542A">
              <w:rPr>
                <w:i/>
                <w:sz w:val="16"/>
                <w:lang w:val="fr-CH"/>
              </w:rPr>
              <w:t>’</w:t>
            </w:r>
            <w:r w:rsidRPr="00B2542A">
              <w:rPr>
                <w:i/>
                <w:sz w:val="16"/>
                <w:lang w:val="fr-CH"/>
              </w:rPr>
              <w:t>institutions en 2009</w:t>
            </w:r>
          </w:p>
        </w:tc>
      </w:tr>
      <w:tr w:rsidR="00B2542A" w:rsidRPr="00A129A0" w:rsidTr="000316AC">
        <w:trPr>
          <w:cantSplit/>
          <w:tblHeader/>
        </w:trPr>
        <w:tc>
          <w:tcPr>
            <w:tcW w:w="1466" w:type="dxa"/>
            <w:vMerge/>
            <w:tcBorders>
              <w:top w:val="single" w:sz="12" w:space="0" w:color="auto"/>
              <w:bottom w:val="single" w:sz="12" w:space="0" w:color="auto"/>
            </w:tcBorders>
            <w:shd w:val="clear" w:color="000000" w:fill="auto"/>
            <w:vAlign w:val="bottom"/>
          </w:tcPr>
          <w:p w:rsidR="00570B62" w:rsidRPr="00A129A0" w:rsidRDefault="00570B62" w:rsidP="00A129A0">
            <w:pPr>
              <w:suppressAutoHyphens w:val="0"/>
              <w:spacing w:before="40" w:after="40" w:line="220" w:lineRule="exact"/>
              <w:ind w:right="113"/>
              <w:rPr>
                <w:b/>
                <w:bCs/>
                <w:i/>
                <w:iCs/>
                <w:sz w:val="18"/>
                <w:lang w:val="fr-CH"/>
              </w:rPr>
            </w:pPr>
          </w:p>
        </w:tc>
        <w:tc>
          <w:tcPr>
            <w:tcW w:w="2700" w:type="dxa"/>
            <w:vMerge/>
            <w:tcBorders>
              <w:top w:val="single" w:sz="12" w:space="0" w:color="auto"/>
              <w:bottom w:val="single" w:sz="12" w:space="0" w:color="auto"/>
            </w:tcBorders>
            <w:shd w:val="clear" w:color="000000" w:fill="auto"/>
            <w:vAlign w:val="bottom"/>
          </w:tcPr>
          <w:p w:rsidR="00570B62" w:rsidRPr="00A129A0" w:rsidRDefault="00570B62" w:rsidP="00A129A0">
            <w:pPr>
              <w:suppressAutoHyphens w:val="0"/>
              <w:spacing w:before="40" w:after="40" w:line="220" w:lineRule="exact"/>
              <w:ind w:right="113"/>
              <w:jc w:val="right"/>
              <w:rPr>
                <w:i/>
                <w:iCs/>
                <w:sz w:val="18"/>
                <w:lang w:val="fr-CH"/>
              </w:rPr>
            </w:pPr>
          </w:p>
        </w:tc>
        <w:tc>
          <w:tcPr>
            <w:tcW w:w="1602" w:type="dxa"/>
            <w:tcBorders>
              <w:top w:val="single" w:sz="4" w:space="0" w:color="auto"/>
              <w:bottom w:val="single" w:sz="12" w:space="0" w:color="auto"/>
            </w:tcBorders>
            <w:shd w:val="clear" w:color="000000" w:fill="auto"/>
            <w:vAlign w:val="bottom"/>
          </w:tcPr>
          <w:p w:rsidR="00570B62" w:rsidRPr="00B2542A" w:rsidRDefault="00570B62" w:rsidP="00B2542A">
            <w:pPr>
              <w:spacing w:before="80" w:after="80" w:line="200" w:lineRule="exact"/>
              <w:jc w:val="right"/>
              <w:rPr>
                <w:i/>
                <w:sz w:val="16"/>
                <w:lang w:val="fr-CH"/>
              </w:rPr>
            </w:pPr>
            <w:r w:rsidRPr="00B2542A">
              <w:rPr>
                <w:i/>
                <w:sz w:val="16"/>
                <w:lang w:val="fr-CH"/>
              </w:rPr>
              <w:t>Nombre d</w:t>
            </w:r>
            <w:r w:rsidR="00961388" w:rsidRPr="00B2542A">
              <w:rPr>
                <w:i/>
                <w:sz w:val="16"/>
                <w:lang w:val="fr-CH"/>
              </w:rPr>
              <w:t>’</w:t>
            </w:r>
            <w:r w:rsidRPr="00B2542A">
              <w:rPr>
                <w:i/>
                <w:sz w:val="16"/>
                <w:lang w:val="fr-CH"/>
              </w:rPr>
              <w:t>établissements de formation</w:t>
            </w:r>
          </w:p>
        </w:tc>
        <w:tc>
          <w:tcPr>
            <w:tcW w:w="1602" w:type="dxa"/>
            <w:tcBorders>
              <w:top w:val="single" w:sz="4" w:space="0" w:color="auto"/>
              <w:bottom w:val="single" w:sz="12" w:space="0" w:color="auto"/>
            </w:tcBorders>
            <w:shd w:val="clear" w:color="000000" w:fill="auto"/>
            <w:vAlign w:val="bottom"/>
          </w:tcPr>
          <w:p w:rsidR="00570B62" w:rsidRPr="00B2542A" w:rsidRDefault="00570B62" w:rsidP="00B2542A">
            <w:pPr>
              <w:spacing w:before="80" w:after="80" w:line="200" w:lineRule="exact"/>
              <w:jc w:val="right"/>
              <w:rPr>
                <w:i/>
                <w:sz w:val="16"/>
                <w:lang w:val="fr-CH"/>
              </w:rPr>
            </w:pPr>
            <w:r w:rsidRPr="00B2542A">
              <w:rPr>
                <w:i/>
                <w:sz w:val="16"/>
                <w:lang w:val="fr-CH"/>
              </w:rPr>
              <w:t>Dont établissements exclusivement féminins</w:t>
            </w:r>
          </w:p>
        </w:tc>
      </w:tr>
      <w:tr w:rsidR="00A129A0" w:rsidRPr="00A129A0" w:rsidTr="000316AC">
        <w:tc>
          <w:tcPr>
            <w:tcW w:w="1466" w:type="dxa"/>
            <w:tcBorders>
              <w:top w:val="single" w:sz="12" w:space="0" w:color="auto"/>
            </w:tcBorders>
            <w:shd w:val="clear" w:color="000000" w:fill="auto"/>
          </w:tcPr>
          <w:p w:rsidR="00570B62" w:rsidRPr="00B2542A" w:rsidRDefault="00570B62" w:rsidP="00B2542A">
            <w:pPr>
              <w:spacing w:before="40" w:after="40" w:line="220" w:lineRule="exact"/>
              <w:rPr>
                <w:sz w:val="18"/>
                <w:lang w:val="fr-CH"/>
              </w:rPr>
            </w:pPr>
            <w:r w:rsidRPr="00B2542A">
              <w:rPr>
                <w:sz w:val="18"/>
                <w:lang w:val="fr-CH"/>
              </w:rPr>
              <w:t>Secteur public</w:t>
            </w:r>
          </w:p>
        </w:tc>
        <w:tc>
          <w:tcPr>
            <w:tcW w:w="2700" w:type="dxa"/>
            <w:tcBorders>
              <w:top w:val="single" w:sz="12" w:space="0" w:color="auto"/>
            </w:tcBorders>
            <w:shd w:val="clear" w:color="000000" w:fill="auto"/>
            <w:vAlign w:val="bottom"/>
          </w:tcPr>
          <w:p w:rsidR="00570B62" w:rsidRPr="00B2542A" w:rsidRDefault="00570B62" w:rsidP="00B2542A">
            <w:pPr>
              <w:spacing w:before="40" w:after="40" w:line="220" w:lineRule="exact"/>
              <w:rPr>
                <w:sz w:val="18"/>
                <w:lang w:val="fr-CH"/>
              </w:rPr>
            </w:pPr>
            <w:r w:rsidRPr="00B2542A">
              <w:rPr>
                <w:sz w:val="18"/>
                <w:lang w:val="fr-CH"/>
              </w:rPr>
              <w:t>Ministère de la formation professionnelle et de l</w:t>
            </w:r>
            <w:r w:rsidR="00961388" w:rsidRPr="00B2542A">
              <w:rPr>
                <w:sz w:val="18"/>
                <w:lang w:val="fr-CH"/>
              </w:rPr>
              <w:t>’</w:t>
            </w:r>
            <w:r w:rsidRPr="00B2542A">
              <w:rPr>
                <w:sz w:val="18"/>
                <w:lang w:val="fr-CH"/>
              </w:rPr>
              <w:t>emploi (ATFP)</w:t>
            </w:r>
            <w:r w:rsidR="00D54A69">
              <w:rPr>
                <w:i/>
                <w:sz w:val="18"/>
                <w:vertAlign w:val="superscript"/>
                <w:lang w:val="fr-CH"/>
              </w:rPr>
              <w:t>1</w:t>
            </w:r>
          </w:p>
        </w:tc>
        <w:tc>
          <w:tcPr>
            <w:tcW w:w="1602" w:type="dxa"/>
            <w:tcBorders>
              <w:top w:val="single" w:sz="12" w:space="0" w:color="auto"/>
            </w:tcBorders>
            <w:shd w:val="clear" w:color="000000" w:fill="auto"/>
            <w:vAlign w:val="bottom"/>
          </w:tcPr>
          <w:p w:rsidR="00570B62" w:rsidRPr="00B2542A" w:rsidRDefault="00570B62" w:rsidP="00B2542A">
            <w:pPr>
              <w:spacing w:before="40" w:after="40" w:line="220" w:lineRule="exact"/>
              <w:jc w:val="right"/>
              <w:rPr>
                <w:sz w:val="18"/>
                <w:lang w:val="fr-CH"/>
              </w:rPr>
            </w:pPr>
            <w:r w:rsidRPr="00B2542A">
              <w:rPr>
                <w:sz w:val="18"/>
                <w:lang w:val="fr-CH"/>
              </w:rPr>
              <w:t>135</w:t>
            </w:r>
          </w:p>
        </w:tc>
        <w:tc>
          <w:tcPr>
            <w:tcW w:w="1602" w:type="dxa"/>
            <w:tcBorders>
              <w:top w:val="single" w:sz="12" w:space="0" w:color="auto"/>
            </w:tcBorders>
            <w:shd w:val="clear" w:color="000000" w:fill="auto"/>
            <w:vAlign w:val="bottom"/>
          </w:tcPr>
          <w:p w:rsidR="00570B62" w:rsidRPr="00B2542A" w:rsidRDefault="00570B62" w:rsidP="00B2542A">
            <w:pPr>
              <w:spacing w:before="40" w:after="40" w:line="220" w:lineRule="exact"/>
              <w:jc w:val="right"/>
              <w:rPr>
                <w:sz w:val="18"/>
                <w:lang w:val="fr-CH"/>
              </w:rPr>
            </w:pPr>
            <w:r w:rsidRPr="00B2542A">
              <w:rPr>
                <w:sz w:val="18"/>
                <w:lang w:val="fr-CH"/>
              </w:rPr>
              <w:t>14</w:t>
            </w:r>
          </w:p>
        </w:tc>
      </w:tr>
      <w:tr w:rsidR="00A129A0" w:rsidRPr="00A129A0" w:rsidTr="000316AC">
        <w:tc>
          <w:tcPr>
            <w:tcW w:w="1466" w:type="dxa"/>
            <w:shd w:val="clear" w:color="000000" w:fill="auto"/>
          </w:tcPr>
          <w:p w:rsidR="00570B62" w:rsidRPr="00B2542A" w:rsidRDefault="00570B62" w:rsidP="00B2542A">
            <w:pPr>
              <w:spacing w:before="40" w:after="40" w:line="220" w:lineRule="exact"/>
              <w:rPr>
                <w:sz w:val="18"/>
                <w:lang w:val="fr-CH"/>
              </w:rPr>
            </w:pPr>
          </w:p>
        </w:tc>
        <w:tc>
          <w:tcPr>
            <w:tcW w:w="2700" w:type="dxa"/>
            <w:shd w:val="clear" w:color="000000" w:fill="auto"/>
            <w:vAlign w:val="bottom"/>
          </w:tcPr>
          <w:p w:rsidR="00570B62" w:rsidRPr="00B2542A" w:rsidRDefault="00570B62" w:rsidP="00B2542A">
            <w:pPr>
              <w:spacing w:before="40" w:after="40" w:line="220" w:lineRule="exact"/>
              <w:rPr>
                <w:sz w:val="18"/>
                <w:lang w:val="fr-CH"/>
              </w:rPr>
            </w:pPr>
            <w:r w:rsidRPr="00B2542A">
              <w:rPr>
                <w:sz w:val="18"/>
                <w:lang w:val="fr-CH"/>
              </w:rPr>
              <w:t>Ministère de l</w:t>
            </w:r>
            <w:r w:rsidR="00961388" w:rsidRPr="00B2542A">
              <w:rPr>
                <w:sz w:val="18"/>
                <w:lang w:val="fr-CH"/>
              </w:rPr>
              <w:t>’</w:t>
            </w:r>
            <w:r w:rsidRPr="00B2542A">
              <w:rPr>
                <w:sz w:val="18"/>
                <w:lang w:val="fr-CH"/>
              </w:rPr>
              <w:t>agriculture, des ressources hydrauliques et de pêche (AVFA)</w:t>
            </w:r>
            <w:r w:rsidR="00D54A69">
              <w:rPr>
                <w:i/>
                <w:sz w:val="18"/>
                <w:vertAlign w:val="superscript"/>
                <w:lang w:val="fr-CH"/>
              </w:rPr>
              <w:t>2</w:t>
            </w:r>
          </w:p>
        </w:tc>
        <w:tc>
          <w:tcPr>
            <w:tcW w:w="1602" w:type="dxa"/>
            <w:shd w:val="clear" w:color="000000" w:fill="auto"/>
            <w:vAlign w:val="bottom"/>
          </w:tcPr>
          <w:p w:rsidR="00570B62" w:rsidRPr="00B2542A" w:rsidRDefault="00570B62" w:rsidP="00B2542A">
            <w:pPr>
              <w:spacing w:before="40" w:after="40" w:line="220" w:lineRule="exact"/>
              <w:jc w:val="right"/>
              <w:rPr>
                <w:sz w:val="18"/>
                <w:lang w:val="fr-CH"/>
              </w:rPr>
            </w:pPr>
            <w:r w:rsidRPr="00B2542A">
              <w:rPr>
                <w:sz w:val="18"/>
                <w:lang w:val="fr-CH"/>
              </w:rPr>
              <w:t>39</w:t>
            </w:r>
          </w:p>
        </w:tc>
        <w:tc>
          <w:tcPr>
            <w:tcW w:w="1602" w:type="dxa"/>
            <w:shd w:val="clear" w:color="000000" w:fill="auto"/>
            <w:vAlign w:val="bottom"/>
          </w:tcPr>
          <w:p w:rsidR="00570B62" w:rsidRPr="00B2542A" w:rsidRDefault="00570B62" w:rsidP="00B2542A">
            <w:pPr>
              <w:spacing w:before="40" w:after="40" w:line="220" w:lineRule="exact"/>
              <w:jc w:val="right"/>
              <w:rPr>
                <w:sz w:val="18"/>
                <w:lang w:val="fr-CH"/>
              </w:rPr>
            </w:pPr>
            <w:r w:rsidRPr="00B2542A">
              <w:rPr>
                <w:sz w:val="18"/>
                <w:lang w:val="fr-CH"/>
              </w:rPr>
              <w:t>-</w:t>
            </w:r>
          </w:p>
        </w:tc>
      </w:tr>
      <w:tr w:rsidR="00A129A0" w:rsidRPr="00A129A0" w:rsidTr="000316AC">
        <w:tc>
          <w:tcPr>
            <w:tcW w:w="1466" w:type="dxa"/>
            <w:shd w:val="clear" w:color="000000" w:fill="auto"/>
          </w:tcPr>
          <w:p w:rsidR="00570B62" w:rsidRPr="00B2542A" w:rsidRDefault="00570B62" w:rsidP="00B2542A">
            <w:pPr>
              <w:keepNext/>
              <w:spacing w:before="40" w:after="40" w:line="220" w:lineRule="exact"/>
              <w:rPr>
                <w:sz w:val="18"/>
                <w:lang w:val="fr-CH"/>
              </w:rPr>
            </w:pPr>
          </w:p>
        </w:tc>
        <w:tc>
          <w:tcPr>
            <w:tcW w:w="2700" w:type="dxa"/>
            <w:shd w:val="clear" w:color="000000" w:fill="auto"/>
            <w:vAlign w:val="bottom"/>
          </w:tcPr>
          <w:p w:rsidR="00570B62" w:rsidRPr="00B2542A" w:rsidRDefault="00570B62" w:rsidP="00B2542A">
            <w:pPr>
              <w:spacing w:before="40" w:after="40" w:line="220" w:lineRule="exact"/>
              <w:rPr>
                <w:sz w:val="18"/>
                <w:lang w:val="fr-CH"/>
              </w:rPr>
            </w:pPr>
            <w:r w:rsidRPr="00B2542A">
              <w:rPr>
                <w:sz w:val="18"/>
                <w:lang w:val="fr-CH"/>
              </w:rPr>
              <w:t>Ministère du tourisme (ONTT)</w:t>
            </w:r>
            <w:r w:rsidR="00D54A69">
              <w:rPr>
                <w:i/>
                <w:sz w:val="18"/>
                <w:vertAlign w:val="superscript"/>
                <w:lang w:val="fr-CH"/>
              </w:rPr>
              <w:t>3</w:t>
            </w:r>
          </w:p>
        </w:tc>
        <w:tc>
          <w:tcPr>
            <w:tcW w:w="1602" w:type="dxa"/>
            <w:shd w:val="clear" w:color="000000" w:fill="auto"/>
            <w:vAlign w:val="bottom"/>
          </w:tcPr>
          <w:p w:rsidR="00570B62" w:rsidRPr="00B2542A" w:rsidRDefault="00570B62" w:rsidP="00B2542A">
            <w:pPr>
              <w:spacing w:before="40" w:after="40" w:line="220" w:lineRule="exact"/>
              <w:jc w:val="right"/>
              <w:rPr>
                <w:sz w:val="18"/>
                <w:lang w:val="fr-CH"/>
              </w:rPr>
            </w:pPr>
            <w:r w:rsidRPr="00B2542A">
              <w:rPr>
                <w:sz w:val="18"/>
                <w:lang w:val="fr-CH"/>
              </w:rPr>
              <w:t>7</w:t>
            </w:r>
          </w:p>
        </w:tc>
        <w:tc>
          <w:tcPr>
            <w:tcW w:w="1602" w:type="dxa"/>
            <w:shd w:val="clear" w:color="000000" w:fill="auto"/>
            <w:vAlign w:val="bottom"/>
          </w:tcPr>
          <w:p w:rsidR="00570B62" w:rsidRPr="00B2542A" w:rsidRDefault="00570B62" w:rsidP="00B2542A">
            <w:pPr>
              <w:spacing w:before="40" w:after="40" w:line="220" w:lineRule="exact"/>
              <w:jc w:val="right"/>
              <w:rPr>
                <w:sz w:val="18"/>
                <w:lang w:val="fr-CH"/>
              </w:rPr>
            </w:pPr>
            <w:r w:rsidRPr="00B2542A">
              <w:rPr>
                <w:sz w:val="18"/>
                <w:lang w:val="fr-CH"/>
              </w:rPr>
              <w:t>-</w:t>
            </w:r>
          </w:p>
        </w:tc>
      </w:tr>
      <w:tr w:rsidR="00A129A0" w:rsidRPr="00A129A0" w:rsidTr="000316AC">
        <w:tc>
          <w:tcPr>
            <w:tcW w:w="1466" w:type="dxa"/>
            <w:tcBorders>
              <w:bottom w:val="nil"/>
            </w:tcBorders>
            <w:shd w:val="clear" w:color="000000" w:fill="auto"/>
          </w:tcPr>
          <w:p w:rsidR="00570B62" w:rsidRPr="00B2542A" w:rsidRDefault="00570B62" w:rsidP="00B2542A">
            <w:pPr>
              <w:spacing w:before="40" w:after="40" w:line="220" w:lineRule="exact"/>
              <w:rPr>
                <w:sz w:val="18"/>
                <w:lang w:val="fr-CH"/>
              </w:rPr>
            </w:pPr>
          </w:p>
        </w:tc>
        <w:tc>
          <w:tcPr>
            <w:tcW w:w="2700" w:type="dxa"/>
            <w:tcBorders>
              <w:bottom w:val="nil"/>
            </w:tcBorders>
            <w:shd w:val="clear" w:color="000000" w:fill="auto"/>
            <w:vAlign w:val="bottom"/>
          </w:tcPr>
          <w:p w:rsidR="00570B62" w:rsidRPr="00B2542A" w:rsidRDefault="00570B62" w:rsidP="00B2542A">
            <w:pPr>
              <w:spacing w:before="40" w:after="40" w:line="220" w:lineRule="exact"/>
              <w:rPr>
                <w:sz w:val="18"/>
                <w:lang w:val="fr-CH"/>
              </w:rPr>
            </w:pPr>
            <w:r w:rsidRPr="00B2542A">
              <w:rPr>
                <w:sz w:val="18"/>
                <w:lang w:val="fr-CH"/>
              </w:rPr>
              <w:t>Ministère de la défense nationale</w:t>
            </w:r>
          </w:p>
        </w:tc>
        <w:tc>
          <w:tcPr>
            <w:tcW w:w="1602" w:type="dxa"/>
            <w:tcBorders>
              <w:bottom w:val="nil"/>
            </w:tcBorders>
            <w:shd w:val="clear" w:color="000000" w:fill="auto"/>
            <w:vAlign w:val="bottom"/>
          </w:tcPr>
          <w:p w:rsidR="00570B62" w:rsidRPr="00B2542A" w:rsidRDefault="00570B62" w:rsidP="00B2542A">
            <w:pPr>
              <w:spacing w:before="40" w:after="40" w:line="220" w:lineRule="exact"/>
              <w:jc w:val="right"/>
              <w:rPr>
                <w:sz w:val="18"/>
                <w:lang w:val="fr-CH"/>
              </w:rPr>
            </w:pPr>
            <w:r w:rsidRPr="00B2542A">
              <w:rPr>
                <w:sz w:val="18"/>
                <w:lang w:val="fr-CH"/>
              </w:rPr>
              <w:t>13</w:t>
            </w:r>
          </w:p>
        </w:tc>
        <w:tc>
          <w:tcPr>
            <w:tcW w:w="1602" w:type="dxa"/>
            <w:tcBorders>
              <w:bottom w:val="nil"/>
            </w:tcBorders>
            <w:shd w:val="clear" w:color="000000" w:fill="auto"/>
            <w:vAlign w:val="bottom"/>
          </w:tcPr>
          <w:p w:rsidR="00570B62" w:rsidRPr="00B2542A" w:rsidRDefault="00570B62" w:rsidP="00B2542A">
            <w:pPr>
              <w:spacing w:before="40" w:after="40" w:line="220" w:lineRule="exact"/>
              <w:jc w:val="right"/>
              <w:rPr>
                <w:sz w:val="18"/>
                <w:lang w:val="fr-CH"/>
              </w:rPr>
            </w:pPr>
            <w:r w:rsidRPr="00B2542A">
              <w:rPr>
                <w:sz w:val="18"/>
                <w:lang w:val="fr-CH"/>
              </w:rPr>
              <w:t>-</w:t>
            </w:r>
          </w:p>
        </w:tc>
      </w:tr>
      <w:tr w:rsidR="00A129A0" w:rsidRPr="00A129A0" w:rsidTr="000316AC">
        <w:tc>
          <w:tcPr>
            <w:tcW w:w="1466" w:type="dxa"/>
            <w:tcBorders>
              <w:top w:val="nil"/>
              <w:bottom w:val="nil"/>
            </w:tcBorders>
            <w:shd w:val="clear" w:color="000000" w:fill="auto"/>
          </w:tcPr>
          <w:p w:rsidR="00570B62" w:rsidRPr="00B2542A" w:rsidRDefault="00570B62" w:rsidP="00B2542A">
            <w:pPr>
              <w:spacing w:before="40" w:after="40" w:line="220" w:lineRule="exact"/>
              <w:rPr>
                <w:sz w:val="18"/>
                <w:lang w:val="fr-CH"/>
              </w:rPr>
            </w:pPr>
          </w:p>
        </w:tc>
        <w:tc>
          <w:tcPr>
            <w:tcW w:w="2700" w:type="dxa"/>
            <w:tcBorders>
              <w:top w:val="nil"/>
              <w:bottom w:val="nil"/>
            </w:tcBorders>
            <w:shd w:val="clear" w:color="000000" w:fill="auto"/>
            <w:vAlign w:val="bottom"/>
          </w:tcPr>
          <w:p w:rsidR="00570B62" w:rsidRPr="00B2542A" w:rsidRDefault="00570B62" w:rsidP="00B2542A">
            <w:pPr>
              <w:spacing w:before="40" w:after="40" w:line="220" w:lineRule="exact"/>
              <w:rPr>
                <w:sz w:val="18"/>
                <w:lang w:val="fr-CH"/>
              </w:rPr>
            </w:pPr>
            <w:r w:rsidRPr="00B2542A">
              <w:rPr>
                <w:sz w:val="18"/>
                <w:lang w:val="fr-CH"/>
              </w:rPr>
              <w:t>Ministère de la santé publique</w:t>
            </w:r>
          </w:p>
        </w:tc>
        <w:tc>
          <w:tcPr>
            <w:tcW w:w="1602" w:type="dxa"/>
            <w:tcBorders>
              <w:top w:val="nil"/>
              <w:bottom w:val="nil"/>
            </w:tcBorders>
            <w:shd w:val="clear" w:color="000000" w:fill="auto"/>
            <w:vAlign w:val="bottom"/>
          </w:tcPr>
          <w:p w:rsidR="00570B62" w:rsidRPr="00B2542A" w:rsidRDefault="00570B62" w:rsidP="00B2542A">
            <w:pPr>
              <w:spacing w:before="40" w:after="40" w:line="220" w:lineRule="exact"/>
              <w:jc w:val="right"/>
              <w:rPr>
                <w:sz w:val="18"/>
                <w:lang w:val="fr-CH"/>
              </w:rPr>
            </w:pPr>
            <w:r w:rsidRPr="00B2542A">
              <w:rPr>
                <w:sz w:val="18"/>
                <w:lang w:val="fr-CH"/>
              </w:rPr>
              <w:t>19</w:t>
            </w:r>
          </w:p>
        </w:tc>
        <w:tc>
          <w:tcPr>
            <w:tcW w:w="1602" w:type="dxa"/>
            <w:tcBorders>
              <w:top w:val="nil"/>
              <w:bottom w:val="nil"/>
            </w:tcBorders>
            <w:shd w:val="clear" w:color="000000" w:fill="auto"/>
            <w:vAlign w:val="bottom"/>
          </w:tcPr>
          <w:p w:rsidR="00570B62" w:rsidRPr="00B2542A" w:rsidRDefault="00570B62" w:rsidP="00B2542A">
            <w:pPr>
              <w:spacing w:before="40" w:after="40" w:line="220" w:lineRule="exact"/>
              <w:jc w:val="right"/>
              <w:rPr>
                <w:sz w:val="18"/>
                <w:lang w:val="fr-CH"/>
              </w:rPr>
            </w:pPr>
            <w:r w:rsidRPr="00B2542A">
              <w:rPr>
                <w:sz w:val="18"/>
                <w:lang w:val="fr-CH"/>
              </w:rPr>
              <w:t>-</w:t>
            </w:r>
          </w:p>
        </w:tc>
      </w:tr>
      <w:tr w:rsidR="00A129A0" w:rsidRPr="00A129A0" w:rsidTr="000316AC">
        <w:tc>
          <w:tcPr>
            <w:tcW w:w="1466" w:type="dxa"/>
            <w:tcBorders>
              <w:top w:val="nil"/>
            </w:tcBorders>
            <w:shd w:val="clear" w:color="000000" w:fill="auto"/>
          </w:tcPr>
          <w:p w:rsidR="00570B62" w:rsidRPr="00B2542A" w:rsidRDefault="00570B62" w:rsidP="00C8422B">
            <w:pPr>
              <w:keepNext/>
              <w:spacing w:before="40" w:after="40" w:line="220" w:lineRule="exact"/>
              <w:rPr>
                <w:sz w:val="18"/>
                <w:lang w:val="fr-CH"/>
              </w:rPr>
            </w:pPr>
            <w:r w:rsidRPr="00B2542A">
              <w:rPr>
                <w:sz w:val="18"/>
                <w:lang w:val="fr-CH"/>
              </w:rPr>
              <w:t>Total public</w:t>
            </w:r>
          </w:p>
        </w:tc>
        <w:tc>
          <w:tcPr>
            <w:tcW w:w="2700" w:type="dxa"/>
            <w:tcBorders>
              <w:top w:val="nil"/>
            </w:tcBorders>
            <w:shd w:val="clear" w:color="000000" w:fill="auto"/>
            <w:vAlign w:val="bottom"/>
          </w:tcPr>
          <w:p w:rsidR="00570B62" w:rsidRPr="00B2542A" w:rsidRDefault="00570B62" w:rsidP="00B2542A">
            <w:pPr>
              <w:spacing w:before="40" w:after="40" w:line="220" w:lineRule="exact"/>
              <w:rPr>
                <w:sz w:val="18"/>
                <w:lang w:val="fr-CH"/>
              </w:rPr>
            </w:pPr>
          </w:p>
        </w:tc>
        <w:tc>
          <w:tcPr>
            <w:tcW w:w="1602" w:type="dxa"/>
            <w:tcBorders>
              <w:top w:val="nil"/>
            </w:tcBorders>
            <w:shd w:val="clear" w:color="000000" w:fill="auto"/>
            <w:vAlign w:val="bottom"/>
          </w:tcPr>
          <w:p w:rsidR="00570B62" w:rsidRPr="00B2542A" w:rsidRDefault="00570B62" w:rsidP="00B2542A">
            <w:pPr>
              <w:spacing w:before="40" w:after="40" w:line="220" w:lineRule="exact"/>
              <w:jc w:val="right"/>
              <w:rPr>
                <w:sz w:val="18"/>
                <w:lang w:val="fr-CH"/>
              </w:rPr>
            </w:pPr>
            <w:r w:rsidRPr="00B2542A">
              <w:rPr>
                <w:sz w:val="18"/>
                <w:lang w:val="fr-CH"/>
              </w:rPr>
              <w:t>213</w:t>
            </w:r>
          </w:p>
        </w:tc>
        <w:tc>
          <w:tcPr>
            <w:tcW w:w="1602" w:type="dxa"/>
            <w:tcBorders>
              <w:top w:val="nil"/>
            </w:tcBorders>
            <w:shd w:val="clear" w:color="000000" w:fill="auto"/>
            <w:vAlign w:val="bottom"/>
          </w:tcPr>
          <w:p w:rsidR="00570B62" w:rsidRPr="00B2542A" w:rsidRDefault="00570B62" w:rsidP="00B2542A">
            <w:pPr>
              <w:spacing w:before="40" w:after="40" w:line="220" w:lineRule="exact"/>
              <w:jc w:val="right"/>
              <w:rPr>
                <w:sz w:val="18"/>
                <w:lang w:val="fr-CH"/>
              </w:rPr>
            </w:pPr>
            <w:r w:rsidRPr="00B2542A">
              <w:rPr>
                <w:sz w:val="18"/>
                <w:lang w:val="fr-CH"/>
              </w:rPr>
              <w:t>14</w:t>
            </w:r>
          </w:p>
        </w:tc>
      </w:tr>
      <w:tr w:rsidR="00A129A0" w:rsidRPr="00A129A0" w:rsidTr="000316AC">
        <w:tc>
          <w:tcPr>
            <w:tcW w:w="1466" w:type="dxa"/>
            <w:tcBorders>
              <w:bottom w:val="nil"/>
            </w:tcBorders>
            <w:shd w:val="clear" w:color="000000" w:fill="auto"/>
          </w:tcPr>
          <w:p w:rsidR="00570B62" w:rsidRPr="00B2542A" w:rsidRDefault="00570B62" w:rsidP="00C8422B">
            <w:pPr>
              <w:keepNext/>
              <w:spacing w:before="40" w:after="40" w:line="220" w:lineRule="exact"/>
              <w:rPr>
                <w:sz w:val="18"/>
                <w:lang w:val="fr-CH"/>
              </w:rPr>
            </w:pPr>
            <w:r w:rsidRPr="00B2542A">
              <w:rPr>
                <w:sz w:val="18"/>
                <w:lang w:val="fr-CH"/>
              </w:rPr>
              <w:t>Secteur privé</w:t>
            </w:r>
          </w:p>
        </w:tc>
        <w:tc>
          <w:tcPr>
            <w:tcW w:w="2700" w:type="dxa"/>
            <w:tcBorders>
              <w:bottom w:val="nil"/>
            </w:tcBorders>
            <w:shd w:val="clear" w:color="000000" w:fill="auto"/>
            <w:vAlign w:val="bottom"/>
          </w:tcPr>
          <w:p w:rsidR="00570B62" w:rsidRPr="00B2542A" w:rsidRDefault="00570B62" w:rsidP="00B2542A">
            <w:pPr>
              <w:spacing w:before="40" w:after="40" w:line="220" w:lineRule="exact"/>
              <w:rPr>
                <w:sz w:val="18"/>
                <w:lang w:val="fr-CH"/>
              </w:rPr>
            </w:pPr>
          </w:p>
        </w:tc>
        <w:tc>
          <w:tcPr>
            <w:tcW w:w="1602" w:type="dxa"/>
            <w:tcBorders>
              <w:bottom w:val="nil"/>
            </w:tcBorders>
            <w:shd w:val="clear" w:color="000000" w:fill="auto"/>
            <w:vAlign w:val="bottom"/>
          </w:tcPr>
          <w:p w:rsidR="00570B62" w:rsidRPr="00B2542A" w:rsidRDefault="00570B62" w:rsidP="00B2542A">
            <w:pPr>
              <w:spacing w:before="40" w:after="40" w:line="220" w:lineRule="exact"/>
              <w:jc w:val="right"/>
              <w:rPr>
                <w:sz w:val="18"/>
                <w:lang w:val="fr-CH"/>
              </w:rPr>
            </w:pPr>
            <w:r w:rsidRPr="00B2542A">
              <w:rPr>
                <w:sz w:val="18"/>
                <w:lang w:val="fr-CH"/>
              </w:rPr>
              <w:t>756</w:t>
            </w:r>
          </w:p>
        </w:tc>
        <w:tc>
          <w:tcPr>
            <w:tcW w:w="1602" w:type="dxa"/>
            <w:tcBorders>
              <w:bottom w:val="nil"/>
            </w:tcBorders>
            <w:shd w:val="clear" w:color="000000" w:fill="auto"/>
            <w:vAlign w:val="bottom"/>
          </w:tcPr>
          <w:p w:rsidR="00570B62" w:rsidRPr="00B2542A" w:rsidRDefault="00570B62" w:rsidP="00B2542A">
            <w:pPr>
              <w:spacing w:before="40" w:after="40" w:line="220" w:lineRule="exact"/>
              <w:jc w:val="right"/>
              <w:rPr>
                <w:sz w:val="18"/>
                <w:lang w:val="fr-CH"/>
              </w:rPr>
            </w:pPr>
            <w:r w:rsidRPr="00B2542A">
              <w:rPr>
                <w:sz w:val="18"/>
                <w:lang w:val="fr-CH"/>
              </w:rPr>
              <w:t>-</w:t>
            </w:r>
          </w:p>
        </w:tc>
      </w:tr>
      <w:tr w:rsidR="00A129A0" w:rsidRPr="00A129A0" w:rsidTr="000316AC">
        <w:tc>
          <w:tcPr>
            <w:tcW w:w="1466" w:type="dxa"/>
            <w:tcBorders>
              <w:top w:val="nil"/>
              <w:bottom w:val="single" w:sz="12" w:space="0" w:color="auto"/>
            </w:tcBorders>
            <w:shd w:val="clear" w:color="000000" w:fill="auto"/>
          </w:tcPr>
          <w:p w:rsidR="00570B62" w:rsidRPr="00B2542A" w:rsidRDefault="00B2542A" w:rsidP="00B2542A">
            <w:pPr>
              <w:spacing w:before="40" w:after="40" w:line="220" w:lineRule="exact"/>
              <w:rPr>
                <w:sz w:val="18"/>
                <w:lang w:val="fr-CH"/>
              </w:rPr>
            </w:pPr>
            <w:r>
              <w:rPr>
                <w:sz w:val="18"/>
                <w:lang w:val="fr-CH"/>
              </w:rPr>
              <w:t>ONG (UNGT)</w:t>
            </w:r>
            <w:r w:rsidR="00D54A69">
              <w:rPr>
                <w:i/>
                <w:sz w:val="18"/>
                <w:vertAlign w:val="superscript"/>
                <w:lang w:val="fr-CH"/>
              </w:rPr>
              <w:t>4</w:t>
            </w:r>
          </w:p>
        </w:tc>
        <w:tc>
          <w:tcPr>
            <w:tcW w:w="2700" w:type="dxa"/>
            <w:tcBorders>
              <w:top w:val="nil"/>
              <w:bottom w:val="single" w:sz="12" w:space="0" w:color="auto"/>
            </w:tcBorders>
            <w:shd w:val="clear" w:color="000000" w:fill="auto"/>
            <w:vAlign w:val="bottom"/>
          </w:tcPr>
          <w:p w:rsidR="00570B62" w:rsidRPr="00B2542A" w:rsidRDefault="00570B62" w:rsidP="00B2542A">
            <w:pPr>
              <w:spacing w:before="40" w:after="40" w:line="220" w:lineRule="exact"/>
              <w:rPr>
                <w:sz w:val="18"/>
                <w:lang w:val="fr-CH"/>
              </w:rPr>
            </w:pPr>
          </w:p>
        </w:tc>
        <w:tc>
          <w:tcPr>
            <w:tcW w:w="1602" w:type="dxa"/>
            <w:tcBorders>
              <w:top w:val="nil"/>
              <w:bottom w:val="single" w:sz="12" w:space="0" w:color="auto"/>
            </w:tcBorders>
            <w:shd w:val="clear" w:color="000000" w:fill="auto"/>
            <w:vAlign w:val="bottom"/>
          </w:tcPr>
          <w:p w:rsidR="00570B62" w:rsidRPr="00B2542A" w:rsidRDefault="00570B62" w:rsidP="00B2542A">
            <w:pPr>
              <w:spacing w:before="40" w:after="40" w:line="220" w:lineRule="exact"/>
              <w:jc w:val="right"/>
              <w:rPr>
                <w:sz w:val="18"/>
                <w:lang w:val="fr-CH"/>
              </w:rPr>
            </w:pPr>
            <w:r w:rsidRPr="00B2542A">
              <w:rPr>
                <w:sz w:val="18"/>
                <w:lang w:val="fr-CH"/>
              </w:rPr>
              <w:t>200</w:t>
            </w:r>
          </w:p>
        </w:tc>
        <w:tc>
          <w:tcPr>
            <w:tcW w:w="1602" w:type="dxa"/>
            <w:tcBorders>
              <w:top w:val="nil"/>
              <w:bottom w:val="single" w:sz="12" w:space="0" w:color="auto"/>
            </w:tcBorders>
            <w:shd w:val="clear" w:color="000000" w:fill="auto"/>
            <w:vAlign w:val="bottom"/>
          </w:tcPr>
          <w:p w:rsidR="00570B62" w:rsidRPr="00B2542A" w:rsidRDefault="00570B62" w:rsidP="00B2542A">
            <w:pPr>
              <w:spacing w:before="40" w:after="40" w:line="220" w:lineRule="exact"/>
              <w:jc w:val="right"/>
              <w:rPr>
                <w:sz w:val="18"/>
                <w:lang w:val="fr-CH"/>
              </w:rPr>
            </w:pPr>
            <w:r w:rsidRPr="00B2542A">
              <w:rPr>
                <w:sz w:val="18"/>
                <w:lang w:val="fr-CH"/>
              </w:rPr>
              <w:t>200</w:t>
            </w:r>
          </w:p>
        </w:tc>
      </w:tr>
    </w:tbl>
    <w:p w:rsidR="00D54A69" w:rsidRPr="00D54A69" w:rsidRDefault="00D54A69" w:rsidP="00D54A69">
      <w:pPr>
        <w:spacing w:before="120" w:line="240" w:lineRule="auto"/>
        <w:ind w:left="1134" w:firstLine="170"/>
        <w:rPr>
          <w:sz w:val="18"/>
          <w:szCs w:val="18"/>
          <w:lang w:val="fr-CH"/>
        </w:rPr>
      </w:pPr>
      <w:r w:rsidRPr="00D54A69">
        <w:rPr>
          <w:rStyle w:val="FootnoteReference"/>
          <w:i/>
          <w:szCs w:val="18"/>
          <w:lang w:val="fr-CH"/>
        </w:rPr>
        <w:t>1</w:t>
      </w:r>
      <w:r w:rsidRPr="00D54A69">
        <w:rPr>
          <w:sz w:val="18"/>
          <w:szCs w:val="18"/>
          <w:lang w:val="fr-CH"/>
        </w:rPr>
        <w:t xml:space="preserve">  ATFP: Agence tunisienne de la formation professionnelle</w:t>
      </w:r>
      <w:r>
        <w:rPr>
          <w:sz w:val="18"/>
          <w:szCs w:val="18"/>
          <w:lang w:val="fr-CH"/>
        </w:rPr>
        <w:t>.</w:t>
      </w:r>
    </w:p>
    <w:p w:rsidR="00D54A69" w:rsidRPr="00D54A69" w:rsidRDefault="00D54A69" w:rsidP="00D54A69">
      <w:pPr>
        <w:spacing w:line="240" w:lineRule="auto"/>
        <w:ind w:left="1134" w:firstLine="170"/>
        <w:rPr>
          <w:sz w:val="18"/>
          <w:szCs w:val="18"/>
          <w:lang w:val="fr-CH"/>
        </w:rPr>
      </w:pPr>
      <w:r w:rsidRPr="00D54A69">
        <w:rPr>
          <w:rStyle w:val="FootnoteReference"/>
          <w:i/>
          <w:szCs w:val="18"/>
          <w:lang w:val="fr-CH"/>
        </w:rPr>
        <w:t>2</w:t>
      </w:r>
      <w:r w:rsidRPr="00D54A69">
        <w:rPr>
          <w:sz w:val="18"/>
          <w:szCs w:val="18"/>
          <w:lang w:val="fr-CH"/>
        </w:rPr>
        <w:t xml:space="preserve"> </w:t>
      </w:r>
      <w:r>
        <w:rPr>
          <w:sz w:val="18"/>
          <w:szCs w:val="18"/>
          <w:lang w:val="fr-CH"/>
        </w:rPr>
        <w:t xml:space="preserve"> </w:t>
      </w:r>
      <w:r w:rsidRPr="00D54A69">
        <w:rPr>
          <w:sz w:val="18"/>
          <w:szCs w:val="18"/>
          <w:lang w:val="fr-CH"/>
        </w:rPr>
        <w:t>AVFA: Agence de vulgari</w:t>
      </w:r>
      <w:r>
        <w:rPr>
          <w:sz w:val="18"/>
          <w:szCs w:val="18"/>
          <w:lang w:val="fr-CH"/>
        </w:rPr>
        <w:t>sation et de formation agricole.</w:t>
      </w:r>
    </w:p>
    <w:p w:rsidR="00D54A69" w:rsidRPr="00D54A69" w:rsidRDefault="00D54A69" w:rsidP="00D54A69">
      <w:pPr>
        <w:spacing w:line="240" w:lineRule="auto"/>
        <w:ind w:left="1134" w:firstLine="170"/>
        <w:rPr>
          <w:sz w:val="18"/>
          <w:szCs w:val="18"/>
          <w:lang w:val="fr-CH"/>
        </w:rPr>
      </w:pPr>
      <w:r w:rsidRPr="00D54A69">
        <w:rPr>
          <w:rStyle w:val="FootnoteReference"/>
          <w:i/>
          <w:szCs w:val="18"/>
          <w:lang w:val="fr-CH"/>
        </w:rPr>
        <w:t>3</w:t>
      </w:r>
      <w:r w:rsidRPr="00D54A69">
        <w:rPr>
          <w:sz w:val="18"/>
          <w:szCs w:val="18"/>
          <w:lang w:val="fr-CH"/>
        </w:rPr>
        <w:t xml:space="preserve"> </w:t>
      </w:r>
      <w:r>
        <w:rPr>
          <w:sz w:val="18"/>
          <w:szCs w:val="18"/>
          <w:lang w:val="fr-CH"/>
        </w:rPr>
        <w:t xml:space="preserve"> </w:t>
      </w:r>
      <w:r w:rsidRPr="00D54A69">
        <w:rPr>
          <w:sz w:val="18"/>
          <w:szCs w:val="18"/>
          <w:lang w:val="fr-CH"/>
        </w:rPr>
        <w:t>ONTT: Office national du tourisme tunisien</w:t>
      </w:r>
      <w:r>
        <w:rPr>
          <w:sz w:val="18"/>
          <w:szCs w:val="18"/>
          <w:lang w:val="fr-CH"/>
        </w:rPr>
        <w:t>.</w:t>
      </w:r>
    </w:p>
    <w:p w:rsidR="00D54A69" w:rsidRPr="00D54A69" w:rsidRDefault="00D54A69" w:rsidP="00D54A69">
      <w:pPr>
        <w:spacing w:line="240" w:lineRule="auto"/>
        <w:ind w:left="1134" w:firstLine="170"/>
        <w:rPr>
          <w:sz w:val="18"/>
          <w:szCs w:val="18"/>
          <w:lang w:val="fr-CH"/>
        </w:rPr>
      </w:pPr>
      <w:r w:rsidRPr="00D54A69">
        <w:rPr>
          <w:rStyle w:val="FootnoteReference"/>
          <w:i/>
          <w:szCs w:val="18"/>
          <w:lang w:val="fr-CH"/>
        </w:rPr>
        <w:t>4</w:t>
      </w:r>
      <w:r w:rsidRPr="00D54A69">
        <w:rPr>
          <w:sz w:val="18"/>
          <w:szCs w:val="18"/>
          <w:lang w:val="fr-CH"/>
        </w:rPr>
        <w:t xml:space="preserve"> </w:t>
      </w:r>
      <w:r>
        <w:rPr>
          <w:sz w:val="18"/>
          <w:szCs w:val="18"/>
          <w:lang w:val="fr-CH"/>
        </w:rPr>
        <w:t xml:space="preserve"> </w:t>
      </w:r>
      <w:r w:rsidRPr="00D54A69">
        <w:rPr>
          <w:color w:val="000000"/>
          <w:sz w:val="18"/>
          <w:szCs w:val="18"/>
          <w:lang w:val="fr-CH"/>
        </w:rPr>
        <w:t>UNFT: Union nationale des femmes tunisiennes</w:t>
      </w:r>
      <w:r>
        <w:rPr>
          <w:color w:val="000000"/>
          <w:sz w:val="18"/>
          <w:szCs w:val="18"/>
          <w:lang w:val="fr-CH"/>
        </w:rPr>
        <w:t>.</w:t>
      </w:r>
    </w:p>
    <w:p w:rsidR="00570B62" w:rsidRPr="00961388" w:rsidRDefault="00570B62" w:rsidP="00B2542A">
      <w:pPr>
        <w:pStyle w:val="SingleTxtG"/>
        <w:spacing w:before="240"/>
        <w:rPr>
          <w:lang w:val="fr-CH"/>
        </w:rPr>
      </w:pPr>
      <w:r w:rsidRPr="00961388">
        <w:rPr>
          <w:lang w:val="fr-CH"/>
        </w:rPr>
        <w:t>262.</w:t>
      </w:r>
      <w:r w:rsidRPr="00961388">
        <w:rPr>
          <w:lang w:val="fr-CH"/>
        </w:rPr>
        <w:tab/>
        <w:t>Les organisations non gouvernementales (relevant de l</w:t>
      </w:r>
      <w:r w:rsidR="00961388">
        <w:rPr>
          <w:lang w:val="fr-CH"/>
        </w:rPr>
        <w:t>’</w:t>
      </w:r>
      <w:r w:rsidRPr="00961388">
        <w:rPr>
          <w:lang w:val="fr-CH"/>
        </w:rPr>
        <w:t>UNFT) s</w:t>
      </w:r>
      <w:r w:rsidR="00961388">
        <w:rPr>
          <w:lang w:val="fr-CH"/>
        </w:rPr>
        <w:t>’</w:t>
      </w:r>
      <w:r w:rsidRPr="00961388">
        <w:rPr>
          <w:lang w:val="fr-CH"/>
        </w:rPr>
        <w:t>adressent spécifiquement aux femmes, elles visent ces femmes dans leurs régions d</w:t>
      </w:r>
      <w:r w:rsidR="00961388">
        <w:rPr>
          <w:lang w:val="fr-CH"/>
        </w:rPr>
        <w:t>’</w:t>
      </w:r>
      <w:r w:rsidRPr="00961388">
        <w:rPr>
          <w:lang w:val="fr-CH"/>
        </w:rPr>
        <w:t>origine avec le souci majeur d</w:t>
      </w:r>
      <w:r w:rsidR="00961388">
        <w:rPr>
          <w:lang w:val="fr-CH"/>
        </w:rPr>
        <w:t>’</w:t>
      </w:r>
      <w:r w:rsidRPr="00961388">
        <w:rPr>
          <w:lang w:val="fr-CH"/>
        </w:rPr>
        <w:t>une insertion économique avec un savoir faire technique.</w:t>
      </w:r>
    </w:p>
    <w:p w:rsidR="00570B62" w:rsidRPr="00961388" w:rsidRDefault="00570B62" w:rsidP="0042507D">
      <w:pPr>
        <w:pStyle w:val="SingleTxtG"/>
        <w:rPr>
          <w:lang w:val="fr-CH"/>
        </w:rPr>
      </w:pPr>
      <w:r w:rsidRPr="00961388">
        <w:rPr>
          <w:lang w:val="fr-CH"/>
        </w:rPr>
        <w:t>263.</w:t>
      </w:r>
      <w:r w:rsidRPr="00961388">
        <w:rPr>
          <w:lang w:val="fr-CH"/>
        </w:rPr>
        <w:tab/>
      </w:r>
      <w:r w:rsidRPr="0042507D">
        <w:rPr>
          <w:b/>
          <w:bCs/>
          <w:lang w:val="fr-CH"/>
        </w:rPr>
        <w:t>Le secteur privé</w:t>
      </w:r>
      <w:r w:rsidR="00961388" w:rsidRPr="0042507D">
        <w:rPr>
          <w:b/>
          <w:bCs/>
          <w:lang w:val="fr-CH"/>
        </w:rPr>
        <w:t>:</w:t>
      </w:r>
      <w:r w:rsidRPr="00961388">
        <w:rPr>
          <w:b/>
          <w:bCs/>
          <w:lang w:val="fr-CH"/>
        </w:rPr>
        <w:t xml:space="preserve"> </w:t>
      </w:r>
      <w:r w:rsidRPr="00961388">
        <w:rPr>
          <w:lang w:val="fr-CH"/>
        </w:rPr>
        <w:t>est à 100</w:t>
      </w:r>
      <w:r w:rsidR="001973D8">
        <w:rPr>
          <w:lang w:val="fr-CH"/>
        </w:rPr>
        <w:t xml:space="preserve"> %</w:t>
      </w:r>
      <w:r w:rsidRPr="00961388">
        <w:rPr>
          <w:lang w:val="fr-CH"/>
        </w:rPr>
        <w:t xml:space="preserve"> mixte (il n</w:t>
      </w:r>
      <w:r w:rsidR="00961388">
        <w:rPr>
          <w:lang w:val="fr-CH"/>
        </w:rPr>
        <w:t>’</w:t>
      </w:r>
      <w:r w:rsidRPr="00961388">
        <w:rPr>
          <w:lang w:val="fr-CH"/>
        </w:rPr>
        <w:t>y existe aucune distinction quant à la formation pour les garçons et les filles).</w:t>
      </w:r>
    </w:p>
    <w:p w:rsidR="00570B62" w:rsidRPr="00961388" w:rsidRDefault="00570B62" w:rsidP="0042507D">
      <w:pPr>
        <w:pStyle w:val="SingleTxtG"/>
        <w:rPr>
          <w:lang w:val="fr-CH"/>
        </w:rPr>
      </w:pPr>
      <w:r w:rsidRPr="00961388">
        <w:rPr>
          <w:lang w:val="fr-CH"/>
        </w:rPr>
        <w:t>264.</w:t>
      </w:r>
      <w:r w:rsidRPr="00961388">
        <w:rPr>
          <w:lang w:val="fr-CH"/>
        </w:rPr>
        <w:tab/>
        <w:t>Le secteur public, présentant un léger pourcentage d</w:t>
      </w:r>
      <w:r w:rsidR="00961388">
        <w:rPr>
          <w:lang w:val="fr-CH"/>
        </w:rPr>
        <w:t>’</w:t>
      </w:r>
      <w:r w:rsidRPr="00961388">
        <w:rPr>
          <w:lang w:val="fr-CH"/>
        </w:rPr>
        <w:t xml:space="preserve">institutions féminines, offre aussi une formation destinée aux deux genres sans distinction. </w:t>
      </w:r>
    </w:p>
    <w:p w:rsidR="00570B62" w:rsidRPr="00961388" w:rsidRDefault="00570B62" w:rsidP="0042507D">
      <w:pPr>
        <w:pStyle w:val="SingleTxtG"/>
        <w:rPr>
          <w:lang w:val="fr-CH"/>
        </w:rPr>
      </w:pPr>
      <w:r w:rsidRPr="00961388">
        <w:rPr>
          <w:lang w:val="fr-CH"/>
        </w:rPr>
        <w:t>265.</w:t>
      </w:r>
      <w:r w:rsidRPr="00961388">
        <w:rPr>
          <w:lang w:val="fr-CH"/>
        </w:rPr>
        <w:tab/>
        <w:t>Ci-après, dans ce tableau le nombre de diplômés du secteur public et privé pour les années 2002 et 2009</w:t>
      </w:r>
      <w:r w:rsidR="00961388">
        <w:rPr>
          <w:lang w:val="fr-CH"/>
        </w:rPr>
        <w:t>:</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000" w:firstRow="0" w:lastRow="0" w:firstColumn="0" w:lastColumn="0" w:noHBand="0" w:noVBand="0"/>
      </w:tblPr>
      <w:tblGrid>
        <w:gridCol w:w="2237"/>
        <w:gridCol w:w="114"/>
        <w:gridCol w:w="690"/>
        <w:gridCol w:w="999"/>
        <w:gridCol w:w="780"/>
        <w:gridCol w:w="116"/>
        <w:gridCol w:w="654"/>
        <w:gridCol w:w="890"/>
        <w:gridCol w:w="890"/>
      </w:tblGrid>
      <w:tr w:rsidR="00E862BF" w:rsidRPr="00B2542A" w:rsidTr="00E862BF">
        <w:trPr>
          <w:cantSplit/>
          <w:tblHeader/>
        </w:trPr>
        <w:tc>
          <w:tcPr>
            <w:tcW w:w="2223" w:type="dxa"/>
            <w:vMerge w:val="restart"/>
            <w:tcBorders>
              <w:top w:val="single" w:sz="4" w:space="0" w:color="auto"/>
              <w:right w:val="nil"/>
            </w:tcBorders>
            <w:shd w:val="clear" w:color="000000" w:fill="auto"/>
            <w:tcMar>
              <w:top w:w="20" w:type="dxa"/>
              <w:left w:w="20" w:type="dxa"/>
              <w:bottom w:w="0" w:type="dxa"/>
              <w:right w:w="20" w:type="dxa"/>
            </w:tcMar>
            <w:vAlign w:val="bottom"/>
          </w:tcPr>
          <w:p w:rsidR="00E862BF" w:rsidRPr="00B2542A" w:rsidRDefault="00E862BF" w:rsidP="00B2542A">
            <w:pPr>
              <w:spacing w:before="40" w:after="40" w:line="220" w:lineRule="exact"/>
              <w:rPr>
                <w:bCs/>
                <w:i/>
                <w:iCs/>
                <w:sz w:val="16"/>
                <w:lang w:val="fr-CH"/>
              </w:rPr>
            </w:pPr>
            <w:r w:rsidRPr="00B2542A">
              <w:rPr>
                <w:sz w:val="18"/>
                <w:lang w:val="fr-CH"/>
              </w:rPr>
              <w:t>Opérateur</w:t>
            </w:r>
          </w:p>
        </w:tc>
        <w:tc>
          <w:tcPr>
            <w:tcW w:w="113" w:type="dxa"/>
            <w:vMerge w:val="restart"/>
            <w:tcBorders>
              <w:top w:val="single" w:sz="4" w:space="0" w:color="auto"/>
              <w:left w:val="nil"/>
              <w:bottom w:val="single" w:sz="12" w:space="0" w:color="auto"/>
              <w:right w:val="nil"/>
            </w:tcBorders>
            <w:shd w:val="clear" w:color="000000" w:fill="auto"/>
            <w:vAlign w:val="bottom"/>
          </w:tcPr>
          <w:p w:rsidR="00E862BF" w:rsidRPr="00B2542A" w:rsidRDefault="00E862BF" w:rsidP="00E862BF">
            <w:pPr>
              <w:suppressAutoHyphens w:val="0"/>
              <w:spacing w:before="80" w:after="80" w:line="200" w:lineRule="exact"/>
              <w:ind w:right="113"/>
              <w:jc w:val="center"/>
              <w:rPr>
                <w:bCs/>
                <w:i/>
                <w:iCs/>
                <w:sz w:val="16"/>
                <w:lang w:val="fr-CH"/>
              </w:rPr>
            </w:pPr>
          </w:p>
        </w:tc>
        <w:tc>
          <w:tcPr>
            <w:tcW w:w="4986" w:type="dxa"/>
            <w:gridSpan w:val="7"/>
            <w:tcBorders>
              <w:top w:val="single" w:sz="4" w:space="0" w:color="auto"/>
              <w:left w:val="nil"/>
              <w:bottom w:val="single" w:sz="4" w:space="0" w:color="auto"/>
            </w:tcBorders>
            <w:shd w:val="clear" w:color="000000" w:fill="auto"/>
            <w:vAlign w:val="bottom"/>
          </w:tcPr>
          <w:p w:rsidR="00E862BF" w:rsidRPr="00B2542A" w:rsidRDefault="00E862BF" w:rsidP="00B2542A">
            <w:pPr>
              <w:spacing w:before="80" w:after="80" w:line="200" w:lineRule="exact"/>
              <w:ind w:right="113"/>
              <w:jc w:val="center"/>
              <w:rPr>
                <w:bCs/>
                <w:i/>
                <w:iCs/>
                <w:sz w:val="16"/>
                <w:lang w:val="fr-CH"/>
              </w:rPr>
            </w:pPr>
            <w:r w:rsidRPr="00B2542A">
              <w:rPr>
                <w:bCs/>
                <w:i/>
                <w:iCs/>
                <w:sz w:val="16"/>
                <w:lang w:val="fr-CH"/>
              </w:rPr>
              <w:t>Diplômés de la formation professionnelle du secteur public</w:t>
            </w:r>
          </w:p>
        </w:tc>
      </w:tr>
      <w:tr w:rsidR="00E862BF" w:rsidRPr="00B2542A" w:rsidTr="00C8422B">
        <w:tc>
          <w:tcPr>
            <w:tcW w:w="2223" w:type="dxa"/>
            <w:vMerge/>
            <w:shd w:val="clear" w:color="000000" w:fill="auto"/>
            <w:tcMar>
              <w:top w:w="20" w:type="dxa"/>
              <w:left w:w="20" w:type="dxa"/>
              <w:bottom w:w="0" w:type="dxa"/>
              <w:right w:w="20" w:type="dxa"/>
            </w:tcMar>
            <w:vAlign w:val="center"/>
          </w:tcPr>
          <w:p w:rsidR="00E862BF" w:rsidRPr="00B2542A" w:rsidRDefault="00E862BF" w:rsidP="00B2542A">
            <w:pPr>
              <w:spacing w:before="40" w:after="40" w:line="220" w:lineRule="exact"/>
              <w:rPr>
                <w:sz w:val="18"/>
                <w:lang w:val="fr-CH"/>
              </w:rPr>
            </w:pPr>
          </w:p>
        </w:tc>
        <w:tc>
          <w:tcPr>
            <w:tcW w:w="113" w:type="dxa"/>
            <w:vMerge/>
            <w:tcBorders>
              <w:top w:val="nil"/>
              <w:bottom w:val="single" w:sz="12" w:space="0" w:color="auto"/>
              <w:right w:val="nil"/>
            </w:tcBorders>
            <w:shd w:val="clear" w:color="000000" w:fill="auto"/>
            <w:tcMar>
              <w:top w:w="20" w:type="dxa"/>
              <w:left w:w="20" w:type="dxa"/>
              <w:bottom w:w="0" w:type="dxa"/>
              <w:right w:w="20" w:type="dxa"/>
            </w:tcMar>
          </w:tcPr>
          <w:p w:rsidR="00E862BF" w:rsidRPr="00B2542A" w:rsidRDefault="00E862BF" w:rsidP="00E862BF">
            <w:pPr>
              <w:spacing w:before="80" w:after="80" w:line="200" w:lineRule="exact"/>
              <w:jc w:val="center"/>
              <w:rPr>
                <w:i/>
                <w:sz w:val="16"/>
                <w:lang w:val="fr-CH"/>
              </w:rPr>
            </w:pPr>
          </w:p>
        </w:tc>
        <w:tc>
          <w:tcPr>
            <w:tcW w:w="2453" w:type="dxa"/>
            <w:gridSpan w:val="3"/>
            <w:tcBorders>
              <w:top w:val="single" w:sz="4" w:space="0" w:color="auto"/>
              <w:left w:val="nil"/>
              <w:bottom w:val="single" w:sz="4" w:space="0" w:color="auto"/>
            </w:tcBorders>
            <w:shd w:val="clear" w:color="000000" w:fill="auto"/>
          </w:tcPr>
          <w:p w:rsidR="00E862BF" w:rsidRPr="00B2542A" w:rsidRDefault="00E862BF" w:rsidP="00B2542A">
            <w:pPr>
              <w:spacing w:before="80" w:after="80" w:line="200" w:lineRule="exact"/>
              <w:jc w:val="center"/>
              <w:rPr>
                <w:i/>
                <w:sz w:val="16"/>
                <w:lang w:val="fr-CH"/>
              </w:rPr>
            </w:pPr>
            <w:r w:rsidRPr="00B2542A">
              <w:rPr>
                <w:i/>
                <w:sz w:val="16"/>
                <w:lang w:val="fr-CH"/>
              </w:rPr>
              <w:t>2002</w:t>
            </w:r>
          </w:p>
        </w:tc>
        <w:tc>
          <w:tcPr>
            <w:tcW w:w="115" w:type="dxa"/>
            <w:vMerge w:val="restart"/>
            <w:tcBorders>
              <w:top w:val="single" w:sz="4" w:space="0" w:color="auto"/>
              <w:bottom w:val="single" w:sz="12" w:space="0" w:color="auto"/>
              <w:right w:val="nil"/>
            </w:tcBorders>
            <w:shd w:val="clear" w:color="000000" w:fill="auto"/>
            <w:tcMar>
              <w:top w:w="20" w:type="dxa"/>
              <w:left w:w="20" w:type="dxa"/>
              <w:bottom w:w="0" w:type="dxa"/>
              <w:right w:w="20" w:type="dxa"/>
            </w:tcMar>
          </w:tcPr>
          <w:p w:rsidR="00E862BF" w:rsidRPr="00B2542A" w:rsidRDefault="00E862BF" w:rsidP="00E862BF">
            <w:pPr>
              <w:spacing w:before="80" w:after="80" w:line="200" w:lineRule="exact"/>
              <w:jc w:val="center"/>
              <w:rPr>
                <w:i/>
                <w:sz w:val="16"/>
                <w:lang w:val="fr-CH"/>
              </w:rPr>
            </w:pPr>
          </w:p>
        </w:tc>
        <w:tc>
          <w:tcPr>
            <w:tcW w:w="2418" w:type="dxa"/>
            <w:gridSpan w:val="3"/>
            <w:tcBorders>
              <w:top w:val="single" w:sz="4" w:space="0" w:color="auto"/>
              <w:left w:val="nil"/>
              <w:bottom w:val="single" w:sz="4" w:space="0" w:color="auto"/>
            </w:tcBorders>
            <w:shd w:val="clear" w:color="000000" w:fill="auto"/>
          </w:tcPr>
          <w:p w:rsidR="00E862BF" w:rsidRPr="00B2542A" w:rsidRDefault="00E862BF" w:rsidP="00B2542A">
            <w:pPr>
              <w:spacing w:before="80" w:after="80" w:line="200" w:lineRule="exact"/>
              <w:jc w:val="center"/>
              <w:rPr>
                <w:i/>
                <w:sz w:val="16"/>
                <w:lang w:val="fr-CH"/>
              </w:rPr>
            </w:pPr>
            <w:r w:rsidRPr="00B2542A">
              <w:rPr>
                <w:i/>
                <w:sz w:val="16"/>
                <w:lang w:val="fr-CH"/>
              </w:rPr>
              <w:t>2009</w:t>
            </w:r>
          </w:p>
        </w:tc>
      </w:tr>
      <w:tr w:rsidR="00E862BF" w:rsidRPr="00B2542A" w:rsidTr="00E862BF">
        <w:tc>
          <w:tcPr>
            <w:tcW w:w="2223" w:type="dxa"/>
            <w:vMerge/>
            <w:tcBorders>
              <w:bottom w:val="single" w:sz="12" w:space="0" w:color="auto"/>
            </w:tcBorders>
            <w:shd w:val="clear" w:color="000000" w:fill="auto"/>
          </w:tcPr>
          <w:p w:rsidR="00E862BF" w:rsidRPr="00B2542A" w:rsidRDefault="00E862BF" w:rsidP="00B2542A">
            <w:pPr>
              <w:spacing w:before="40" w:after="40" w:line="220" w:lineRule="exact"/>
              <w:rPr>
                <w:sz w:val="18"/>
                <w:lang w:val="fr-CH"/>
              </w:rPr>
            </w:pPr>
          </w:p>
        </w:tc>
        <w:tc>
          <w:tcPr>
            <w:tcW w:w="113" w:type="dxa"/>
            <w:vMerge/>
            <w:tcBorders>
              <w:top w:val="nil"/>
              <w:bottom w:val="single" w:sz="12" w:space="0" w:color="auto"/>
              <w:right w:val="nil"/>
            </w:tcBorders>
            <w:shd w:val="clear" w:color="000000" w:fill="auto"/>
            <w:tcMar>
              <w:top w:w="20" w:type="dxa"/>
              <w:left w:w="20" w:type="dxa"/>
              <w:bottom w:w="0" w:type="dxa"/>
              <w:right w:w="20" w:type="dxa"/>
            </w:tcMar>
          </w:tcPr>
          <w:p w:rsidR="00E862BF" w:rsidRPr="00B2542A" w:rsidRDefault="00E862BF" w:rsidP="00E862BF">
            <w:pPr>
              <w:spacing w:before="80" w:after="80" w:line="200" w:lineRule="exact"/>
              <w:jc w:val="right"/>
              <w:rPr>
                <w:i/>
                <w:sz w:val="16"/>
                <w:lang w:val="fr-CH"/>
              </w:rPr>
            </w:pPr>
          </w:p>
        </w:tc>
        <w:tc>
          <w:tcPr>
            <w:tcW w:w="686" w:type="dxa"/>
            <w:tcBorders>
              <w:top w:val="nil"/>
              <w:left w:val="nil"/>
              <w:bottom w:val="single" w:sz="12" w:space="0" w:color="auto"/>
            </w:tcBorders>
            <w:shd w:val="clear" w:color="000000" w:fill="auto"/>
          </w:tcPr>
          <w:p w:rsidR="00E862BF" w:rsidRPr="00B2542A" w:rsidRDefault="00E862BF" w:rsidP="00B2542A">
            <w:pPr>
              <w:spacing w:before="80" w:after="80" w:line="200" w:lineRule="exact"/>
              <w:jc w:val="right"/>
              <w:rPr>
                <w:i/>
                <w:sz w:val="16"/>
                <w:lang w:val="fr-CH"/>
              </w:rPr>
            </w:pPr>
            <w:r w:rsidRPr="00B2542A">
              <w:rPr>
                <w:i/>
                <w:sz w:val="16"/>
                <w:lang w:val="fr-CH"/>
              </w:rPr>
              <w:t>Total</w:t>
            </w:r>
          </w:p>
        </w:tc>
        <w:tc>
          <w:tcPr>
            <w:tcW w:w="992" w:type="dxa"/>
            <w:tcBorders>
              <w:top w:val="nil"/>
              <w:bottom w:val="single" w:sz="12" w:space="0" w:color="auto"/>
            </w:tcBorders>
            <w:shd w:val="clear" w:color="000000" w:fill="auto"/>
            <w:tcMar>
              <w:top w:w="20" w:type="dxa"/>
              <w:left w:w="20" w:type="dxa"/>
              <w:bottom w:w="0" w:type="dxa"/>
              <w:right w:w="20" w:type="dxa"/>
            </w:tcMar>
          </w:tcPr>
          <w:p w:rsidR="00E862BF" w:rsidRPr="00B2542A" w:rsidRDefault="00E862BF" w:rsidP="00B2542A">
            <w:pPr>
              <w:spacing w:before="80" w:after="80" w:line="200" w:lineRule="exact"/>
              <w:jc w:val="right"/>
              <w:rPr>
                <w:i/>
                <w:sz w:val="16"/>
                <w:lang w:val="fr-CH"/>
              </w:rPr>
            </w:pPr>
            <w:r w:rsidRPr="00B2542A">
              <w:rPr>
                <w:i/>
                <w:sz w:val="16"/>
                <w:lang w:val="fr-CH"/>
              </w:rPr>
              <w:t>Dont filles</w:t>
            </w:r>
          </w:p>
        </w:tc>
        <w:tc>
          <w:tcPr>
            <w:tcW w:w="775" w:type="dxa"/>
            <w:tcBorders>
              <w:top w:val="nil"/>
              <w:bottom w:val="single" w:sz="12" w:space="0" w:color="auto"/>
            </w:tcBorders>
            <w:shd w:val="clear" w:color="000000" w:fill="auto"/>
            <w:tcMar>
              <w:top w:w="20" w:type="dxa"/>
              <w:left w:w="20" w:type="dxa"/>
              <w:bottom w:w="0" w:type="dxa"/>
              <w:right w:w="20" w:type="dxa"/>
            </w:tcMar>
          </w:tcPr>
          <w:p w:rsidR="00E862BF" w:rsidRPr="00B2542A" w:rsidRDefault="00E862BF" w:rsidP="00B2542A">
            <w:pPr>
              <w:spacing w:before="80" w:after="80" w:line="200" w:lineRule="exact"/>
              <w:jc w:val="right"/>
              <w:rPr>
                <w:i/>
                <w:sz w:val="16"/>
                <w:lang w:val="fr-CH"/>
              </w:rPr>
            </w:pPr>
            <w:r w:rsidRPr="00B2542A">
              <w:rPr>
                <w:i/>
                <w:sz w:val="16"/>
                <w:lang w:val="fr-CH"/>
              </w:rPr>
              <w:t xml:space="preserve"> % filles</w:t>
            </w:r>
          </w:p>
        </w:tc>
        <w:tc>
          <w:tcPr>
            <w:tcW w:w="115" w:type="dxa"/>
            <w:vMerge/>
            <w:tcBorders>
              <w:top w:val="nil"/>
              <w:bottom w:val="single" w:sz="12" w:space="0" w:color="auto"/>
              <w:right w:val="nil"/>
            </w:tcBorders>
            <w:shd w:val="clear" w:color="000000" w:fill="auto"/>
            <w:tcMar>
              <w:top w:w="20" w:type="dxa"/>
              <w:left w:w="20" w:type="dxa"/>
              <w:bottom w:w="0" w:type="dxa"/>
              <w:right w:w="20" w:type="dxa"/>
            </w:tcMar>
          </w:tcPr>
          <w:p w:rsidR="00E862BF" w:rsidRPr="00B2542A" w:rsidRDefault="00E862BF" w:rsidP="00E862BF">
            <w:pPr>
              <w:spacing w:before="80" w:after="80" w:line="200" w:lineRule="exact"/>
              <w:jc w:val="right"/>
              <w:rPr>
                <w:i/>
                <w:sz w:val="16"/>
                <w:lang w:val="fr-CH"/>
              </w:rPr>
            </w:pPr>
          </w:p>
        </w:tc>
        <w:tc>
          <w:tcPr>
            <w:tcW w:w="650" w:type="dxa"/>
            <w:tcBorders>
              <w:top w:val="nil"/>
              <w:left w:val="nil"/>
              <w:bottom w:val="single" w:sz="12" w:space="0" w:color="auto"/>
            </w:tcBorders>
            <w:shd w:val="clear" w:color="000000" w:fill="auto"/>
          </w:tcPr>
          <w:p w:rsidR="00E862BF" w:rsidRPr="00B2542A" w:rsidRDefault="00E862BF" w:rsidP="00B2542A">
            <w:pPr>
              <w:spacing w:before="80" w:after="80" w:line="200" w:lineRule="exact"/>
              <w:jc w:val="right"/>
              <w:rPr>
                <w:i/>
                <w:sz w:val="16"/>
                <w:lang w:val="fr-CH"/>
              </w:rPr>
            </w:pPr>
            <w:r w:rsidRPr="00B2542A">
              <w:rPr>
                <w:i/>
                <w:sz w:val="16"/>
                <w:lang w:val="fr-CH"/>
              </w:rPr>
              <w:t>Total</w:t>
            </w:r>
          </w:p>
        </w:tc>
        <w:tc>
          <w:tcPr>
            <w:tcW w:w="884" w:type="dxa"/>
            <w:tcBorders>
              <w:top w:val="nil"/>
              <w:bottom w:val="single" w:sz="12" w:space="0" w:color="auto"/>
            </w:tcBorders>
            <w:shd w:val="clear" w:color="000000" w:fill="auto"/>
            <w:tcMar>
              <w:top w:w="20" w:type="dxa"/>
              <w:left w:w="20" w:type="dxa"/>
              <w:bottom w:w="0" w:type="dxa"/>
              <w:right w:w="20" w:type="dxa"/>
            </w:tcMar>
          </w:tcPr>
          <w:p w:rsidR="00E862BF" w:rsidRPr="00B2542A" w:rsidRDefault="00E862BF" w:rsidP="00B2542A">
            <w:pPr>
              <w:spacing w:before="80" w:after="80" w:line="200" w:lineRule="exact"/>
              <w:jc w:val="right"/>
              <w:rPr>
                <w:i/>
                <w:sz w:val="16"/>
                <w:lang w:val="fr-CH"/>
              </w:rPr>
            </w:pPr>
            <w:r w:rsidRPr="00B2542A">
              <w:rPr>
                <w:i/>
                <w:sz w:val="16"/>
                <w:lang w:val="fr-CH"/>
              </w:rPr>
              <w:t>Dont filles</w:t>
            </w:r>
          </w:p>
        </w:tc>
        <w:tc>
          <w:tcPr>
            <w:tcW w:w="884" w:type="dxa"/>
            <w:tcBorders>
              <w:top w:val="nil"/>
              <w:bottom w:val="single" w:sz="12" w:space="0" w:color="auto"/>
            </w:tcBorders>
            <w:shd w:val="clear" w:color="000000" w:fill="auto"/>
            <w:tcMar>
              <w:top w:w="20" w:type="dxa"/>
              <w:left w:w="20" w:type="dxa"/>
              <w:bottom w:w="0" w:type="dxa"/>
              <w:right w:w="20" w:type="dxa"/>
            </w:tcMar>
          </w:tcPr>
          <w:p w:rsidR="00E862BF" w:rsidRPr="00B2542A" w:rsidRDefault="00E862BF" w:rsidP="00B2542A">
            <w:pPr>
              <w:spacing w:before="80" w:after="80" w:line="200" w:lineRule="exact"/>
              <w:jc w:val="right"/>
              <w:rPr>
                <w:i/>
                <w:sz w:val="16"/>
                <w:lang w:val="fr-CH"/>
              </w:rPr>
            </w:pPr>
            <w:r w:rsidRPr="00B2542A">
              <w:rPr>
                <w:i/>
                <w:sz w:val="16"/>
                <w:lang w:val="fr-CH"/>
              </w:rPr>
              <w:t xml:space="preserve"> % filles</w:t>
            </w:r>
          </w:p>
        </w:tc>
      </w:tr>
      <w:tr w:rsidR="00E862BF" w:rsidRPr="00B2542A" w:rsidTr="00E862BF">
        <w:trPr>
          <w:trHeight w:val="480"/>
        </w:trPr>
        <w:tc>
          <w:tcPr>
            <w:tcW w:w="2223" w:type="dxa"/>
            <w:tcBorders>
              <w:top w:val="single" w:sz="12" w:space="0" w:color="auto"/>
            </w:tcBorders>
            <w:shd w:val="clear" w:color="000000" w:fill="auto"/>
            <w:tcMar>
              <w:top w:w="20" w:type="dxa"/>
              <w:left w:w="20" w:type="dxa"/>
              <w:bottom w:w="0" w:type="dxa"/>
              <w:right w:w="20" w:type="dxa"/>
            </w:tcMar>
          </w:tcPr>
          <w:p w:rsidR="00E862BF" w:rsidRPr="00B2542A" w:rsidRDefault="00E862BF" w:rsidP="00C179E4">
            <w:pPr>
              <w:spacing w:before="40" w:after="40" w:line="220" w:lineRule="exact"/>
              <w:rPr>
                <w:sz w:val="18"/>
                <w:lang w:val="fr-CH"/>
              </w:rPr>
            </w:pPr>
            <w:r w:rsidRPr="00B2542A">
              <w:rPr>
                <w:sz w:val="18"/>
                <w:lang w:val="fr-CH"/>
              </w:rPr>
              <w:t>Ministère de la formation professionnelle et de l’emploi</w:t>
            </w:r>
          </w:p>
        </w:tc>
        <w:tc>
          <w:tcPr>
            <w:tcW w:w="113" w:type="dxa"/>
            <w:tcBorders>
              <w:top w:val="single" w:sz="12" w:space="0" w:color="auto"/>
              <w:bottom w:val="nil"/>
              <w:right w:val="nil"/>
            </w:tcBorders>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p>
        </w:tc>
        <w:tc>
          <w:tcPr>
            <w:tcW w:w="686" w:type="dxa"/>
            <w:tcBorders>
              <w:top w:val="single" w:sz="12" w:space="0" w:color="auto"/>
              <w:left w:val="nil"/>
            </w:tcBorders>
            <w:shd w:val="clear" w:color="000000" w:fill="auto"/>
          </w:tcPr>
          <w:p w:rsidR="00E862BF" w:rsidRPr="00B2542A" w:rsidRDefault="00E862BF" w:rsidP="00C179E4">
            <w:pPr>
              <w:spacing w:before="40" w:after="40" w:line="220" w:lineRule="exact"/>
              <w:jc w:val="right"/>
              <w:rPr>
                <w:sz w:val="18"/>
                <w:lang w:val="fr-CH"/>
              </w:rPr>
            </w:pPr>
            <w:r w:rsidRPr="00B2542A">
              <w:rPr>
                <w:sz w:val="18"/>
                <w:lang w:val="fr-CH"/>
              </w:rPr>
              <w:t>12.295</w:t>
            </w:r>
          </w:p>
        </w:tc>
        <w:tc>
          <w:tcPr>
            <w:tcW w:w="992" w:type="dxa"/>
            <w:tcBorders>
              <w:top w:val="single" w:sz="12" w:space="0" w:color="auto"/>
            </w:tcBorders>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r w:rsidRPr="00B2542A">
              <w:rPr>
                <w:sz w:val="18"/>
                <w:lang w:val="fr-CH"/>
              </w:rPr>
              <w:t>4.315</w:t>
            </w:r>
          </w:p>
        </w:tc>
        <w:tc>
          <w:tcPr>
            <w:tcW w:w="775" w:type="dxa"/>
            <w:tcBorders>
              <w:top w:val="single" w:sz="12" w:space="0" w:color="auto"/>
            </w:tcBorders>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r w:rsidRPr="00B2542A">
              <w:rPr>
                <w:sz w:val="18"/>
                <w:lang w:val="fr-CH"/>
              </w:rPr>
              <w:t xml:space="preserve">35 </w:t>
            </w:r>
          </w:p>
        </w:tc>
        <w:tc>
          <w:tcPr>
            <w:tcW w:w="115" w:type="dxa"/>
            <w:tcBorders>
              <w:top w:val="single" w:sz="12" w:space="0" w:color="auto"/>
              <w:right w:val="nil"/>
            </w:tcBorders>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p>
        </w:tc>
        <w:tc>
          <w:tcPr>
            <w:tcW w:w="650" w:type="dxa"/>
            <w:tcBorders>
              <w:top w:val="single" w:sz="12" w:space="0" w:color="auto"/>
              <w:left w:val="nil"/>
            </w:tcBorders>
            <w:shd w:val="clear" w:color="000000" w:fill="auto"/>
          </w:tcPr>
          <w:p w:rsidR="00E862BF" w:rsidRPr="00B2542A" w:rsidRDefault="00E862BF" w:rsidP="00C179E4">
            <w:pPr>
              <w:spacing w:before="40" w:after="40" w:line="220" w:lineRule="exact"/>
              <w:jc w:val="right"/>
              <w:rPr>
                <w:sz w:val="18"/>
                <w:lang w:val="fr-CH"/>
              </w:rPr>
            </w:pPr>
            <w:r w:rsidRPr="00B2542A">
              <w:rPr>
                <w:sz w:val="18"/>
                <w:lang w:val="fr-CH"/>
              </w:rPr>
              <w:t>26.768</w:t>
            </w:r>
          </w:p>
        </w:tc>
        <w:tc>
          <w:tcPr>
            <w:tcW w:w="884" w:type="dxa"/>
            <w:tcBorders>
              <w:top w:val="single" w:sz="12" w:space="0" w:color="auto"/>
            </w:tcBorders>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r w:rsidRPr="00B2542A">
              <w:rPr>
                <w:sz w:val="18"/>
                <w:lang w:val="fr-CH"/>
              </w:rPr>
              <w:t>8.502</w:t>
            </w:r>
          </w:p>
        </w:tc>
        <w:tc>
          <w:tcPr>
            <w:tcW w:w="884" w:type="dxa"/>
            <w:tcBorders>
              <w:top w:val="single" w:sz="12" w:space="0" w:color="auto"/>
            </w:tcBorders>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r w:rsidRPr="00B2542A">
              <w:rPr>
                <w:sz w:val="18"/>
                <w:lang w:val="fr-CH"/>
              </w:rPr>
              <w:t xml:space="preserve">32 </w:t>
            </w:r>
          </w:p>
        </w:tc>
      </w:tr>
      <w:tr w:rsidR="00E862BF" w:rsidRPr="00B2542A" w:rsidTr="00E862BF">
        <w:trPr>
          <w:trHeight w:val="255"/>
        </w:trPr>
        <w:tc>
          <w:tcPr>
            <w:tcW w:w="2223" w:type="dxa"/>
            <w:shd w:val="clear" w:color="000000" w:fill="auto"/>
            <w:tcMar>
              <w:top w:w="20" w:type="dxa"/>
              <w:left w:w="20" w:type="dxa"/>
              <w:bottom w:w="0" w:type="dxa"/>
              <w:right w:w="20" w:type="dxa"/>
            </w:tcMar>
          </w:tcPr>
          <w:p w:rsidR="00E862BF" w:rsidRPr="00B2542A" w:rsidRDefault="00E862BF" w:rsidP="00C179E4">
            <w:pPr>
              <w:spacing w:before="40" w:after="40" w:line="220" w:lineRule="exact"/>
              <w:rPr>
                <w:sz w:val="18"/>
                <w:lang w:val="fr-CH"/>
              </w:rPr>
            </w:pPr>
            <w:r w:rsidRPr="00B2542A">
              <w:rPr>
                <w:sz w:val="18"/>
                <w:lang w:val="fr-CH"/>
              </w:rPr>
              <w:t>Ministère de l’agriculture, des Ressources Hydrauliques et de Pêche</w:t>
            </w:r>
          </w:p>
        </w:tc>
        <w:tc>
          <w:tcPr>
            <w:tcW w:w="113" w:type="dxa"/>
            <w:tcBorders>
              <w:top w:val="nil"/>
              <w:bottom w:val="nil"/>
              <w:right w:val="nil"/>
            </w:tcBorders>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p>
        </w:tc>
        <w:tc>
          <w:tcPr>
            <w:tcW w:w="686" w:type="dxa"/>
            <w:tcBorders>
              <w:left w:val="nil"/>
            </w:tcBorders>
            <w:shd w:val="clear" w:color="000000" w:fill="auto"/>
          </w:tcPr>
          <w:p w:rsidR="00E862BF" w:rsidRPr="00B2542A" w:rsidRDefault="00E862BF" w:rsidP="00C179E4">
            <w:pPr>
              <w:spacing w:before="40" w:after="40" w:line="220" w:lineRule="exact"/>
              <w:jc w:val="right"/>
              <w:rPr>
                <w:sz w:val="18"/>
                <w:lang w:val="fr-CH"/>
              </w:rPr>
            </w:pPr>
            <w:r w:rsidRPr="00B2542A">
              <w:rPr>
                <w:sz w:val="18"/>
                <w:lang w:val="fr-CH"/>
              </w:rPr>
              <w:t>477</w:t>
            </w:r>
          </w:p>
        </w:tc>
        <w:tc>
          <w:tcPr>
            <w:tcW w:w="992" w:type="dxa"/>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r w:rsidRPr="00B2542A">
              <w:rPr>
                <w:sz w:val="18"/>
                <w:lang w:val="fr-CH"/>
              </w:rPr>
              <w:t>78</w:t>
            </w:r>
          </w:p>
        </w:tc>
        <w:tc>
          <w:tcPr>
            <w:tcW w:w="775" w:type="dxa"/>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r w:rsidRPr="00B2542A">
              <w:rPr>
                <w:sz w:val="18"/>
                <w:lang w:val="fr-CH"/>
              </w:rPr>
              <w:t xml:space="preserve">16 </w:t>
            </w:r>
          </w:p>
        </w:tc>
        <w:tc>
          <w:tcPr>
            <w:tcW w:w="115" w:type="dxa"/>
            <w:tcBorders>
              <w:right w:val="nil"/>
            </w:tcBorders>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p>
        </w:tc>
        <w:tc>
          <w:tcPr>
            <w:tcW w:w="650" w:type="dxa"/>
            <w:tcBorders>
              <w:left w:val="nil"/>
            </w:tcBorders>
            <w:shd w:val="clear" w:color="000000" w:fill="auto"/>
          </w:tcPr>
          <w:p w:rsidR="00E862BF" w:rsidRPr="00B2542A" w:rsidRDefault="00E862BF" w:rsidP="00C179E4">
            <w:pPr>
              <w:spacing w:before="40" w:after="40" w:line="220" w:lineRule="exact"/>
              <w:jc w:val="right"/>
              <w:rPr>
                <w:sz w:val="18"/>
                <w:lang w:val="fr-CH"/>
              </w:rPr>
            </w:pPr>
            <w:r w:rsidRPr="00B2542A">
              <w:rPr>
                <w:sz w:val="18"/>
                <w:lang w:val="fr-CH"/>
              </w:rPr>
              <w:t>644</w:t>
            </w:r>
          </w:p>
        </w:tc>
        <w:tc>
          <w:tcPr>
            <w:tcW w:w="884" w:type="dxa"/>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r w:rsidRPr="00B2542A">
              <w:rPr>
                <w:sz w:val="18"/>
                <w:lang w:val="fr-CH"/>
              </w:rPr>
              <w:t>128</w:t>
            </w:r>
          </w:p>
        </w:tc>
        <w:tc>
          <w:tcPr>
            <w:tcW w:w="884" w:type="dxa"/>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r w:rsidRPr="00B2542A">
              <w:rPr>
                <w:sz w:val="18"/>
                <w:lang w:val="fr-CH"/>
              </w:rPr>
              <w:t xml:space="preserve">20 </w:t>
            </w:r>
          </w:p>
        </w:tc>
      </w:tr>
      <w:tr w:rsidR="00E862BF" w:rsidRPr="00B2542A" w:rsidTr="00E862BF">
        <w:trPr>
          <w:trHeight w:val="255"/>
        </w:trPr>
        <w:tc>
          <w:tcPr>
            <w:tcW w:w="2223" w:type="dxa"/>
            <w:shd w:val="clear" w:color="000000" w:fill="auto"/>
            <w:tcMar>
              <w:top w:w="20" w:type="dxa"/>
              <w:left w:w="20" w:type="dxa"/>
              <w:bottom w:w="0" w:type="dxa"/>
              <w:right w:w="20" w:type="dxa"/>
            </w:tcMar>
          </w:tcPr>
          <w:p w:rsidR="00E862BF" w:rsidRPr="00B2542A" w:rsidRDefault="00E862BF" w:rsidP="00C179E4">
            <w:pPr>
              <w:spacing w:before="40" w:after="40" w:line="220" w:lineRule="exact"/>
              <w:rPr>
                <w:sz w:val="18"/>
                <w:lang w:val="fr-CH"/>
              </w:rPr>
            </w:pPr>
            <w:r w:rsidRPr="00B2542A">
              <w:rPr>
                <w:sz w:val="18"/>
                <w:lang w:val="fr-CH"/>
              </w:rPr>
              <w:t>Ministère du tourisme</w:t>
            </w:r>
          </w:p>
        </w:tc>
        <w:tc>
          <w:tcPr>
            <w:tcW w:w="113" w:type="dxa"/>
            <w:tcBorders>
              <w:top w:val="nil"/>
              <w:bottom w:val="nil"/>
              <w:right w:val="nil"/>
            </w:tcBorders>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p>
        </w:tc>
        <w:tc>
          <w:tcPr>
            <w:tcW w:w="686" w:type="dxa"/>
            <w:tcBorders>
              <w:left w:val="nil"/>
            </w:tcBorders>
            <w:shd w:val="clear" w:color="000000" w:fill="auto"/>
          </w:tcPr>
          <w:p w:rsidR="00E862BF" w:rsidRPr="00B2542A" w:rsidRDefault="00E862BF" w:rsidP="00C179E4">
            <w:pPr>
              <w:spacing w:before="40" w:after="40" w:line="220" w:lineRule="exact"/>
              <w:jc w:val="right"/>
              <w:rPr>
                <w:sz w:val="18"/>
                <w:lang w:val="fr-CH"/>
              </w:rPr>
            </w:pPr>
            <w:r w:rsidRPr="00B2542A">
              <w:rPr>
                <w:sz w:val="18"/>
                <w:lang w:val="fr-CH"/>
              </w:rPr>
              <w:t>990</w:t>
            </w:r>
          </w:p>
        </w:tc>
        <w:tc>
          <w:tcPr>
            <w:tcW w:w="992" w:type="dxa"/>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r w:rsidRPr="00B2542A">
              <w:rPr>
                <w:sz w:val="18"/>
                <w:lang w:val="fr-CH"/>
              </w:rPr>
              <w:t>329</w:t>
            </w:r>
          </w:p>
        </w:tc>
        <w:tc>
          <w:tcPr>
            <w:tcW w:w="775" w:type="dxa"/>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r w:rsidRPr="00B2542A">
              <w:rPr>
                <w:sz w:val="18"/>
                <w:lang w:val="fr-CH"/>
              </w:rPr>
              <w:t xml:space="preserve">33 </w:t>
            </w:r>
          </w:p>
        </w:tc>
        <w:tc>
          <w:tcPr>
            <w:tcW w:w="115" w:type="dxa"/>
            <w:tcBorders>
              <w:right w:val="nil"/>
            </w:tcBorders>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p>
        </w:tc>
        <w:tc>
          <w:tcPr>
            <w:tcW w:w="650" w:type="dxa"/>
            <w:tcBorders>
              <w:left w:val="nil"/>
            </w:tcBorders>
            <w:shd w:val="clear" w:color="000000" w:fill="auto"/>
          </w:tcPr>
          <w:p w:rsidR="00E862BF" w:rsidRPr="00B2542A" w:rsidRDefault="00E862BF" w:rsidP="00C179E4">
            <w:pPr>
              <w:spacing w:before="40" w:after="40" w:line="220" w:lineRule="exact"/>
              <w:jc w:val="right"/>
              <w:rPr>
                <w:sz w:val="18"/>
                <w:lang w:val="fr-CH"/>
              </w:rPr>
            </w:pPr>
            <w:r w:rsidRPr="00B2542A">
              <w:rPr>
                <w:sz w:val="18"/>
                <w:lang w:val="fr-CH"/>
              </w:rPr>
              <w:t>1.020</w:t>
            </w:r>
          </w:p>
        </w:tc>
        <w:tc>
          <w:tcPr>
            <w:tcW w:w="884" w:type="dxa"/>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r w:rsidRPr="00B2542A">
              <w:rPr>
                <w:sz w:val="18"/>
                <w:lang w:val="fr-CH"/>
              </w:rPr>
              <w:t>199</w:t>
            </w:r>
          </w:p>
        </w:tc>
        <w:tc>
          <w:tcPr>
            <w:tcW w:w="884" w:type="dxa"/>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r w:rsidRPr="00B2542A">
              <w:rPr>
                <w:sz w:val="18"/>
                <w:lang w:val="fr-CH"/>
              </w:rPr>
              <w:t xml:space="preserve">20 </w:t>
            </w:r>
          </w:p>
        </w:tc>
      </w:tr>
      <w:tr w:rsidR="00E862BF" w:rsidRPr="00B2542A" w:rsidTr="00C179E4">
        <w:tc>
          <w:tcPr>
            <w:tcW w:w="2223" w:type="dxa"/>
            <w:tcBorders>
              <w:bottom w:val="nil"/>
            </w:tcBorders>
            <w:shd w:val="clear" w:color="000000" w:fill="auto"/>
            <w:tcMar>
              <w:top w:w="20" w:type="dxa"/>
              <w:left w:w="20" w:type="dxa"/>
              <w:bottom w:w="0" w:type="dxa"/>
              <w:right w:w="20" w:type="dxa"/>
            </w:tcMar>
          </w:tcPr>
          <w:p w:rsidR="00E862BF" w:rsidRPr="00B2542A" w:rsidRDefault="00E862BF" w:rsidP="00C179E4">
            <w:pPr>
              <w:spacing w:before="40" w:after="40" w:line="220" w:lineRule="exact"/>
              <w:rPr>
                <w:sz w:val="18"/>
                <w:lang w:val="fr-CH"/>
              </w:rPr>
            </w:pPr>
            <w:r w:rsidRPr="00B2542A">
              <w:rPr>
                <w:sz w:val="18"/>
                <w:lang w:val="fr-CH"/>
              </w:rPr>
              <w:t>Ministère de la défense nationale</w:t>
            </w:r>
          </w:p>
        </w:tc>
        <w:tc>
          <w:tcPr>
            <w:tcW w:w="113" w:type="dxa"/>
            <w:tcBorders>
              <w:top w:val="nil"/>
              <w:bottom w:val="nil"/>
              <w:right w:val="nil"/>
            </w:tcBorders>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p>
        </w:tc>
        <w:tc>
          <w:tcPr>
            <w:tcW w:w="686" w:type="dxa"/>
            <w:tcBorders>
              <w:left w:val="nil"/>
              <w:bottom w:val="nil"/>
            </w:tcBorders>
            <w:shd w:val="clear" w:color="000000" w:fill="auto"/>
          </w:tcPr>
          <w:p w:rsidR="00E862BF" w:rsidRPr="00B2542A" w:rsidRDefault="00E862BF" w:rsidP="00C179E4">
            <w:pPr>
              <w:spacing w:before="40" w:after="40" w:line="220" w:lineRule="exact"/>
              <w:jc w:val="right"/>
              <w:rPr>
                <w:sz w:val="18"/>
                <w:lang w:val="fr-CH"/>
              </w:rPr>
            </w:pPr>
            <w:r w:rsidRPr="00B2542A">
              <w:rPr>
                <w:sz w:val="18"/>
                <w:lang w:val="fr-CH"/>
              </w:rPr>
              <w:t>246</w:t>
            </w:r>
          </w:p>
        </w:tc>
        <w:tc>
          <w:tcPr>
            <w:tcW w:w="992" w:type="dxa"/>
            <w:tcBorders>
              <w:bottom w:val="nil"/>
            </w:tcBorders>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r w:rsidRPr="00B2542A">
              <w:rPr>
                <w:sz w:val="18"/>
                <w:lang w:val="fr-CH"/>
              </w:rPr>
              <w:t>0</w:t>
            </w:r>
          </w:p>
        </w:tc>
        <w:tc>
          <w:tcPr>
            <w:tcW w:w="775" w:type="dxa"/>
            <w:tcBorders>
              <w:bottom w:val="nil"/>
            </w:tcBorders>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r w:rsidRPr="00B2542A">
              <w:rPr>
                <w:sz w:val="18"/>
                <w:lang w:val="fr-CH"/>
              </w:rPr>
              <w:t>0</w:t>
            </w:r>
          </w:p>
        </w:tc>
        <w:tc>
          <w:tcPr>
            <w:tcW w:w="115" w:type="dxa"/>
            <w:tcBorders>
              <w:bottom w:val="nil"/>
              <w:right w:val="nil"/>
            </w:tcBorders>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p>
        </w:tc>
        <w:tc>
          <w:tcPr>
            <w:tcW w:w="650" w:type="dxa"/>
            <w:tcBorders>
              <w:left w:val="nil"/>
              <w:bottom w:val="nil"/>
            </w:tcBorders>
            <w:shd w:val="clear" w:color="000000" w:fill="auto"/>
          </w:tcPr>
          <w:p w:rsidR="00E862BF" w:rsidRPr="00B2542A" w:rsidRDefault="00E862BF" w:rsidP="00C179E4">
            <w:pPr>
              <w:spacing w:before="40" w:after="40" w:line="220" w:lineRule="exact"/>
              <w:jc w:val="right"/>
              <w:rPr>
                <w:sz w:val="18"/>
                <w:lang w:val="fr-CH"/>
              </w:rPr>
            </w:pPr>
            <w:r w:rsidRPr="00B2542A">
              <w:rPr>
                <w:sz w:val="18"/>
                <w:lang w:val="fr-CH"/>
              </w:rPr>
              <w:t>460</w:t>
            </w:r>
          </w:p>
        </w:tc>
        <w:tc>
          <w:tcPr>
            <w:tcW w:w="884" w:type="dxa"/>
            <w:tcBorders>
              <w:bottom w:val="nil"/>
            </w:tcBorders>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r w:rsidRPr="00B2542A">
              <w:rPr>
                <w:sz w:val="18"/>
                <w:lang w:val="fr-CH"/>
              </w:rPr>
              <w:t>60</w:t>
            </w:r>
          </w:p>
        </w:tc>
        <w:tc>
          <w:tcPr>
            <w:tcW w:w="884" w:type="dxa"/>
            <w:tcBorders>
              <w:bottom w:val="nil"/>
            </w:tcBorders>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r w:rsidRPr="00B2542A">
              <w:rPr>
                <w:sz w:val="18"/>
                <w:lang w:val="fr-CH"/>
              </w:rPr>
              <w:t xml:space="preserve">13 </w:t>
            </w:r>
          </w:p>
        </w:tc>
      </w:tr>
      <w:tr w:rsidR="00E862BF" w:rsidRPr="00B2542A" w:rsidTr="00C179E4">
        <w:tc>
          <w:tcPr>
            <w:tcW w:w="2223" w:type="dxa"/>
            <w:tcBorders>
              <w:top w:val="nil"/>
              <w:bottom w:val="single" w:sz="4" w:space="0" w:color="auto"/>
            </w:tcBorders>
            <w:shd w:val="clear" w:color="000000" w:fill="auto"/>
            <w:tcMar>
              <w:top w:w="20" w:type="dxa"/>
              <w:left w:w="20" w:type="dxa"/>
              <w:bottom w:w="0" w:type="dxa"/>
              <w:right w:w="20" w:type="dxa"/>
            </w:tcMar>
          </w:tcPr>
          <w:p w:rsidR="00E862BF" w:rsidRPr="00B2542A" w:rsidRDefault="00E862BF" w:rsidP="00C179E4">
            <w:pPr>
              <w:spacing w:before="40" w:after="40" w:line="220" w:lineRule="exact"/>
              <w:rPr>
                <w:sz w:val="18"/>
                <w:lang w:val="fr-CH"/>
              </w:rPr>
            </w:pPr>
            <w:r w:rsidRPr="00B2542A">
              <w:rPr>
                <w:sz w:val="18"/>
                <w:lang w:val="fr-CH"/>
              </w:rPr>
              <w:t>Ministère de la santé publique</w:t>
            </w:r>
          </w:p>
        </w:tc>
        <w:tc>
          <w:tcPr>
            <w:tcW w:w="113" w:type="dxa"/>
            <w:tcBorders>
              <w:top w:val="nil"/>
              <w:bottom w:val="single" w:sz="4" w:space="0" w:color="auto"/>
              <w:right w:val="nil"/>
            </w:tcBorders>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p>
        </w:tc>
        <w:tc>
          <w:tcPr>
            <w:tcW w:w="686" w:type="dxa"/>
            <w:tcBorders>
              <w:top w:val="nil"/>
              <w:left w:val="nil"/>
              <w:bottom w:val="single" w:sz="4" w:space="0" w:color="auto"/>
            </w:tcBorders>
            <w:shd w:val="clear" w:color="000000" w:fill="auto"/>
          </w:tcPr>
          <w:p w:rsidR="00E862BF" w:rsidRPr="00B2542A" w:rsidRDefault="00E862BF" w:rsidP="00C179E4">
            <w:pPr>
              <w:spacing w:before="40" w:after="40" w:line="220" w:lineRule="exact"/>
              <w:jc w:val="right"/>
              <w:rPr>
                <w:sz w:val="18"/>
                <w:lang w:val="fr-CH"/>
              </w:rPr>
            </w:pPr>
            <w:r w:rsidRPr="00B2542A">
              <w:rPr>
                <w:sz w:val="18"/>
                <w:lang w:val="fr-CH"/>
              </w:rPr>
              <w:t>632</w:t>
            </w:r>
          </w:p>
        </w:tc>
        <w:tc>
          <w:tcPr>
            <w:tcW w:w="992" w:type="dxa"/>
            <w:tcBorders>
              <w:top w:val="nil"/>
              <w:bottom w:val="single" w:sz="4" w:space="0" w:color="auto"/>
            </w:tcBorders>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r w:rsidRPr="00B2542A">
              <w:rPr>
                <w:sz w:val="18"/>
                <w:lang w:val="fr-CH"/>
              </w:rPr>
              <w:t>442</w:t>
            </w:r>
          </w:p>
        </w:tc>
        <w:tc>
          <w:tcPr>
            <w:tcW w:w="775" w:type="dxa"/>
            <w:tcBorders>
              <w:top w:val="nil"/>
              <w:bottom w:val="single" w:sz="4" w:space="0" w:color="auto"/>
            </w:tcBorders>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r w:rsidRPr="00B2542A">
              <w:rPr>
                <w:sz w:val="18"/>
                <w:lang w:val="fr-CH"/>
              </w:rPr>
              <w:t xml:space="preserve">70 </w:t>
            </w:r>
          </w:p>
        </w:tc>
        <w:tc>
          <w:tcPr>
            <w:tcW w:w="115" w:type="dxa"/>
            <w:tcBorders>
              <w:top w:val="nil"/>
              <w:bottom w:val="single" w:sz="4" w:space="0" w:color="auto"/>
              <w:right w:val="nil"/>
            </w:tcBorders>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p>
        </w:tc>
        <w:tc>
          <w:tcPr>
            <w:tcW w:w="650" w:type="dxa"/>
            <w:tcBorders>
              <w:top w:val="nil"/>
              <w:left w:val="nil"/>
              <w:bottom w:val="single" w:sz="4" w:space="0" w:color="auto"/>
            </w:tcBorders>
            <w:shd w:val="clear" w:color="000000" w:fill="auto"/>
          </w:tcPr>
          <w:p w:rsidR="00E862BF" w:rsidRPr="00B2542A" w:rsidRDefault="00E862BF" w:rsidP="00C179E4">
            <w:pPr>
              <w:spacing w:before="40" w:after="40" w:line="220" w:lineRule="exact"/>
              <w:jc w:val="right"/>
              <w:rPr>
                <w:sz w:val="18"/>
                <w:lang w:val="fr-CH"/>
              </w:rPr>
            </w:pPr>
            <w:r w:rsidRPr="00B2542A">
              <w:rPr>
                <w:sz w:val="18"/>
                <w:lang w:val="fr-CH"/>
              </w:rPr>
              <w:t>1.097</w:t>
            </w:r>
          </w:p>
        </w:tc>
        <w:tc>
          <w:tcPr>
            <w:tcW w:w="884" w:type="dxa"/>
            <w:tcBorders>
              <w:top w:val="nil"/>
              <w:bottom w:val="single" w:sz="4" w:space="0" w:color="auto"/>
            </w:tcBorders>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r w:rsidRPr="00B2542A">
              <w:rPr>
                <w:sz w:val="18"/>
                <w:lang w:val="fr-CH"/>
              </w:rPr>
              <w:t>785</w:t>
            </w:r>
          </w:p>
        </w:tc>
        <w:tc>
          <w:tcPr>
            <w:tcW w:w="884" w:type="dxa"/>
            <w:tcBorders>
              <w:top w:val="nil"/>
              <w:bottom w:val="single" w:sz="4" w:space="0" w:color="auto"/>
            </w:tcBorders>
            <w:shd w:val="clear" w:color="000000" w:fill="auto"/>
            <w:tcMar>
              <w:top w:w="20" w:type="dxa"/>
              <w:left w:w="20" w:type="dxa"/>
              <w:bottom w:w="0" w:type="dxa"/>
              <w:right w:w="20" w:type="dxa"/>
            </w:tcMar>
          </w:tcPr>
          <w:p w:rsidR="00E862BF" w:rsidRPr="00B2542A" w:rsidRDefault="00E862BF" w:rsidP="00C179E4">
            <w:pPr>
              <w:spacing w:before="40" w:after="40" w:line="220" w:lineRule="exact"/>
              <w:jc w:val="right"/>
              <w:rPr>
                <w:sz w:val="18"/>
                <w:lang w:val="fr-CH"/>
              </w:rPr>
            </w:pPr>
            <w:r w:rsidRPr="00B2542A">
              <w:rPr>
                <w:sz w:val="18"/>
                <w:lang w:val="fr-CH"/>
              </w:rPr>
              <w:t xml:space="preserve">72 </w:t>
            </w:r>
          </w:p>
        </w:tc>
      </w:tr>
      <w:tr w:rsidR="00E862BF" w:rsidRPr="00C179E4" w:rsidTr="00C179E4">
        <w:trPr>
          <w:trHeight w:val="255"/>
        </w:trPr>
        <w:tc>
          <w:tcPr>
            <w:tcW w:w="2223" w:type="dxa"/>
            <w:tcBorders>
              <w:top w:val="single" w:sz="4" w:space="0" w:color="auto"/>
              <w:bottom w:val="single" w:sz="12" w:space="0" w:color="auto"/>
            </w:tcBorders>
            <w:shd w:val="clear" w:color="000000" w:fill="auto"/>
            <w:tcMar>
              <w:top w:w="20" w:type="dxa"/>
              <w:left w:w="20" w:type="dxa"/>
              <w:bottom w:w="0" w:type="dxa"/>
              <w:right w:w="20" w:type="dxa"/>
            </w:tcMar>
          </w:tcPr>
          <w:p w:rsidR="00E862BF" w:rsidRPr="00C179E4" w:rsidRDefault="00E862BF" w:rsidP="00C179E4">
            <w:pPr>
              <w:spacing w:before="40" w:after="40" w:line="220" w:lineRule="exact"/>
              <w:ind w:firstLine="284"/>
              <w:rPr>
                <w:b/>
                <w:sz w:val="18"/>
                <w:lang w:val="fr-CH"/>
              </w:rPr>
            </w:pPr>
            <w:r w:rsidRPr="00C179E4">
              <w:rPr>
                <w:b/>
                <w:sz w:val="18"/>
                <w:lang w:val="fr-CH"/>
              </w:rPr>
              <w:t>Total</w:t>
            </w:r>
          </w:p>
        </w:tc>
        <w:tc>
          <w:tcPr>
            <w:tcW w:w="113" w:type="dxa"/>
            <w:tcBorders>
              <w:top w:val="single" w:sz="4" w:space="0" w:color="auto"/>
              <w:bottom w:val="single" w:sz="12" w:space="0" w:color="auto"/>
              <w:right w:val="nil"/>
            </w:tcBorders>
            <w:shd w:val="clear" w:color="000000" w:fill="auto"/>
            <w:tcMar>
              <w:top w:w="20" w:type="dxa"/>
              <w:left w:w="20" w:type="dxa"/>
              <w:bottom w:w="0" w:type="dxa"/>
              <w:right w:w="20" w:type="dxa"/>
            </w:tcMar>
          </w:tcPr>
          <w:p w:rsidR="00E862BF" w:rsidRPr="00C179E4" w:rsidRDefault="00E862BF" w:rsidP="00C179E4">
            <w:pPr>
              <w:spacing w:before="40" w:after="40" w:line="220" w:lineRule="exact"/>
              <w:jc w:val="right"/>
              <w:rPr>
                <w:b/>
                <w:sz w:val="18"/>
                <w:lang w:val="fr-CH"/>
              </w:rPr>
            </w:pPr>
          </w:p>
        </w:tc>
        <w:tc>
          <w:tcPr>
            <w:tcW w:w="686" w:type="dxa"/>
            <w:tcBorders>
              <w:top w:val="single" w:sz="4" w:space="0" w:color="auto"/>
              <w:left w:val="nil"/>
              <w:bottom w:val="single" w:sz="12" w:space="0" w:color="auto"/>
            </w:tcBorders>
            <w:shd w:val="clear" w:color="000000" w:fill="auto"/>
          </w:tcPr>
          <w:p w:rsidR="00E862BF" w:rsidRPr="00C179E4" w:rsidRDefault="00E862BF" w:rsidP="00C179E4">
            <w:pPr>
              <w:spacing w:before="40" w:after="40" w:line="220" w:lineRule="exact"/>
              <w:jc w:val="right"/>
              <w:rPr>
                <w:b/>
                <w:sz w:val="18"/>
                <w:lang w:val="fr-CH"/>
              </w:rPr>
            </w:pPr>
            <w:r w:rsidRPr="00C179E4">
              <w:rPr>
                <w:b/>
                <w:sz w:val="18"/>
                <w:lang w:val="fr-CH"/>
              </w:rPr>
              <w:t>14.640</w:t>
            </w:r>
          </w:p>
        </w:tc>
        <w:tc>
          <w:tcPr>
            <w:tcW w:w="992" w:type="dxa"/>
            <w:tcBorders>
              <w:top w:val="single" w:sz="4" w:space="0" w:color="auto"/>
              <w:bottom w:val="single" w:sz="12" w:space="0" w:color="auto"/>
            </w:tcBorders>
            <w:shd w:val="clear" w:color="000000" w:fill="auto"/>
            <w:tcMar>
              <w:top w:w="20" w:type="dxa"/>
              <w:left w:w="20" w:type="dxa"/>
              <w:bottom w:w="0" w:type="dxa"/>
              <w:right w:w="20" w:type="dxa"/>
            </w:tcMar>
          </w:tcPr>
          <w:p w:rsidR="00E862BF" w:rsidRPr="00C179E4" w:rsidRDefault="00E862BF" w:rsidP="00C179E4">
            <w:pPr>
              <w:spacing w:before="40" w:after="40" w:line="220" w:lineRule="exact"/>
              <w:jc w:val="right"/>
              <w:rPr>
                <w:b/>
                <w:sz w:val="18"/>
                <w:lang w:val="fr-CH"/>
              </w:rPr>
            </w:pPr>
            <w:r w:rsidRPr="00C179E4">
              <w:rPr>
                <w:b/>
                <w:sz w:val="18"/>
                <w:lang w:val="fr-CH"/>
              </w:rPr>
              <w:t>5.164</w:t>
            </w:r>
          </w:p>
        </w:tc>
        <w:tc>
          <w:tcPr>
            <w:tcW w:w="775" w:type="dxa"/>
            <w:tcBorders>
              <w:top w:val="single" w:sz="4" w:space="0" w:color="auto"/>
              <w:bottom w:val="single" w:sz="12" w:space="0" w:color="auto"/>
            </w:tcBorders>
            <w:shd w:val="clear" w:color="000000" w:fill="auto"/>
            <w:tcMar>
              <w:top w:w="20" w:type="dxa"/>
              <w:left w:w="20" w:type="dxa"/>
              <w:bottom w:w="0" w:type="dxa"/>
              <w:right w:w="20" w:type="dxa"/>
            </w:tcMar>
          </w:tcPr>
          <w:p w:rsidR="00E862BF" w:rsidRPr="00C179E4" w:rsidRDefault="00E862BF" w:rsidP="00C179E4">
            <w:pPr>
              <w:spacing w:before="40" w:after="40" w:line="220" w:lineRule="exact"/>
              <w:jc w:val="right"/>
              <w:rPr>
                <w:b/>
                <w:sz w:val="18"/>
                <w:lang w:val="fr-CH"/>
              </w:rPr>
            </w:pPr>
            <w:r w:rsidRPr="00C179E4">
              <w:rPr>
                <w:b/>
                <w:sz w:val="18"/>
                <w:lang w:val="fr-CH"/>
              </w:rPr>
              <w:t xml:space="preserve">35 </w:t>
            </w:r>
          </w:p>
        </w:tc>
        <w:tc>
          <w:tcPr>
            <w:tcW w:w="115" w:type="dxa"/>
            <w:tcBorders>
              <w:top w:val="single" w:sz="4" w:space="0" w:color="auto"/>
              <w:bottom w:val="single" w:sz="12" w:space="0" w:color="auto"/>
              <w:right w:val="nil"/>
            </w:tcBorders>
            <w:shd w:val="clear" w:color="000000" w:fill="auto"/>
            <w:tcMar>
              <w:top w:w="20" w:type="dxa"/>
              <w:left w:w="20" w:type="dxa"/>
              <w:bottom w:w="0" w:type="dxa"/>
              <w:right w:w="20" w:type="dxa"/>
            </w:tcMar>
          </w:tcPr>
          <w:p w:rsidR="00E862BF" w:rsidRPr="00C179E4" w:rsidRDefault="00E862BF" w:rsidP="00C179E4">
            <w:pPr>
              <w:spacing w:before="40" w:after="40" w:line="220" w:lineRule="exact"/>
              <w:jc w:val="right"/>
              <w:rPr>
                <w:b/>
                <w:sz w:val="18"/>
                <w:lang w:val="fr-CH"/>
              </w:rPr>
            </w:pPr>
          </w:p>
        </w:tc>
        <w:tc>
          <w:tcPr>
            <w:tcW w:w="650" w:type="dxa"/>
            <w:tcBorders>
              <w:top w:val="single" w:sz="4" w:space="0" w:color="auto"/>
              <w:left w:val="nil"/>
              <w:bottom w:val="single" w:sz="12" w:space="0" w:color="auto"/>
            </w:tcBorders>
            <w:shd w:val="clear" w:color="000000" w:fill="auto"/>
          </w:tcPr>
          <w:p w:rsidR="00E862BF" w:rsidRPr="00C179E4" w:rsidRDefault="00E862BF" w:rsidP="00C179E4">
            <w:pPr>
              <w:spacing w:before="40" w:after="40" w:line="220" w:lineRule="exact"/>
              <w:jc w:val="right"/>
              <w:rPr>
                <w:b/>
                <w:sz w:val="18"/>
                <w:lang w:val="fr-CH"/>
              </w:rPr>
            </w:pPr>
            <w:r w:rsidRPr="00C179E4">
              <w:rPr>
                <w:b/>
                <w:sz w:val="18"/>
                <w:lang w:val="fr-CH"/>
              </w:rPr>
              <w:t>29.989</w:t>
            </w:r>
          </w:p>
        </w:tc>
        <w:tc>
          <w:tcPr>
            <w:tcW w:w="884" w:type="dxa"/>
            <w:tcBorders>
              <w:top w:val="single" w:sz="4" w:space="0" w:color="auto"/>
              <w:bottom w:val="single" w:sz="12" w:space="0" w:color="auto"/>
            </w:tcBorders>
            <w:shd w:val="clear" w:color="000000" w:fill="auto"/>
            <w:tcMar>
              <w:top w:w="20" w:type="dxa"/>
              <w:left w:w="20" w:type="dxa"/>
              <w:bottom w:w="0" w:type="dxa"/>
              <w:right w:w="20" w:type="dxa"/>
            </w:tcMar>
          </w:tcPr>
          <w:p w:rsidR="00E862BF" w:rsidRPr="00C179E4" w:rsidRDefault="00E862BF" w:rsidP="00C179E4">
            <w:pPr>
              <w:spacing w:before="40" w:after="40" w:line="220" w:lineRule="exact"/>
              <w:jc w:val="right"/>
              <w:rPr>
                <w:b/>
                <w:sz w:val="18"/>
                <w:lang w:val="fr-CH"/>
              </w:rPr>
            </w:pPr>
            <w:r w:rsidRPr="00C179E4">
              <w:rPr>
                <w:b/>
                <w:sz w:val="18"/>
                <w:lang w:val="fr-CH"/>
              </w:rPr>
              <w:t>9.674</w:t>
            </w:r>
          </w:p>
        </w:tc>
        <w:tc>
          <w:tcPr>
            <w:tcW w:w="884" w:type="dxa"/>
            <w:tcBorders>
              <w:top w:val="single" w:sz="4" w:space="0" w:color="auto"/>
              <w:bottom w:val="single" w:sz="12" w:space="0" w:color="auto"/>
            </w:tcBorders>
            <w:shd w:val="clear" w:color="000000" w:fill="auto"/>
            <w:tcMar>
              <w:top w:w="20" w:type="dxa"/>
              <w:left w:w="20" w:type="dxa"/>
              <w:bottom w:w="0" w:type="dxa"/>
              <w:right w:w="20" w:type="dxa"/>
            </w:tcMar>
          </w:tcPr>
          <w:p w:rsidR="00E862BF" w:rsidRPr="00C179E4" w:rsidRDefault="00E862BF" w:rsidP="00C179E4">
            <w:pPr>
              <w:spacing w:before="40" w:after="40" w:line="220" w:lineRule="exact"/>
              <w:jc w:val="right"/>
              <w:rPr>
                <w:b/>
                <w:sz w:val="18"/>
                <w:lang w:val="fr-CH"/>
              </w:rPr>
            </w:pPr>
            <w:r w:rsidRPr="00C179E4">
              <w:rPr>
                <w:b/>
                <w:sz w:val="18"/>
                <w:lang w:val="fr-CH"/>
              </w:rPr>
              <w:t xml:space="preserve">33 </w:t>
            </w:r>
          </w:p>
        </w:tc>
      </w:tr>
    </w:tbl>
    <w:p w:rsidR="001973D8" w:rsidRDefault="00570B62" w:rsidP="00B2542A">
      <w:pPr>
        <w:pStyle w:val="SingleTxtG"/>
        <w:keepNext/>
        <w:spacing w:before="240"/>
        <w:rPr>
          <w:lang w:val="fr-CH"/>
        </w:rPr>
      </w:pPr>
      <w:r w:rsidRPr="00961388">
        <w:rPr>
          <w:lang w:val="fr-CH"/>
        </w:rPr>
        <w:t>266.</w:t>
      </w:r>
      <w:r w:rsidRPr="00961388">
        <w:rPr>
          <w:lang w:val="fr-CH"/>
        </w:rPr>
        <w:tab/>
        <w:t>Il est à relever notamment les deux caractéristiques suivantes</w:t>
      </w:r>
      <w:r w:rsidR="00961388">
        <w:rPr>
          <w:lang w:val="fr-CH"/>
        </w:rPr>
        <w:t>:</w:t>
      </w:r>
    </w:p>
    <w:p w:rsidR="00570B62" w:rsidRPr="00961388" w:rsidRDefault="00570B62" w:rsidP="00B2542A">
      <w:pPr>
        <w:pStyle w:val="Bullet1G"/>
        <w:spacing w:before="240"/>
        <w:rPr>
          <w:lang w:val="fr-CH"/>
        </w:rPr>
      </w:pPr>
      <w:r w:rsidRPr="00961388">
        <w:rPr>
          <w:lang w:val="fr-CH"/>
        </w:rPr>
        <w:t>L</w:t>
      </w:r>
      <w:r w:rsidR="00961388">
        <w:rPr>
          <w:lang w:val="fr-CH"/>
        </w:rPr>
        <w:t>’</w:t>
      </w:r>
      <w:r w:rsidRPr="00961388">
        <w:rPr>
          <w:lang w:val="fr-CH"/>
        </w:rPr>
        <w:t>effectif des filles diplômées a doublé entre 2002 et 2009 (de 4</w:t>
      </w:r>
      <w:r w:rsidR="00E74CB3">
        <w:rPr>
          <w:lang w:val="fr-CH"/>
        </w:rPr>
        <w:t xml:space="preserve"> </w:t>
      </w:r>
      <w:r w:rsidRPr="00961388">
        <w:rPr>
          <w:lang w:val="fr-CH"/>
        </w:rPr>
        <w:t>000 en 2002 à plus 8</w:t>
      </w:r>
      <w:r w:rsidR="00E74CB3">
        <w:rPr>
          <w:lang w:val="fr-CH"/>
        </w:rPr>
        <w:t> </w:t>
      </w:r>
      <w:r w:rsidRPr="00961388">
        <w:rPr>
          <w:lang w:val="fr-CH"/>
        </w:rPr>
        <w:t>500 en2009). La présence des filles dans le dispositif de formation professionnelle s</w:t>
      </w:r>
      <w:r w:rsidR="00961388">
        <w:rPr>
          <w:lang w:val="fr-CH"/>
        </w:rPr>
        <w:t>’</w:t>
      </w:r>
      <w:r w:rsidRPr="00961388">
        <w:rPr>
          <w:lang w:val="fr-CH"/>
        </w:rPr>
        <w:t>est renforcée. 33</w:t>
      </w:r>
      <w:r w:rsidR="001973D8">
        <w:rPr>
          <w:lang w:val="fr-CH"/>
        </w:rPr>
        <w:t xml:space="preserve"> %</w:t>
      </w:r>
      <w:r w:rsidRPr="00961388">
        <w:rPr>
          <w:lang w:val="fr-CH"/>
        </w:rPr>
        <w:t xml:space="preserve"> des diplômés du secteur public (en 2009) sont de sexe féminin contre 31</w:t>
      </w:r>
      <w:r w:rsidR="001973D8">
        <w:rPr>
          <w:lang w:val="fr-CH"/>
        </w:rPr>
        <w:t xml:space="preserve"> %</w:t>
      </w:r>
      <w:r w:rsidRPr="00961388">
        <w:rPr>
          <w:lang w:val="fr-CH"/>
        </w:rPr>
        <w:t xml:space="preserve"> en 2002. </w:t>
      </w:r>
    </w:p>
    <w:p w:rsidR="00570B62" w:rsidRPr="00961388" w:rsidRDefault="001973D8" w:rsidP="001973D8">
      <w:pPr>
        <w:pStyle w:val="H4G"/>
        <w:rPr>
          <w:lang w:val="fr-CH"/>
        </w:rPr>
      </w:pPr>
      <w:r>
        <w:rPr>
          <w:lang w:val="fr-CH"/>
        </w:rPr>
        <w:tab/>
        <w:t>3.</w:t>
      </w:r>
      <w:r>
        <w:rPr>
          <w:lang w:val="fr-CH"/>
        </w:rPr>
        <w:tab/>
      </w:r>
      <w:r w:rsidR="00570B62" w:rsidRPr="00961388">
        <w:rPr>
          <w:lang w:val="fr-CH"/>
        </w:rPr>
        <w:t>Plus de 87</w:t>
      </w:r>
      <w:r>
        <w:rPr>
          <w:lang w:val="fr-CH"/>
        </w:rPr>
        <w:t xml:space="preserve"> %</w:t>
      </w:r>
      <w:r w:rsidR="00570B62" w:rsidRPr="00961388">
        <w:rPr>
          <w:lang w:val="fr-CH"/>
        </w:rPr>
        <w:t xml:space="preserve"> des filles diplômées en 2009 sont des sortants du système de formation relevant de l</w:t>
      </w:r>
      <w:r w:rsidR="00961388">
        <w:rPr>
          <w:lang w:val="fr-CH"/>
        </w:rPr>
        <w:t>’</w:t>
      </w:r>
      <w:r w:rsidR="00570B62" w:rsidRPr="00961388">
        <w:rPr>
          <w:lang w:val="fr-CH"/>
        </w:rPr>
        <w:t>Agence tunisienne de la formation professionnelle, sous tutelle du Ministère de la formation professionnelle et de l</w:t>
      </w:r>
      <w:r w:rsidR="00961388">
        <w:rPr>
          <w:lang w:val="fr-CH"/>
        </w:rPr>
        <w:t>’</w:t>
      </w:r>
      <w:r w:rsidR="00570B62" w:rsidRPr="00961388">
        <w:rPr>
          <w:lang w:val="fr-CH"/>
        </w:rPr>
        <w:t xml:space="preserve">emploi </w:t>
      </w:r>
    </w:p>
    <w:p w:rsidR="00570B62" w:rsidRPr="00961388" w:rsidRDefault="00570B62" w:rsidP="001973D8">
      <w:pPr>
        <w:pStyle w:val="H23G"/>
        <w:rPr>
          <w:lang w:val="fr-CH"/>
        </w:rPr>
      </w:pPr>
      <w:r w:rsidRPr="00961388">
        <w:rPr>
          <w:lang w:val="fr-CH"/>
        </w:rPr>
        <w:tab/>
      </w:r>
      <w:r w:rsidRPr="00961388">
        <w:rPr>
          <w:lang w:val="fr-CH"/>
        </w:rPr>
        <w:tab/>
        <w:t>Caractéristiques de l</w:t>
      </w:r>
      <w:r w:rsidR="00961388">
        <w:rPr>
          <w:lang w:val="fr-CH"/>
        </w:rPr>
        <w:t>’</w:t>
      </w:r>
      <w:r w:rsidRPr="00961388">
        <w:rPr>
          <w:lang w:val="fr-CH"/>
        </w:rPr>
        <w:t>offre de formation professionnelle dans le dispositif relevant de l</w:t>
      </w:r>
      <w:r w:rsidR="00961388">
        <w:rPr>
          <w:lang w:val="fr-CH"/>
        </w:rPr>
        <w:t>’</w:t>
      </w:r>
      <w:r w:rsidRPr="00961388">
        <w:rPr>
          <w:lang w:val="fr-CH"/>
        </w:rPr>
        <w:t>Agence tunisienne de formation professionnelle (ATFP)</w:t>
      </w:r>
    </w:p>
    <w:p w:rsidR="00570B62" w:rsidRPr="00961388" w:rsidRDefault="00570B62" w:rsidP="001973D8">
      <w:pPr>
        <w:pStyle w:val="SingleTxtG"/>
        <w:rPr>
          <w:lang w:val="fr-CH"/>
        </w:rPr>
      </w:pPr>
      <w:r w:rsidRPr="00961388">
        <w:rPr>
          <w:lang w:val="fr-CH"/>
        </w:rPr>
        <w:t>267.</w:t>
      </w:r>
      <w:r w:rsidRPr="00961388">
        <w:rPr>
          <w:lang w:val="fr-CH"/>
        </w:rPr>
        <w:tab/>
        <w:t>Les jeunes filles à la recherche d</w:t>
      </w:r>
      <w:r w:rsidR="00961388">
        <w:rPr>
          <w:lang w:val="fr-CH"/>
        </w:rPr>
        <w:t>’</w:t>
      </w:r>
      <w:r w:rsidRPr="00961388">
        <w:rPr>
          <w:lang w:val="fr-CH"/>
        </w:rPr>
        <w:t>une voie différente de celle tracée par l</w:t>
      </w:r>
      <w:r w:rsidR="00961388">
        <w:rPr>
          <w:lang w:val="fr-CH"/>
        </w:rPr>
        <w:t>’</w:t>
      </w:r>
      <w:r w:rsidRPr="00961388">
        <w:rPr>
          <w:lang w:val="fr-CH"/>
        </w:rPr>
        <w:t>éducation à long terme accordent plus d</w:t>
      </w:r>
      <w:r w:rsidR="00961388">
        <w:rPr>
          <w:lang w:val="fr-CH"/>
        </w:rPr>
        <w:t>’</w:t>
      </w:r>
      <w:r w:rsidRPr="00961388">
        <w:rPr>
          <w:lang w:val="fr-CH"/>
        </w:rPr>
        <w:t>intérêt au dispositif de la formation pour une qualification garantissant un emploi.</w:t>
      </w:r>
    </w:p>
    <w:p w:rsidR="00570B62" w:rsidRPr="00961388" w:rsidRDefault="00570B62" w:rsidP="001973D8">
      <w:pPr>
        <w:pStyle w:val="SingleTxtG"/>
        <w:rPr>
          <w:lang w:val="fr-CH"/>
        </w:rPr>
      </w:pPr>
      <w:r w:rsidRPr="00961388">
        <w:rPr>
          <w:lang w:val="fr-CH"/>
        </w:rPr>
        <w:t>268.</w:t>
      </w:r>
      <w:r w:rsidRPr="00961388">
        <w:rPr>
          <w:lang w:val="fr-CH"/>
        </w:rPr>
        <w:tab/>
        <w:t>Le tableau suivant présente l</w:t>
      </w:r>
      <w:r w:rsidR="00961388">
        <w:rPr>
          <w:lang w:val="fr-CH"/>
        </w:rPr>
        <w:t>’</w:t>
      </w:r>
      <w:r w:rsidRPr="00961388">
        <w:rPr>
          <w:lang w:val="fr-CH"/>
        </w:rPr>
        <w:t>évolution de l</w:t>
      </w:r>
      <w:r w:rsidR="00961388">
        <w:rPr>
          <w:lang w:val="fr-CH"/>
        </w:rPr>
        <w:t>’</w:t>
      </w:r>
      <w:r w:rsidRPr="00961388">
        <w:rPr>
          <w:lang w:val="fr-CH"/>
        </w:rPr>
        <w:t>effectif des diplômés, entre 2002 et 2009, dans les centres relevant de l</w:t>
      </w:r>
      <w:r w:rsidR="00961388">
        <w:rPr>
          <w:lang w:val="fr-CH"/>
        </w:rPr>
        <w:t>’</w:t>
      </w:r>
      <w:r w:rsidRPr="00961388">
        <w:rPr>
          <w:lang w:val="fr-CH"/>
        </w:rPr>
        <w:t>Agence tunisienne de la formation professionnelle sous tutelle du Ministère de la formation professionnelle et de l</w:t>
      </w:r>
      <w:r w:rsidR="00961388">
        <w:rPr>
          <w:lang w:val="fr-CH"/>
        </w:rPr>
        <w:t>’</w:t>
      </w:r>
      <w:r w:rsidRPr="00961388">
        <w:rPr>
          <w:lang w:val="fr-CH"/>
        </w:rPr>
        <w:t>emploi. Les données sont ventilées par genre et par secteur de formation.</w:t>
      </w:r>
    </w:p>
    <w:p w:rsidR="00570B62" w:rsidRPr="001973D8" w:rsidRDefault="00570B62" w:rsidP="00C8422B">
      <w:pPr>
        <w:pStyle w:val="SingleTxtG"/>
        <w:spacing w:after="240"/>
        <w:rPr>
          <w:b/>
          <w:lang w:val="fr-CH"/>
        </w:rPr>
      </w:pPr>
      <w:r w:rsidRPr="00961388">
        <w:rPr>
          <w:lang w:val="fr-CH"/>
        </w:rPr>
        <w:t>269.</w:t>
      </w:r>
      <w:r w:rsidRPr="00961388">
        <w:rPr>
          <w:lang w:val="fr-CH"/>
        </w:rPr>
        <w:tab/>
      </w:r>
      <w:r w:rsidRPr="001973D8">
        <w:rPr>
          <w:b/>
          <w:lang w:val="fr-CH"/>
        </w:rPr>
        <w:t>Tableau des diplômés de la formation professionnelle de l</w:t>
      </w:r>
      <w:r w:rsidR="00961388" w:rsidRPr="001973D8">
        <w:rPr>
          <w:b/>
          <w:lang w:val="fr-CH"/>
        </w:rPr>
        <w:t>’</w:t>
      </w:r>
      <w:r w:rsidRPr="001973D8">
        <w:rPr>
          <w:b/>
          <w:lang w:val="fr-CH"/>
        </w:rPr>
        <w:t>ATFP</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2566"/>
        <w:gridCol w:w="900"/>
        <w:gridCol w:w="900"/>
        <w:gridCol w:w="700"/>
        <w:gridCol w:w="800"/>
        <w:gridCol w:w="900"/>
        <w:gridCol w:w="604"/>
      </w:tblGrid>
      <w:tr w:rsidR="00C8422B" w:rsidRPr="00C8422B" w:rsidTr="00C8422B">
        <w:trPr>
          <w:cantSplit/>
          <w:tblHeader/>
        </w:trPr>
        <w:tc>
          <w:tcPr>
            <w:tcW w:w="2566" w:type="dxa"/>
            <w:vMerge w:val="restart"/>
            <w:tcBorders>
              <w:top w:val="single" w:sz="4" w:space="0" w:color="auto"/>
              <w:bottom w:val="single" w:sz="12" w:space="0" w:color="auto"/>
            </w:tcBorders>
            <w:shd w:val="clear" w:color="000000" w:fill="auto"/>
            <w:vAlign w:val="bottom"/>
          </w:tcPr>
          <w:p w:rsidR="00570B62" w:rsidRPr="00C8422B" w:rsidRDefault="00570B62" w:rsidP="00C8422B">
            <w:pPr>
              <w:suppressAutoHyphens w:val="0"/>
              <w:spacing w:before="80" w:after="80" w:line="200" w:lineRule="exact"/>
              <w:ind w:right="113"/>
              <w:rPr>
                <w:bCs/>
                <w:i/>
                <w:iCs/>
                <w:sz w:val="16"/>
                <w:lang w:val="fr-CH"/>
              </w:rPr>
            </w:pPr>
            <w:r w:rsidRPr="00C8422B">
              <w:rPr>
                <w:bCs/>
                <w:i/>
                <w:iCs/>
                <w:sz w:val="16"/>
                <w:lang w:val="fr-CH"/>
              </w:rPr>
              <w:t>Secteur de formation</w:t>
            </w:r>
          </w:p>
        </w:tc>
        <w:tc>
          <w:tcPr>
            <w:tcW w:w="2500" w:type="dxa"/>
            <w:gridSpan w:val="3"/>
            <w:tcBorders>
              <w:top w:val="single" w:sz="4" w:space="0" w:color="auto"/>
              <w:bottom w:val="single" w:sz="4" w:space="0" w:color="auto"/>
            </w:tcBorders>
            <w:shd w:val="clear" w:color="000000" w:fill="auto"/>
            <w:vAlign w:val="bottom"/>
          </w:tcPr>
          <w:p w:rsidR="00570B62" w:rsidRPr="00C8422B" w:rsidRDefault="00570B62" w:rsidP="00C8422B">
            <w:pPr>
              <w:spacing w:before="80" w:after="80" w:line="200" w:lineRule="exact"/>
              <w:jc w:val="right"/>
              <w:rPr>
                <w:bCs/>
                <w:i/>
                <w:iCs/>
                <w:sz w:val="16"/>
                <w:lang w:val="fr-CH"/>
              </w:rPr>
            </w:pPr>
            <w:r w:rsidRPr="00C8422B">
              <w:rPr>
                <w:i/>
                <w:sz w:val="16"/>
                <w:lang w:val="fr-CH"/>
              </w:rPr>
              <w:t>2002</w:t>
            </w:r>
          </w:p>
        </w:tc>
        <w:tc>
          <w:tcPr>
            <w:tcW w:w="2304" w:type="dxa"/>
            <w:gridSpan w:val="3"/>
            <w:tcBorders>
              <w:top w:val="single" w:sz="4" w:space="0" w:color="auto"/>
              <w:bottom w:val="single" w:sz="4" w:space="0" w:color="auto"/>
            </w:tcBorders>
            <w:shd w:val="clear" w:color="000000" w:fill="auto"/>
            <w:vAlign w:val="bottom"/>
          </w:tcPr>
          <w:p w:rsidR="00570B62" w:rsidRPr="00C8422B" w:rsidRDefault="00570B62" w:rsidP="00C8422B">
            <w:pPr>
              <w:spacing w:before="80" w:after="80" w:line="200" w:lineRule="exact"/>
              <w:jc w:val="right"/>
              <w:rPr>
                <w:bCs/>
                <w:i/>
                <w:iCs/>
                <w:sz w:val="16"/>
                <w:lang w:val="fr-CH"/>
              </w:rPr>
            </w:pPr>
            <w:r w:rsidRPr="00C8422B">
              <w:rPr>
                <w:i/>
                <w:sz w:val="16"/>
                <w:lang w:val="fr-CH"/>
              </w:rPr>
              <w:t>2009</w:t>
            </w:r>
          </w:p>
        </w:tc>
      </w:tr>
      <w:tr w:rsidR="00C8422B" w:rsidRPr="00C8422B" w:rsidTr="00C8422B">
        <w:trPr>
          <w:cantSplit/>
          <w:tblHeader/>
        </w:trPr>
        <w:tc>
          <w:tcPr>
            <w:tcW w:w="2566" w:type="dxa"/>
            <w:vMerge/>
            <w:tcBorders>
              <w:top w:val="single" w:sz="12" w:space="0" w:color="auto"/>
              <w:bottom w:val="single" w:sz="12" w:space="0" w:color="auto"/>
            </w:tcBorders>
            <w:shd w:val="clear" w:color="000000" w:fill="auto"/>
            <w:vAlign w:val="bottom"/>
          </w:tcPr>
          <w:p w:rsidR="00570B62" w:rsidRPr="00C8422B" w:rsidRDefault="00570B62" w:rsidP="00C8422B">
            <w:pPr>
              <w:suppressAutoHyphens w:val="0"/>
              <w:spacing w:before="40" w:after="40" w:line="220" w:lineRule="exact"/>
              <w:ind w:right="113"/>
              <w:rPr>
                <w:bCs/>
                <w:i/>
                <w:iCs/>
                <w:sz w:val="18"/>
                <w:lang w:val="fr-CH"/>
              </w:rPr>
            </w:pPr>
          </w:p>
        </w:tc>
        <w:tc>
          <w:tcPr>
            <w:tcW w:w="900" w:type="dxa"/>
            <w:tcBorders>
              <w:top w:val="single" w:sz="4" w:space="0" w:color="auto"/>
              <w:bottom w:val="single" w:sz="12" w:space="0" w:color="auto"/>
            </w:tcBorders>
            <w:shd w:val="clear" w:color="000000" w:fill="auto"/>
            <w:vAlign w:val="bottom"/>
          </w:tcPr>
          <w:p w:rsidR="00570B62" w:rsidRPr="00C8422B" w:rsidRDefault="00570B62" w:rsidP="00C8422B">
            <w:pPr>
              <w:spacing w:before="80" w:after="80" w:line="200" w:lineRule="exact"/>
              <w:jc w:val="right"/>
              <w:rPr>
                <w:i/>
                <w:sz w:val="16"/>
                <w:lang w:val="fr-CH"/>
              </w:rPr>
            </w:pPr>
            <w:r w:rsidRPr="00C8422B">
              <w:rPr>
                <w:i/>
                <w:sz w:val="16"/>
                <w:lang w:val="fr-CH"/>
              </w:rPr>
              <w:t>Total</w:t>
            </w:r>
          </w:p>
        </w:tc>
        <w:tc>
          <w:tcPr>
            <w:tcW w:w="900" w:type="dxa"/>
            <w:tcBorders>
              <w:top w:val="single" w:sz="4" w:space="0" w:color="auto"/>
              <w:bottom w:val="single" w:sz="12" w:space="0" w:color="auto"/>
            </w:tcBorders>
            <w:shd w:val="clear" w:color="000000" w:fill="auto"/>
            <w:vAlign w:val="bottom"/>
          </w:tcPr>
          <w:p w:rsidR="00570B62" w:rsidRPr="00C8422B" w:rsidRDefault="00570B62" w:rsidP="00C8422B">
            <w:pPr>
              <w:spacing w:before="80" w:after="80" w:line="200" w:lineRule="exact"/>
              <w:jc w:val="right"/>
              <w:rPr>
                <w:i/>
                <w:sz w:val="16"/>
                <w:lang w:val="fr-CH"/>
              </w:rPr>
            </w:pPr>
            <w:r w:rsidRPr="00C8422B">
              <w:rPr>
                <w:i/>
                <w:sz w:val="16"/>
                <w:lang w:val="fr-CH"/>
              </w:rPr>
              <w:t>Dont filles</w:t>
            </w:r>
          </w:p>
        </w:tc>
        <w:tc>
          <w:tcPr>
            <w:tcW w:w="700" w:type="dxa"/>
            <w:tcBorders>
              <w:top w:val="single" w:sz="4" w:space="0" w:color="auto"/>
              <w:bottom w:val="single" w:sz="12" w:space="0" w:color="auto"/>
            </w:tcBorders>
            <w:shd w:val="clear" w:color="000000" w:fill="auto"/>
            <w:vAlign w:val="bottom"/>
          </w:tcPr>
          <w:p w:rsidR="00570B62" w:rsidRPr="00C8422B" w:rsidRDefault="001973D8" w:rsidP="00C8422B">
            <w:pPr>
              <w:spacing w:before="80" w:after="80" w:line="200" w:lineRule="exact"/>
              <w:jc w:val="right"/>
              <w:rPr>
                <w:i/>
                <w:sz w:val="16"/>
                <w:lang w:val="fr-CH"/>
              </w:rPr>
            </w:pPr>
            <w:r w:rsidRPr="00C8422B">
              <w:rPr>
                <w:i/>
                <w:sz w:val="16"/>
                <w:lang w:val="fr-CH"/>
              </w:rPr>
              <w:t xml:space="preserve"> %</w:t>
            </w:r>
          </w:p>
        </w:tc>
        <w:tc>
          <w:tcPr>
            <w:tcW w:w="800" w:type="dxa"/>
            <w:tcBorders>
              <w:top w:val="single" w:sz="4" w:space="0" w:color="auto"/>
              <w:bottom w:val="single" w:sz="12" w:space="0" w:color="auto"/>
            </w:tcBorders>
            <w:shd w:val="clear" w:color="000000" w:fill="auto"/>
            <w:vAlign w:val="bottom"/>
          </w:tcPr>
          <w:p w:rsidR="00570B62" w:rsidRPr="00C8422B" w:rsidRDefault="00570B62" w:rsidP="00C8422B">
            <w:pPr>
              <w:spacing w:before="80" w:after="80" w:line="200" w:lineRule="exact"/>
              <w:jc w:val="right"/>
              <w:rPr>
                <w:i/>
                <w:sz w:val="16"/>
                <w:lang w:val="fr-CH"/>
              </w:rPr>
            </w:pPr>
            <w:r w:rsidRPr="00C8422B">
              <w:rPr>
                <w:i/>
                <w:sz w:val="16"/>
                <w:lang w:val="fr-CH"/>
              </w:rPr>
              <w:t>Total</w:t>
            </w:r>
          </w:p>
        </w:tc>
        <w:tc>
          <w:tcPr>
            <w:tcW w:w="900" w:type="dxa"/>
            <w:tcBorders>
              <w:top w:val="single" w:sz="4" w:space="0" w:color="auto"/>
              <w:bottom w:val="single" w:sz="12" w:space="0" w:color="auto"/>
            </w:tcBorders>
            <w:shd w:val="clear" w:color="000000" w:fill="auto"/>
            <w:vAlign w:val="bottom"/>
          </w:tcPr>
          <w:p w:rsidR="00570B62" w:rsidRPr="00C8422B" w:rsidRDefault="00570B62" w:rsidP="00C8422B">
            <w:pPr>
              <w:spacing w:before="80" w:after="80" w:line="200" w:lineRule="exact"/>
              <w:jc w:val="right"/>
              <w:rPr>
                <w:i/>
                <w:sz w:val="16"/>
                <w:lang w:val="fr-CH"/>
              </w:rPr>
            </w:pPr>
            <w:r w:rsidRPr="00C8422B">
              <w:rPr>
                <w:i/>
                <w:sz w:val="16"/>
                <w:lang w:val="fr-CH"/>
              </w:rPr>
              <w:t>Dont filles</w:t>
            </w:r>
          </w:p>
        </w:tc>
        <w:tc>
          <w:tcPr>
            <w:tcW w:w="604" w:type="dxa"/>
            <w:tcBorders>
              <w:top w:val="single" w:sz="4" w:space="0" w:color="auto"/>
              <w:bottom w:val="single" w:sz="12" w:space="0" w:color="auto"/>
            </w:tcBorders>
            <w:shd w:val="clear" w:color="000000" w:fill="auto"/>
            <w:vAlign w:val="bottom"/>
          </w:tcPr>
          <w:p w:rsidR="00570B62" w:rsidRPr="00C8422B" w:rsidRDefault="001973D8" w:rsidP="00C8422B">
            <w:pPr>
              <w:spacing w:before="80" w:after="80" w:line="200" w:lineRule="exact"/>
              <w:jc w:val="right"/>
              <w:rPr>
                <w:i/>
                <w:sz w:val="16"/>
                <w:lang w:val="fr-CH"/>
              </w:rPr>
            </w:pPr>
            <w:r w:rsidRPr="00C8422B">
              <w:rPr>
                <w:i/>
                <w:sz w:val="16"/>
                <w:lang w:val="fr-CH"/>
              </w:rPr>
              <w:t xml:space="preserve"> %</w:t>
            </w:r>
          </w:p>
        </w:tc>
      </w:tr>
      <w:tr w:rsidR="00C8422B" w:rsidRPr="00C8422B" w:rsidTr="00C8422B">
        <w:tc>
          <w:tcPr>
            <w:tcW w:w="2566" w:type="dxa"/>
            <w:tcBorders>
              <w:top w:val="single" w:sz="12" w:space="0" w:color="auto"/>
            </w:tcBorders>
            <w:shd w:val="clear" w:color="000000" w:fill="auto"/>
          </w:tcPr>
          <w:p w:rsidR="00570B62" w:rsidRPr="00C8422B" w:rsidRDefault="00570B62" w:rsidP="00C8422B">
            <w:pPr>
              <w:spacing w:before="40" w:after="40" w:line="220" w:lineRule="exact"/>
              <w:rPr>
                <w:sz w:val="18"/>
                <w:lang w:val="fr-CH"/>
              </w:rPr>
            </w:pPr>
            <w:r w:rsidRPr="00C8422B">
              <w:rPr>
                <w:sz w:val="18"/>
                <w:lang w:val="fr-CH"/>
              </w:rPr>
              <w:t>Bâtiment, travaux publics et annexes</w:t>
            </w:r>
          </w:p>
        </w:tc>
        <w:tc>
          <w:tcPr>
            <w:tcW w:w="900" w:type="dxa"/>
            <w:tcBorders>
              <w:top w:val="single" w:sz="12" w:space="0" w:color="auto"/>
            </w:tcBorders>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2.097</w:t>
            </w:r>
          </w:p>
        </w:tc>
        <w:tc>
          <w:tcPr>
            <w:tcW w:w="900" w:type="dxa"/>
            <w:tcBorders>
              <w:top w:val="single" w:sz="12" w:space="0" w:color="auto"/>
            </w:tcBorders>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155</w:t>
            </w:r>
          </w:p>
        </w:tc>
        <w:tc>
          <w:tcPr>
            <w:tcW w:w="700" w:type="dxa"/>
            <w:tcBorders>
              <w:top w:val="single" w:sz="12" w:space="0" w:color="auto"/>
            </w:tcBorders>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7</w:t>
            </w:r>
            <w:r w:rsidR="001973D8" w:rsidRPr="00C8422B">
              <w:rPr>
                <w:sz w:val="18"/>
                <w:lang w:val="fr-CH"/>
              </w:rPr>
              <w:t xml:space="preserve"> </w:t>
            </w:r>
          </w:p>
        </w:tc>
        <w:tc>
          <w:tcPr>
            <w:tcW w:w="800" w:type="dxa"/>
            <w:tcBorders>
              <w:top w:val="single" w:sz="12" w:space="0" w:color="auto"/>
            </w:tcBorders>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3.265</w:t>
            </w:r>
          </w:p>
        </w:tc>
        <w:tc>
          <w:tcPr>
            <w:tcW w:w="900" w:type="dxa"/>
            <w:tcBorders>
              <w:top w:val="single" w:sz="12" w:space="0" w:color="auto"/>
            </w:tcBorders>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213</w:t>
            </w:r>
          </w:p>
        </w:tc>
        <w:tc>
          <w:tcPr>
            <w:tcW w:w="604" w:type="dxa"/>
            <w:tcBorders>
              <w:top w:val="single" w:sz="12" w:space="0" w:color="auto"/>
            </w:tcBorders>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7</w:t>
            </w:r>
            <w:r w:rsidR="001973D8" w:rsidRPr="00C8422B">
              <w:rPr>
                <w:sz w:val="18"/>
                <w:lang w:val="fr-CH"/>
              </w:rPr>
              <w:t xml:space="preserve"> </w:t>
            </w:r>
          </w:p>
        </w:tc>
      </w:tr>
      <w:tr w:rsidR="00C8422B" w:rsidRPr="00C8422B" w:rsidTr="00C8422B">
        <w:tc>
          <w:tcPr>
            <w:tcW w:w="2566" w:type="dxa"/>
            <w:shd w:val="clear" w:color="000000" w:fill="auto"/>
          </w:tcPr>
          <w:p w:rsidR="00570B62" w:rsidRPr="00C8422B" w:rsidRDefault="00570B62" w:rsidP="00C8422B">
            <w:pPr>
              <w:spacing w:before="40" w:after="40" w:line="220" w:lineRule="exact"/>
              <w:rPr>
                <w:sz w:val="18"/>
                <w:lang w:val="fr-CH"/>
              </w:rPr>
            </w:pPr>
            <w:r w:rsidRPr="00C8422B">
              <w:rPr>
                <w:sz w:val="18"/>
                <w:lang w:val="fr-CH"/>
              </w:rPr>
              <w:t>Textile et habillement</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2.586</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2.041</w:t>
            </w:r>
          </w:p>
        </w:tc>
        <w:tc>
          <w:tcPr>
            <w:tcW w:w="7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79</w:t>
            </w:r>
            <w:r w:rsidR="001973D8" w:rsidRPr="00C8422B">
              <w:rPr>
                <w:sz w:val="18"/>
                <w:lang w:val="fr-CH"/>
              </w:rPr>
              <w:t xml:space="preserve"> </w:t>
            </w:r>
          </w:p>
        </w:tc>
        <w:tc>
          <w:tcPr>
            <w:tcW w:w="8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4.075</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3.692</w:t>
            </w:r>
          </w:p>
        </w:tc>
        <w:tc>
          <w:tcPr>
            <w:tcW w:w="604"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91</w:t>
            </w:r>
            <w:r w:rsidR="001973D8" w:rsidRPr="00C8422B">
              <w:rPr>
                <w:sz w:val="18"/>
                <w:lang w:val="fr-CH"/>
              </w:rPr>
              <w:t xml:space="preserve"> </w:t>
            </w:r>
          </w:p>
        </w:tc>
      </w:tr>
      <w:tr w:rsidR="00C8422B" w:rsidRPr="00C8422B" w:rsidTr="00C8422B">
        <w:tc>
          <w:tcPr>
            <w:tcW w:w="2566" w:type="dxa"/>
            <w:shd w:val="clear" w:color="000000" w:fill="auto"/>
          </w:tcPr>
          <w:p w:rsidR="00570B62" w:rsidRPr="00C8422B" w:rsidRDefault="00570B62" w:rsidP="00C8422B">
            <w:pPr>
              <w:spacing w:before="40" w:after="40" w:line="220" w:lineRule="exact"/>
              <w:rPr>
                <w:sz w:val="18"/>
                <w:lang w:val="fr-CH"/>
              </w:rPr>
            </w:pPr>
            <w:r w:rsidRPr="00C8422B">
              <w:rPr>
                <w:sz w:val="18"/>
                <w:lang w:val="fr-CH"/>
              </w:rPr>
              <w:t>Cuir et chaussures</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512</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193</w:t>
            </w:r>
          </w:p>
        </w:tc>
        <w:tc>
          <w:tcPr>
            <w:tcW w:w="7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38</w:t>
            </w:r>
            <w:r w:rsidR="001973D8" w:rsidRPr="00C8422B">
              <w:rPr>
                <w:sz w:val="18"/>
                <w:lang w:val="fr-CH"/>
              </w:rPr>
              <w:t xml:space="preserve"> </w:t>
            </w:r>
          </w:p>
        </w:tc>
        <w:tc>
          <w:tcPr>
            <w:tcW w:w="8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684</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287</w:t>
            </w:r>
          </w:p>
        </w:tc>
        <w:tc>
          <w:tcPr>
            <w:tcW w:w="604"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42</w:t>
            </w:r>
            <w:r w:rsidR="001973D8" w:rsidRPr="00C8422B">
              <w:rPr>
                <w:sz w:val="18"/>
                <w:lang w:val="fr-CH"/>
              </w:rPr>
              <w:t xml:space="preserve"> </w:t>
            </w:r>
          </w:p>
        </w:tc>
      </w:tr>
      <w:tr w:rsidR="00C8422B" w:rsidRPr="00C8422B" w:rsidTr="00C8422B">
        <w:tc>
          <w:tcPr>
            <w:tcW w:w="2566" w:type="dxa"/>
            <w:shd w:val="clear" w:color="000000" w:fill="auto"/>
          </w:tcPr>
          <w:p w:rsidR="00570B62" w:rsidRPr="00C8422B" w:rsidRDefault="00570B62" w:rsidP="00C8422B">
            <w:pPr>
              <w:spacing w:before="40" w:after="40" w:line="220" w:lineRule="exact"/>
              <w:rPr>
                <w:sz w:val="18"/>
                <w:lang w:val="fr-CH"/>
              </w:rPr>
            </w:pPr>
            <w:r w:rsidRPr="00C8422B">
              <w:rPr>
                <w:sz w:val="18"/>
                <w:lang w:val="fr-CH"/>
              </w:rPr>
              <w:t xml:space="preserve">Mécanique générale et </w:t>
            </w:r>
            <w:r w:rsidR="00C8422B">
              <w:rPr>
                <w:sz w:val="18"/>
                <w:lang w:val="fr-CH"/>
              </w:rPr>
              <w:br/>
            </w:r>
            <w:r w:rsidRPr="00C8422B">
              <w:rPr>
                <w:sz w:val="18"/>
                <w:lang w:val="fr-CH"/>
              </w:rPr>
              <w:t>construction métallique</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1.188</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99</w:t>
            </w:r>
          </w:p>
        </w:tc>
        <w:tc>
          <w:tcPr>
            <w:tcW w:w="7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8</w:t>
            </w:r>
            <w:r w:rsidR="001973D8" w:rsidRPr="00C8422B">
              <w:rPr>
                <w:sz w:val="18"/>
                <w:lang w:val="fr-CH"/>
              </w:rPr>
              <w:t xml:space="preserve"> </w:t>
            </w:r>
          </w:p>
        </w:tc>
        <w:tc>
          <w:tcPr>
            <w:tcW w:w="8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3.177</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92</w:t>
            </w:r>
          </w:p>
        </w:tc>
        <w:tc>
          <w:tcPr>
            <w:tcW w:w="604"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3</w:t>
            </w:r>
            <w:r w:rsidR="001973D8" w:rsidRPr="00C8422B">
              <w:rPr>
                <w:sz w:val="18"/>
                <w:lang w:val="fr-CH"/>
              </w:rPr>
              <w:t xml:space="preserve"> </w:t>
            </w:r>
          </w:p>
        </w:tc>
      </w:tr>
      <w:tr w:rsidR="00C8422B" w:rsidRPr="00C8422B" w:rsidTr="00C8422B">
        <w:tc>
          <w:tcPr>
            <w:tcW w:w="2566" w:type="dxa"/>
            <w:shd w:val="clear" w:color="000000" w:fill="auto"/>
          </w:tcPr>
          <w:p w:rsidR="00570B62" w:rsidRPr="00C8422B" w:rsidRDefault="00C8422B" w:rsidP="00C8422B">
            <w:pPr>
              <w:spacing w:before="40" w:after="40" w:line="220" w:lineRule="exact"/>
              <w:rPr>
                <w:sz w:val="18"/>
                <w:lang w:val="fr-CH"/>
              </w:rPr>
            </w:pPr>
            <w:r>
              <w:rPr>
                <w:sz w:val="18"/>
                <w:lang w:val="fr-CH"/>
              </w:rPr>
              <w:t>Électricité</w:t>
            </w:r>
            <w:r w:rsidR="00570B62" w:rsidRPr="00C8422B">
              <w:rPr>
                <w:sz w:val="18"/>
                <w:lang w:val="fr-CH"/>
              </w:rPr>
              <w:t>/électronique</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2.841</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436</w:t>
            </w:r>
          </w:p>
        </w:tc>
        <w:tc>
          <w:tcPr>
            <w:tcW w:w="7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15</w:t>
            </w:r>
            <w:r w:rsidR="001973D8" w:rsidRPr="00C8422B">
              <w:rPr>
                <w:sz w:val="18"/>
                <w:lang w:val="fr-CH"/>
              </w:rPr>
              <w:t xml:space="preserve"> </w:t>
            </w:r>
          </w:p>
        </w:tc>
        <w:tc>
          <w:tcPr>
            <w:tcW w:w="8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8.550</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1.417</w:t>
            </w:r>
          </w:p>
        </w:tc>
        <w:tc>
          <w:tcPr>
            <w:tcW w:w="604"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17</w:t>
            </w:r>
            <w:r w:rsidR="001973D8" w:rsidRPr="00C8422B">
              <w:rPr>
                <w:sz w:val="18"/>
                <w:lang w:val="fr-CH"/>
              </w:rPr>
              <w:t xml:space="preserve"> </w:t>
            </w:r>
          </w:p>
        </w:tc>
      </w:tr>
      <w:tr w:rsidR="00C8422B" w:rsidRPr="00C8422B" w:rsidTr="00C8422B">
        <w:tc>
          <w:tcPr>
            <w:tcW w:w="2566" w:type="dxa"/>
            <w:shd w:val="clear" w:color="000000" w:fill="auto"/>
          </w:tcPr>
          <w:p w:rsidR="00570B62" w:rsidRPr="00C8422B" w:rsidRDefault="00570B62" w:rsidP="0080321A">
            <w:pPr>
              <w:spacing w:before="40" w:after="40" w:line="220" w:lineRule="exact"/>
              <w:rPr>
                <w:sz w:val="18"/>
                <w:lang w:val="fr-CH"/>
              </w:rPr>
            </w:pPr>
            <w:r w:rsidRPr="00C8422B">
              <w:rPr>
                <w:sz w:val="18"/>
                <w:lang w:val="fr-CH"/>
              </w:rPr>
              <w:t>Industries agro-alimentaire</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93</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46</w:t>
            </w:r>
          </w:p>
        </w:tc>
        <w:tc>
          <w:tcPr>
            <w:tcW w:w="7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49</w:t>
            </w:r>
            <w:r w:rsidR="001973D8" w:rsidRPr="00C8422B">
              <w:rPr>
                <w:sz w:val="18"/>
                <w:lang w:val="fr-CH"/>
              </w:rPr>
              <w:t xml:space="preserve"> </w:t>
            </w:r>
          </w:p>
        </w:tc>
        <w:tc>
          <w:tcPr>
            <w:tcW w:w="8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127</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101</w:t>
            </w:r>
          </w:p>
        </w:tc>
        <w:tc>
          <w:tcPr>
            <w:tcW w:w="604"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80</w:t>
            </w:r>
            <w:r w:rsidR="001973D8" w:rsidRPr="00C8422B">
              <w:rPr>
                <w:sz w:val="18"/>
                <w:lang w:val="fr-CH"/>
              </w:rPr>
              <w:t xml:space="preserve"> </w:t>
            </w:r>
          </w:p>
        </w:tc>
      </w:tr>
      <w:tr w:rsidR="00C8422B" w:rsidRPr="00C8422B" w:rsidTr="00C8422B">
        <w:tc>
          <w:tcPr>
            <w:tcW w:w="2566" w:type="dxa"/>
            <w:shd w:val="clear" w:color="000000" w:fill="auto"/>
          </w:tcPr>
          <w:p w:rsidR="00570B62" w:rsidRPr="00C8422B" w:rsidRDefault="00570B62" w:rsidP="00C8422B">
            <w:pPr>
              <w:spacing w:before="40" w:after="40" w:line="220" w:lineRule="exact"/>
              <w:rPr>
                <w:sz w:val="18"/>
                <w:lang w:val="fr-CH"/>
              </w:rPr>
            </w:pPr>
            <w:r w:rsidRPr="00C8422B">
              <w:rPr>
                <w:sz w:val="18"/>
                <w:lang w:val="fr-CH"/>
              </w:rPr>
              <w:t>Transport, conduite et maintenance des véhicules et des engins de travaux publics et agricoles</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1.097</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13</w:t>
            </w:r>
          </w:p>
        </w:tc>
        <w:tc>
          <w:tcPr>
            <w:tcW w:w="7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1</w:t>
            </w:r>
            <w:r w:rsidR="001973D8" w:rsidRPr="00C8422B">
              <w:rPr>
                <w:sz w:val="18"/>
                <w:lang w:val="fr-CH"/>
              </w:rPr>
              <w:t xml:space="preserve"> </w:t>
            </w:r>
          </w:p>
        </w:tc>
        <w:tc>
          <w:tcPr>
            <w:tcW w:w="8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2.833</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170</w:t>
            </w:r>
          </w:p>
        </w:tc>
        <w:tc>
          <w:tcPr>
            <w:tcW w:w="604"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6</w:t>
            </w:r>
            <w:r w:rsidR="001973D8" w:rsidRPr="00C8422B">
              <w:rPr>
                <w:sz w:val="18"/>
                <w:lang w:val="fr-CH"/>
              </w:rPr>
              <w:t xml:space="preserve"> </w:t>
            </w:r>
          </w:p>
        </w:tc>
      </w:tr>
      <w:tr w:rsidR="00C8422B" w:rsidRPr="00C8422B" w:rsidTr="00C8422B">
        <w:tc>
          <w:tcPr>
            <w:tcW w:w="2566" w:type="dxa"/>
            <w:shd w:val="clear" w:color="000000" w:fill="auto"/>
          </w:tcPr>
          <w:p w:rsidR="00570B62" w:rsidRPr="00C8422B" w:rsidRDefault="00570B62" w:rsidP="00C8422B">
            <w:pPr>
              <w:spacing w:before="40" w:after="40" w:line="220" w:lineRule="exact"/>
              <w:rPr>
                <w:sz w:val="18"/>
                <w:lang w:val="fr-CH"/>
              </w:rPr>
            </w:pPr>
            <w:r w:rsidRPr="00C8422B">
              <w:rPr>
                <w:sz w:val="18"/>
                <w:lang w:val="fr-CH"/>
              </w:rPr>
              <w:t>Tourisme/hôtellerie</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279</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91</w:t>
            </w:r>
          </w:p>
        </w:tc>
        <w:tc>
          <w:tcPr>
            <w:tcW w:w="7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33</w:t>
            </w:r>
            <w:r w:rsidR="001973D8" w:rsidRPr="00C8422B">
              <w:rPr>
                <w:sz w:val="18"/>
                <w:lang w:val="fr-CH"/>
              </w:rPr>
              <w:t xml:space="preserve"> </w:t>
            </w:r>
          </w:p>
        </w:tc>
        <w:tc>
          <w:tcPr>
            <w:tcW w:w="8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1.230</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312</w:t>
            </w:r>
          </w:p>
        </w:tc>
        <w:tc>
          <w:tcPr>
            <w:tcW w:w="604"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26</w:t>
            </w:r>
            <w:r w:rsidR="001973D8" w:rsidRPr="00C8422B">
              <w:rPr>
                <w:sz w:val="18"/>
                <w:lang w:val="fr-CH"/>
              </w:rPr>
              <w:t xml:space="preserve"> </w:t>
            </w:r>
          </w:p>
        </w:tc>
      </w:tr>
      <w:tr w:rsidR="00C8422B" w:rsidRPr="00C8422B" w:rsidTr="00C8422B">
        <w:tc>
          <w:tcPr>
            <w:tcW w:w="2566" w:type="dxa"/>
            <w:shd w:val="clear" w:color="000000" w:fill="auto"/>
          </w:tcPr>
          <w:p w:rsidR="00570B62" w:rsidRPr="00C8422B" w:rsidRDefault="00570B62" w:rsidP="00C8422B">
            <w:pPr>
              <w:spacing w:before="40" w:after="40" w:line="220" w:lineRule="exact"/>
              <w:rPr>
                <w:sz w:val="18"/>
                <w:lang w:val="fr-CH"/>
              </w:rPr>
            </w:pPr>
            <w:r w:rsidRPr="00C8422B">
              <w:rPr>
                <w:sz w:val="18"/>
                <w:lang w:val="fr-CH"/>
              </w:rPr>
              <w:t>Métiers d</w:t>
            </w:r>
            <w:r w:rsidR="00961388" w:rsidRPr="00C8422B">
              <w:rPr>
                <w:sz w:val="18"/>
                <w:lang w:val="fr-CH"/>
              </w:rPr>
              <w:t>’</w:t>
            </w:r>
            <w:r w:rsidRPr="00C8422B">
              <w:rPr>
                <w:sz w:val="18"/>
                <w:lang w:val="fr-CH"/>
              </w:rPr>
              <w:t>arts et de l</w:t>
            </w:r>
            <w:r w:rsidR="00961388" w:rsidRPr="00C8422B">
              <w:rPr>
                <w:sz w:val="18"/>
                <w:lang w:val="fr-CH"/>
              </w:rPr>
              <w:t>’</w:t>
            </w:r>
            <w:r w:rsidRPr="00C8422B">
              <w:rPr>
                <w:sz w:val="18"/>
                <w:lang w:val="fr-CH"/>
              </w:rPr>
              <w:t>artisanat</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195</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64</w:t>
            </w:r>
          </w:p>
        </w:tc>
        <w:tc>
          <w:tcPr>
            <w:tcW w:w="7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33</w:t>
            </w:r>
            <w:r w:rsidR="001973D8" w:rsidRPr="00C8422B">
              <w:rPr>
                <w:sz w:val="18"/>
                <w:lang w:val="fr-CH"/>
              </w:rPr>
              <w:t xml:space="preserve"> </w:t>
            </w:r>
          </w:p>
        </w:tc>
        <w:tc>
          <w:tcPr>
            <w:tcW w:w="8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600</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371</w:t>
            </w:r>
          </w:p>
        </w:tc>
        <w:tc>
          <w:tcPr>
            <w:tcW w:w="604"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62</w:t>
            </w:r>
            <w:r w:rsidR="001973D8" w:rsidRPr="00C8422B">
              <w:rPr>
                <w:sz w:val="18"/>
                <w:lang w:val="fr-CH"/>
              </w:rPr>
              <w:t xml:space="preserve"> </w:t>
            </w:r>
          </w:p>
        </w:tc>
      </w:tr>
      <w:tr w:rsidR="00C8422B" w:rsidRPr="00C8422B" w:rsidTr="00C8422B">
        <w:tc>
          <w:tcPr>
            <w:tcW w:w="2566" w:type="dxa"/>
            <w:shd w:val="clear" w:color="000000" w:fill="auto"/>
          </w:tcPr>
          <w:p w:rsidR="00570B62" w:rsidRPr="00C8422B" w:rsidRDefault="00570B62" w:rsidP="00C8422B">
            <w:pPr>
              <w:spacing w:before="40" w:after="40" w:line="220" w:lineRule="exact"/>
              <w:rPr>
                <w:sz w:val="18"/>
                <w:lang w:val="fr-CH"/>
              </w:rPr>
            </w:pPr>
            <w:r w:rsidRPr="00C8422B">
              <w:rPr>
                <w:sz w:val="18"/>
                <w:lang w:val="fr-CH"/>
              </w:rPr>
              <w:t>Emploi de bureau</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903</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723</w:t>
            </w:r>
          </w:p>
        </w:tc>
        <w:tc>
          <w:tcPr>
            <w:tcW w:w="7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80</w:t>
            </w:r>
            <w:r w:rsidR="001973D8" w:rsidRPr="00C8422B">
              <w:rPr>
                <w:sz w:val="18"/>
                <w:lang w:val="fr-CH"/>
              </w:rPr>
              <w:t xml:space="preserve"> </w:t>
            </w:r>
          </w:p>
        </w:tc>
        <w:tc>
          <w:tcPr>
            <w:tcW w:w="8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721</w:t>
            </w:r>
          </w:p>
        </w:tc>
        <w:tc>
          <w:tcPr>
            <w:tcW w:w="900"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516</w:t>
            </w:r>
          </w:p>
        </w:tc>
        <w:tc>
          <w:tcPr>
            <w:tcW w:w="604" w:type="dxa"/>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72</w:t>
            </w:r>
            <w:r w:rsidR="001973D8" w:rsidRPr="00C8422B">
              <w:rPr>
                <w:sz w:val="18"/>
                <w:lang w:val="fr-CH"/>
              </w:rPr>
              <w:t xml:space="preserve"> </w:t>
            </w:r>
          </w:p>
        </w:tc>
      </w:tr>
      <w:tr w:rsidR="00C8422B" w:rsidRPr="00C8422B" w:rsidTr="00C8422B">
        <w:tc>
          <w:tcPr>
            <w:tcW w:w="2566" w:type="dxa"/>
            <w:tcBorders>
              <w:bottom w:val="nil"/>
            </w:tcBorders>
            <w:shd w:val="clear" w:color="000000" w:fill="auto"/>
          </w:tcPr>
          <w:p w:rsidR="00570B62" w:rsidRPr="00C8422B" w:rsidRDefault="00570B62" w:rsidP="00C8422B">
            <w:pPr>
              <w:spacing w:before="40" w:after="40" w:line="220" w:lineRule="exact"/>
              <w:rPr>
                <w:sz w:val="18"/>
                <w:lang w:val="fr-CH"/>
              </w:rPr>
            </w:pPr>
            <w:r w:rsidRPr="00C8422B">
              <w:rPr>
                <w:sz w:val="18"/>
                <w:lang w:val="fr-CH"/>
              </w:rPr>
              <w:t>Services et industries divers</w:t>
            </w:r>
          </w:p>
        </w:tc>
        <w:tc>
          <w:tcPr>
            <w:tcW w:w="900" w:type="dxa"/>
            <w:tcBorders>
              <w:bottom w:val="nil"/>
            </w:tcBorders>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490</w:t>
            </w:r>
          </w:p>
        </w:tc>
        <w:tc>
          <w:tcPr>
            <w:tcW w:w="900" w:type="dxa"/>
            <w:tcBorders>
              <w:bottom w:val="nil"/>
            </w:tcBorders>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450</w:t>
            </w:r>
          </w:p>
        </w:tc>
        <w:tc>
          <w:tcPr>
            <w:tcW w:w="700" w:type="dxa"/>
            <w:tcBorders>
              <w:bottom w:val="nil"/>
            </w:tcBorders>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85</w:t>
            </w:r>
            <w:r w:rsidR="001973D8" w:rsidRPr="00C8422B">
              <w:rPr>
                <w:sz w:val="18"/>
                <w:lang w:val="fr-CH"/>
              </w:rPr>
              <w:t xml:space="preserve"> </w:t>
            </w:r>
          </w:p>
        </w:tc>
        <w:tc>
          <w:tcPr>
            <w:tcW w:w="800" w:type="dxa"/>
            <w:tcBorders>
              <w:bottom w:val="nil"/>
            </w:tcBorders>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1.328</w:t>
            </w:r>
          </w:p>
        </w:tc>
        <w:tc>
          <w:tcPr>
            <w:tcW w:w="900" w:type="dxa"/>
            <w:tcBorders>
              <w:bottom w:val="nil"/>
            </w:tcBorders>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1.153</w:t>
            </w:r>
          </w:p>
        </w:tc>
        <w:tc>
          <w:tcPr>
            <w:tcW w:w="604" w:type="dxa"/>
            <w:tcBorders>
              <w:bottom w:val="nil"/>
            </w:tcBorders>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87</w:t>
            </w:r>
            <w:r w:rsidR="001973D8" w:rsidRPr="00C8422B">
              <w:rPr>
                <w:sz w:val="18"/>
                <w:lang w:val="fr-CH"/>
              </w:rPr>
              <w:t xml:space="preserve"> </w:t>
            </w:r>
          </w:p>
        </w:tc>
      </w:tr>
      <w:tr w:rsidR="00C8422B" w:rsidRPr="00C8422B" w:rsidTr="00C8422B">
        <w:tc>
          <w:tcPr>
            <w:tcW w:w="2566" w:type="dxa"/>
            <w:tcBorders>
              <w:top w:val="nil"/>
              <w:bottom w:val="single" w:sz="4" w:space="0" w:color="auto"/>
            </w:tcBorders>
            <w:shd w:val="clear" w:color="000000" w:fill="auto"/>
          </w:tcPr>
          <w:p w:rsidR="00570B62" w:rsidRPr="00C8422B" w:rsidRDefault="00570B62" w:rsidP="00C8422B">
            <w:pPr>
              <w:spacing w:before="40" w:after="40" w:line="220" w:lineRule="exact"/>
              <w:rPr>
                <w:sz w:val="18"/>
                <w:lang w:val="fr-CH"/>
              </w:rPr>
            </w:pPr>
            <w:r w:rsidRPr="00C8422B">
              <w:rPr>
                <w:sz w:val="18"/>
                <w:lang w:val="fr-CH"/>
              </w:rPr>
              <w:t>Agriculture</w:t>
            </w:r>
          </w:p>
        </w:tc>
        <w:tc>
          <w:tcPr>
            <w:tcW w:w="900" w:type="dxa"/>
            <w:tcBorders>
              <w:top w:val="nil"/>
              <w:bottom w:val="single" w:sz="4" w:space="0" w:color="auto"/>
            </w:tcBorders>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14</w:t>
            </w:r>
          </w:p>
        </w:tc>
        <w:tc>
          <w:tcPr>
            <w:tcW w:w="900" w:type="dxa"/>
            <w:tcBorders>
              <w:top w:val="nil"/>
              <w:bottom w:val="single" w:sz="4" w:space="0" w:color="auto"/>
            </w:tcBorders>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4</w:t>
            </w:r>
          </w:p>
        </w:tc>
        <w:tc>
          <w:tcPr>
            <w:tcW w:w="700" w:type="dxa"/>
            <w:tcBorders>
              <w:top w:val="nil"/>
              <w:bottom w:val="single" w:sz="4" w:space="0" w:color="auto"/>
            </w:tcBorders>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29</w:t>
            </w:r>
            <w:r w:rsidR="001973D8" w:rsidRPr="00C8422B">
              <w:rPr>
                <w:sz w:val="18"/>
                <w:lang w:val="fr-CH"/>
              </w:rPr>
              <w:t xml:space="preserve"> </w:t>
            </w:r>
          </w:p>
        </w:tc>
        <w:tc>
          <w:tcPr>
            <w:tcW w:w="800" w:type="dxa"/>
            <w:tcBorders>
              <w:top w:val="nil"/>
              <w:bottom w:val="single" w:sz="4" w:space="0" w:color="auto"/>
            </w:tcBorders>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178</w:t>
            </w:r>
          </w:p>
        </w:tc>
        <w:tc>
          <w:tcPr>
            <w:tcW w:w="900" w:type="dxa"/>
            <w:tcBorders>
              <w:top w:val="nil"/>
              <w:bottom w:val="single" w:sz="4" w:space="0" w:color="auto"/>
            </w:tcBorders>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178</w:t>
            </w:r>
          </w:p>
        </w:tc>
        <w:tc>
          <w:tcPr>
            <w:tcW w:w="604" w:type="dxa"/>
            <w:tcBorders>
              <w:top w:val="nil"/>
              <w:bottom w:val="single" w:sz="4" w:space="0" w:color="auto"/>
            </w:tcBorders>
            <w:shd w:val="clear" w:color="000000" w:fill="auto"/>
            <w:vAlign w:val="bottom"/>
          </w:tcPr>
          <w:p w:rsidR="00570B62" w:rsidRPr="00C8422B" w:rsidRDefault="00570B62" w:rsidP="00C8422B">
            <w:pPr>
              <w:spacing w:before="40" w:after="40" w:line="220" w:lineRule="exact"/>
              <w:jc w:val="right"/>
              <w:rPr>
                <w:sz w:val="18"/>
                <w:lang w:val="fr-CH"/>
              </w:rPr>
            </w:pPr>
            <w:r w:rsidRPr="00C8422B">
              <w:rPr>
                <w:sz w:val="18"/>
                <w:lang w:val="fr-CH"/>
              </w:rPr>
              <w:t>100</w:t>
            </w:r>
            <w:r w:rsidR="001973D8" w:rsidRPr="00C8422B">
              <w:rPr>
                <w:sz w:val="18"/>
                <w:lang w:val="fr-CH"/>
              </w:rPr>
              <w:t xml:space="preserve"> </w:t>
            </w:r>
          </w:p>
        </w:tc>
      </w:tr>
      <w:tr w:rsidR="00C8422B" w:rsidRPr="00C8422B" w:rsidTr="00C8422B">
        <w:tc>
          <w:tcPr>
            <w:tcW w:w="2566" w:type="dxa"/>
            <w:tcBorders>
              <w:top w:val="single" w:sz="4" w:space="0" w:color="auto"/>
            </w:tcBorders>
            <w:shd w:val="clear" w:color="000000" w:fill="auto"/>
          </w:tcPr>
          <w:p w:rsidR="00570B62" w:rsidRPr="00C8422B" w:rsidRDefault="00570B62" w:rsidP="00B75F26">
            <w:pPr>
              <w:spacing w:before="40" w:after="40" w:line="220" w:lineRule="exact"/>
              <w:ind w:firstLine="284"/>
              <w:rPr>
                <w:b/>
                <w:sz w:val="18"/>
                <w:lang w:val="fr-CH"/>
              </w:rPr>
            </w:pPr>
            <w:r w:rsidRPr="00C8422B">
              <w:rPr>
                <w:b/>
                <w:sz w:val="18"/>
                <w:lang w:val="fr-CH"/>
              </w:rPr>
              <w:t>Total</w:t>
            </w:r>
          </w:p>
        </w:tc>
        <w:tc>
          <w:tcPr>
            <w:tcW w:w="900" w:type="dxa"/>
            <w:tcBorders>
              <w:top w:val="single" w:sz="4" w:space="0" w:color="auto"/>
            </w:tcBorders>
            <w:shd w:val="clear" w:color="000000" w:fill="auto"/>
            <w:vAlign w:val="bottom"/>
          </w:tcPr>
          <w:p w:rsidR="00570B62" w:rsidRPr="00C8422B" w:rsidRDefault="00570B62" w:rsidP="00C8422B">
            <w:pPr>
              <w:spacing w:before="40" w:after="40" w:line="220" w:lineRule="exact"/>
              <w:jc w:val="right"/>
              <w:rPr>
                <w:b/>
                <w:sz w:val="18"/>
                <w:lang w:val="fr-CH"/>
              </w:rPr>
            </w:pPr>
            <w:r w:rsidRPr="00C8422B">
              <w:rPr>
                <w:b/>
                <w:sz w:val="18"/>
                <w:lang w:val="fr-CH"/>
              </w:rPr>
              <w:t>12.295</w:t>
            </w:r>
          </w:p>
        </w:tc>
        <w:tc>
          <w:tcPr>
            <w:tcW w:w="900" w:type="dxa"/>
            <w:tcBorders>
              <w:top w:val="single" w:sz="4" w:space="0" w:color="auto"/>
            </w:tcBorders>
            <w:shd w:val="clear" w:color="000000" w:fill="auto"/>
            <w:vAlign w:val="bottom"/>
          </w:tcPr>
          <w:p w:rsidR="00570B62" w:rsidRPr="00C8422B" w:rsidRDefault="00570B62" w:rsidP="00C8422B">
            <w:pPr>
              <w:spacing w:before="40" w:after="40" w:line="220" w:lineRule="exact"/>
              <w:jc w:val="right"/>
              <w:rPr>
                <w:b/>
                <w:sz w:val="18"/>
                <w:lang w:val="fr-CH"/>
              </w:rPr>
            </w:pPr>
            <w:r w:rsidRPr="00C8422B">
              <w:rPr>
                <w:b/>
                <w:sz w:val="18"/>
                <w:lang w:val="fr-CH"/>
              </w:rPr>
              <w:t>4.315</w:t>
            </w:r>
          </w:p>
        </w:tc>
        <w:tc>
          <w:tcPr>
            <w:tcW w:w="700" w:type="dxa"/>
            <w:tcBorders>
              <w:top w:val="single" w:sz="4" w:space="0" w:color="auto"/>
            </w:tcBorders>
            <w:shd w:val="clear" w:color="000000" w:fill="auto"/>
            <w:vAlign w:val="bottom"/>
          </w:tcPr>
          <w:p w:rsidR="00570B62" w:rsidRPr="00C8422B" w:rsidRDefault="00570B62" w:rsidP="00C8422B">
            <w:pPr>
              <w:spacing w:before="40" w:after="40" w:line="220" w:lineRule="exact"/>
              <w:jc w:val="right"/>
              <w:rPr>
                <w:b/>
                <w:sz w:val="18"/>
                <w:lang w:val="fr-CH"/>
              </w:rPr>
            </w:pPr>
            <w:r w:rsidRPr="00C8422B">
              <w:rPr>
                <w:b/>
                <w:sz w:val="18"/>
                <w:lang w:val="fr-CH"/>
              </w:rPr>
              <w:t>35</w:t>
            </w:r>
            <w:r w:rsidR="001973D8" w:rsidRPr="00C8422B">
              <w:rPr>
                <w:b/>
                <w:sz w:val="18"/>
                <w:lang w:val="fr-CH"/>
              </w:rPr>
              <w:t xml:space="preserve"> </w:t>
            </w:r>
          </w:p>
        </w:tc>
        <w:tc>
          <w:tcPr>
            <w:tcW w:w="800" w:type="dxa"/>
            <w:tcBorders>
              <w:top w:val="single" w:sz="4" w:space="0" w:color="auto"/>
            </w:tcBorders>
            <w:shd w:val="clear" w:color="000000" w:fill="auto"/>
            <w:vAlign w:val="bottom"/>
          </w:tcPr>
          <w:p w:rsidR="00570B62" w:rsidRPr="00C8422B" w:rsidRDefault="00570B62" w:rsidP="00C8422B">
            <w:pPr>
              <w:spacing w:before="40" w:after="40" w:line="220" w:lineRule="exact"/>
              <w:jc w:val="right"/>
              <w:rPr>
                <w:b/>
                <w:sz w:val="18"/>
                <w:lang w:val="fr-CH"/>
              </w:rPr>
            </w:pPr>
            <w:r w:rsidRPr="00C8422B">
              <w:rPr>
                <w:b/>
                <w:sz w:val="18"/>
                <w:lang w:val="fr-CH"/>
              </w:rPr>
              <w:t>2.6768</w:t>
            </w:r>
          </w:p>
        </w:tc>
        <w:tc>
          <w:tcPr>
            <w:tcW w:w="900" w:type="dxa"/>
            <w:tcBorders>
              <w:top w:val="single" w:sz="4" w:space="0" w:color="auto"/>
            </w:tcBorders>
            <w:shd w:val="clear" w:color="000000" w:fill="auto"/>
            <w:vAlign w:val="bottom"/>
          </w:tcPr>
          <w:p w:rsidR="00570B62" w:rsidRPr="00C8422B" w:rsidRDefault="00570B62" w:rsidP="00C8422B">
            <w:pPr>
              <w:spacing w:before="40" w:after="40" w:line="220" w:lineRule="exact"/>
              <w:jc w:val="right"/>
              <w:rPr>
                <w:b/>
                <w:sz w:val="18"/>
                <w:lang w:val="fr-CH"/>
              </w:rPr>
            </w:pPr>
            <w:r w:rsidRPr="00C8422B">
              <w:rPr>
                <w:b/>
                <w:sz w:val="18"/>
                <w:lang w:val="fr-CH"/>
              </w:rPr>
              <w:t>8.502</w:t>
            </w:r>
          </w:p>
        </w:tc>
        <w:tc>
          <w:tcPr>
            <w:tcW w:w="604" w:type="dxa"/>
            <w:tcBorders>
              <w:top w:val="single" w:sz="4" w:space="0" w:color="auto"/>
            </w:tcBorders>
            <w:shd w:val="clear" w:color="000000" w:fill="auto"/>
            <w:vAlign w:val="bottom"/>
          </w:tcPr>
          <w:p w:rsidR="00570B62" w:rsidRPr="00C8422B" w:rsidRDefault="00570B62" w:rsidP="00C8422B">
            <w:pPr>
              <w:spacing w:before="40" w:after="40" w:line="220" w:lineRule="exact"/>
              <w:jc w:val="right"/>
              <w:rPr>
                <w:b/>
                <w:sz w:val="18"/>
                <w:lang w:val="fr-CH"/>
              </w:rPr>
            </w:pPr>
            <w:r w:rsidRPr="00C8422B">
              <w:rPr>
                <w:b/>
                <w:sz w:val="18"/>
                <w:lang w:val="fr-CH"/>
              </w:rPr>
              <w:t>32</w:t>
            </w:r>
            <w:r w:rsidR="001973D8" w:rsidRPr="00C8422B">
              <w:rPr>
                <w:b/>
                <w:sz w:val="18"/>
                <w:lang w:val="fr-CH"/>
              </w:rPr>
              <w:t xml:space="preserve"> </w:t>
            </w:r>
          </w:p>
        </w:tc>
      </w:tr>
    </w:tbl>
    <w:p w:rsidR="00570B62" w:rsidRPr="00961388" w:rsidRDefault="00570B62" w:rsidP="00C8422B">
      <w:pPr>
        <w:pStyle w:val="SingleTxtG"/>
        <w:spacing w:before="240"/>
        <w:rPr>
          <w:lang w:val="fr-CH"/>
        </w:rPr>
      </w:pPr>
      <w:r w:rsidRPr="00961388">
        <w:rPr>
          <w:lang w:val="fr-CH"/>
        </w:rPr>
        <w:t>270.</w:t>
      </w:r>
      <w:r w:rsidRPr="00961388">
        <w:rPr>
          <w:lang w:val="fr-CH"/>
        </w:rPr>
        <w:tab/>
        <w:t>On enregistre une nette évolution de l</w:t>
      </w:r>
      <w:r w:rsidR="00961388">
        <w:rPr>
          <w:lang w:val="fr-CH"/>
        </w:rPr>
        <w:t>’</w:t>
      </w:r>
      <w:r w:rsidRPr="00961388">
        <w:rPr>
          <w:lang w:val="fr-CH"/>
        </w:rPr>
        <w:t>effectif des femmes diplômées, entre 2002 et 2009, dans les centres de formation de l</w:t>
      </w:r>
      <w:r w:rsidR="00961388">
        <w:rPr>
          <w:lang w:val="fr-CH"/>
        </w:rPr>
        <w:t>’</w:t>
      </w:r>
      <w:r w:rsidRPr="00961388">
        <w:rPr>
          <w:lang w:val="fr-CH"/>
        </w:rPr>
        <w:t>ATFP. En effet, leur effectif est passé de 4.315 en 2002 à 8.502 en 2009.</w:t>
      </w:r>
    </w:p>
    <w:p w:rsidR="00570B62" w:rsidRPr="00961388" w:rsidRDefault="00570B62" w:rsidP="001973D8">
      <w:pPr>
        <w:pStyle w:val="SingleTxtG"/>
        <w:rPr>
          <w:lang w:val="fr-CH"/>
        </w:rPr>
      </w:pPr>
      <w:r w:rsidRPr="00961388">
        <w:rPr>
          <w:lang w:val="fr-CH"/>
        </w:rPr>
        <w:t>271.</w:t>
      </w:r>
      <w:r w:rsidRPr="00961388">
        <w:rPr>
          <w:lang w:val="fr-CH"/>
        </w:rPr>
        <w:tab/>
        <w:t>La répartition sectorielle des effectifs en formation, fait ressortir une concentration des filles dans les secteurs de services (87</w:t>
      </w:r>
      <w:r w:rsidR="001973D8">
        <w:rPr>
          <w:lang w:val="fr-CH"/>
        </w:rPr>
        <w:t xml:space="preserve"> %</w:t>
      </w:r>
      <w:r w:rsidRPr="00961388">
        <w:rPr>
          <w:lang w:val="fr-CH"/>
        </w:rPr>
        <w:t xml:space="preserve"> en 2009), du textile habillement (91</w:t>
      </w:r>
      <w:r w:rsidR="001973D8">
        <w:rPr>
          <w:lang w:val="fr-CH"/>
        </w:rPr>
        <w:t xml:space="preserve"> %</w:t>
      </w:r>
      <w:r w:rsidRPr="00961388">
        <w:rPr>
          <w:lang w:val="fr-CH"/>
        </w:rPr>
        <w:t xml:space="preserve"> en 2009) et du tertiaire (72</w:t>
      </w:r>
      <w:r w:rsidR="001973D8">
        <w:rPr>
          <w:lang w:val="fr-CH"/>
        </w:rPr>
        <w:t xml:space="preserve"> %</w:t>
      </w:r>
      <w:r w:rsidRPr="00961388">
        <w:rPr>
          <w:lang w:val="fr-CH"/>
        </w:rPr>
        <w:t xml:space="preserve"> en 2009), de l</w:t>
      </w:r>
      <w:r w:rsidR="00961388">
        <w:rPr>
          <w:lang w:val="fr-CH"/>
        </w:rPr>
        <w:t>’</w:t>
      </w:r>
      <w:r w:rsidRPr="00961388">
        <w:rPr>
          <w:lang w:val="fr-CH"/>
        </w:rPr>
        <w:t>agro-alimentaire (80</w:t>
      </w:r>
      <w:r w:rsidR="001973D8">
        <w:rPr>
          <w:lang w:val="fr-CH"/>
        </w:rPr>
        <w:t xml:space="preserve"> %</w:t>
      </w:r>
      <w:r w:rsidRPr="00961388">
        <w:rPr>
          <w:lang w:val="fr-CH"/>
        </w:rPr>
        <w:t xml:space="preserve"> en 2009 contre 49</w:t>
      </w:r>
      <w:r w:rsidR="001973D8">
        <w:rPr>
          <w:lang w:val="fr-CH"/>
        </w:rPr>
        <w:t xml:space="preserve"> %</w:t>
      </w:r>
      <w:r w:rsidRPr="00961388">
        <w:rPr>
          <w:lang w:val="fr-CH"/>
        </w:rPr>
        <w:t xml:space="preserve"> en 2002).</w:t>
      </w:r>
    </w:p>
    <w:p w:rsidR="00570B62" w:rsidRPr="00961388" w:rsidRDefault="00570B62" w:rsidP="001973D8">
      <w:pPr>
        <w:pStyle w:val="SingleTxtG"/>
        <w:rPr>
          <w:lang w:val="fr-CH"/>
        </w:rPr>
      </w:pPr>
      <w:r w:rsidRPr="00961388">
        <w:rPr>
          <w:lang w:val="fr-CH"/>
        </w:rPr>
        <w:t>272.</w:t>
      </w:r>
      <w:r w:rsidRPr="00961388">
        <w:rPr>
          <w:lang w:val="fr-CH"/>
        </w:rPr>
        <w:tab/>
        <w:t>D</w:t>
      </w:r>
      <w:r w:rsidR="00961388">
        <w:rPr>
          <w:lang w:val="fr-CH"/>
        </w:rPr>
        <w:t>’</w:t>
      </w:r>
      <w:r w:rsidRPr="00961388">
        <w:rPr>
          <w:lang w:val="fr-CH"/>
        </w:rPr>
        <w:t xml:space="preserve">autres secteurs considérés </w:t>
      </w:r>
      <w:r w:rsidR="00961388">
        <w:rPr>
          <w:lang w:val="fr-CH"/>
        </w:rPr>
        <w:t>«</w:t>
      </w:r>
      <w:r w:rsidRPr="00961388">
        <w:rPr>
          <w:lang w:val="fr-CH"/>
        </w:rPr>
        <w:t>masculins</w:t>
      </w:r>
      <w:r w:rsidR="00961388">
        <w:rPr>
          <w:lang w:val="fr-CH"/>
        </w:rPr>
        <w:t>»</w:t>
      </w:r>
      <w:r w:rsidRPr="00961388">
        <w:rPr>
          <w:lang w:val="fr-CH"/>
        </w:rPr>
        <w:t xml:space="preserve"> commencent à attirer les filles tels ceux du cuir et chaussures (42</w:t>
      </w:r>
      <w:r w:rsidR="001973D8">
        <w:rPr>
          <w:lang w:val="fr-CH"/>
        </w:rPr>
        <w:t xml:space="preserve"> %</w:t>
      </w:r>
      <w:r w:rsidRPr="00961388">
        <w:rPr>
          <w:lang w:val="fr-CH"/>
        </w:rPr>
        <w:t xml:space="preserve"> en 2009), de l</w:t>
      </w:r>
      <w:r w:rsidR="00961388">
        <w:rPr>
          <w:lang w:val="fr-CH"/>
        </w:rPr>
        <w:t>’</w:t>
      </w:r>
      <w:r w:rsidRPr="00961388">
        <w:rPr>
          <w:lang w:val="fr-CH"/>
        </w:rPr>
        <w:t>électricité (17</w:t>
      </w:r>
      <w:r w:rsidR="001973D8">
        <w:rPr>
          <w:lang w:val="fr-CH"/>
        </w:rPr>
        <w:t xml:space="preserve"> %</w:t>
      </w:r>
      <w:r w:rsidRPr="00961388">
        <w:rPr>
          <w:lang w:val="fr-CH"/>
        </w:rPr>
        <w:t xml:space="preserve"> en 2009 contre 15</w:t>
      </w:r>
      <w:r w:rsidR="001973D8">
        <w:rPr>
          <w:lang w:val="fr-CH"/>
        </w:rPr>
        <w:t xml:space="preserve"> %</w:t>
      </w:r>
      <w:r w:rsidRPr="00961388">
        <w:rPr>
          <w:lang w:val="fr-CH"/>
        </w:rPr>
        <w:t xml:space="preserve"> en 2002), du transport, de la conduite et la maintenance des engins (6</w:t>
      </w:r>
      <w:r w:rsidR="001973D8">
        <w:rPr>
          <w:lang w:val="fr-CH"/>
        </w:rPr>
        <w:t xml:space="preserve"> %</w:t>
      </w:r>
      <w:r w:rsidRPr="00961388">
        <w:rPr>
          <w:lang w:val="fr-CH"/>
        </w:rPr>
        <w:t xml:space="preserve"> en 2009 contre 1</w:t>
      </w:r>
      <w:r w:rsidR="001973D8">
        <w:rPr>
          <w:lang w:val="fr-CH"/>
        </w:rPr>
        <w:t xml:space="preserve"> %</w:t>
      </w:r>
      <w:r w:rsidRPr="00961388">
        <w:rPr>
          <w:lang w:val="fr-CH"/>
        </w:rPr>
        <w:t xml:space="preserve"> en 2002), du bâtiment (7</w:t>
      </w:r>
      <w:r w:rsidR="001973D8">
        <w:rPr>
          <w:lang w:val="fr-CH"/>
        </w:rPr>
        <w:t xml:space="preserve"> %</w:t>
      </w:r>
      <w:r w:rsidRPr="00961388">
        <w:rPr>
          <w:lang w:val="fr-CH"/>
        </w:rPr>
        <w:t xml:space="preserve"> en 2009).</w:t>
      </w:r>
    </w:p>
    <w:p w:rsidR="00570B62" w:rsidRPr="00961388" w:rsidRDefault="00570B62" w:rsidP="001973D8">
      <w:pPr>
        <w:pStyle w:val="SingleTxtG"/>
        <w:rPr>
          <w:lang w:val="fr-CH"/>
        </w:rPr>
      </w:pPr>
      <w:r w:rsidRPr="00961388">
        <w:rPr>
          <w:lang w:val="fr-CH"/>
        </w:rPr>
        <w:t>273.</w:t>
      </w:r>
      <w:r w:rsidRPr="00961388">
        <w:rPr>
          <w:lang w:val="fr-CH"/>
        </w:rPr>
        <w:tab/>
        <w:t>On assiste ainsi à une offre de formation plus diversifiée et plus qualifiante où les filles bénéficient des mêmes chances que les garçons et s</w:t>
      </w:r>
      <w:r w:rsidR="00961388">
        <w:rPr>
          <w:lang w:val="fr-CH"/>
        </w:rPr>
        <w:t>’</w:t>
      </w:r>
      <w:r w:rsidRPr="00961388">
        <w:rPr>
          <w:lang w:val="fr-CH"/>
        </w:rPr>
        <w:t>orientent de plus en plus vers des spécialités nouvelles basées sur la maîtrise des technologies et des techniques évoluées.</w:t>
      </w:r>
    </w:p>
    <w:p w:rsidR="00570B62" w:rsidRPr="001973D8" w:rsidRDefault="00570B62" w:rsidP="001973D8">
      <w:pPr>
        <w:pStyle w:val="SingleTxtG"/>
        <w:rPr>
          <w:b/>
          <w:lang w:val="fr-CH"/>
        </w:rPr>
      </w:pPr>
      <w:r w:rsidRPr="001973D8">
        <w:rPr>
          <w:b/>
          <w:lang w:val="fr-CH"/>
        </w:rPr>
        <w:t>* Centres de la jeune fille rurale</w:t>
      </w:r>
      <w:r w:rsidR="00961388" w:rsidRPr="001973D8">
        <w:rPr>
          <w:b/>
          <w:lang w:val="fr-CH"/>
        </w:rPr>
        <w:t>:</w:t>
      </w:r>
    </w:p>
    <w:p w:rsidR="00570B62" w:rsidRPr="00961388" w:rsidRDefault="00570B62" w:rsidP="001973D8">
      <w:pPr>
        <w:pStyle w:val="SingleTxtG"/>
        <w:rPr>
          <w:lang w:val="fr-CH"/>
        </w:rPr>
      </w:pPr>
      <w:r w:rsidRPr="00961388">
        <w:rPr>
          <w:lang w:val="fr-CH"/>
        </w:rPr>
        <w:t>274.</w:t>
      </w:r>
      <w:r w:rsidRPr="00961388">
        <w:rPr>
          <w:lang w:val="fr-CH"/>
        </w:rPr>
        <w:tab/>
        <w:t>Dans le dispositif de formation professionnelle relevant de l</w:t>
      </w:r>
      <w:r w:rsidR="00961388">
        <w:rPr>
          <w:lang w:val="fr-CH"/>
        </w:rPr>
        <w:t>’</w:t>
      </w:r>
      <w:r w:rsidRPr="00961388">
        <w:rPr>
          <w:lang w:val="fr-CH"/>
        </w:rPr>
        <w:t>Agence tunisienne de la formation professionnelle (ATFP), les centres de la jeune fille rurale (14 centres) forment à 100</w:t>
      </w:r>
      <w:r w:rsidR="001973D8">
        <w:rPr>
          <w:lang w:val="fr-CH"/>
        </w:rPr>
        <w:t xml:space="preserve"> %</w:t>
      </w:r>
      <w:r w:rsidRPr="00961388">
        <w:rPr>
          <w:lang w:val="fr-CH"/>
        </w:rPr>
        <w:t xml:space="preserve"> des filles.</w:t>
      </w:r>
    </w:p>
    <w:p w:rsidR="00570B62" w:rsidRPr="00961388" w:rsidRDefault="00570B62" w:rsidP="001973D8">
      <w:pPr>
        <w:pStyle w:val="SingleTxtG"/>
        <w:rPr>
          <w:lang w:val="fr-CH"/>
        </w:rPr>
      </w:pPr>
      <w:r w:rsidRPr="00961388">
        <w:rPr>
          <w:lang w:val="fr-CH"/>
        </w:rPr>
        <w:t>275.</w:t>
      </w:r>
      <w:r w:rsidRPr="00961388">
        <w:rPr>
          <w:lang w:val="fr-CH"/>
        </w:rPr>
        <w:tab/>
        <w:t>Les centres de la jeune fille rurale ont été mis en place pour mieux répondre aux besoins spécifiques de formation professionnelle de la jeune fille rurale (peu ou pas scolarisée) et faciliter son insertion sociale et économique.</w:t>
      </w:r>
    </w:p>
    <w:p w:rsidR="00570B62" w:rsidRPr="00961388" w:rsidRDefault="00570B62" w:rsidP="001973D8">
      <w:pPr>
        <w:pStyle w:val="SingleTxtG"/>
        <w:rPr>
          <w:lang w:val="fr-CH"/>
        </w:rPr>
      </w:pPr>
      <w:r w:rsidRPr="00961388">
        <w:rPr>
          <w:lang w:val="fr-CH"/>
        </w:rPr>
        <w:t>276.</w:t>
      </w:r>
      <w:r w:rsidRPr="00961388">
        <w:rPr>
          <w:lang w:val="fr-CH"/>
        </w:rPr>
        <w:tab/>
        <w:t>C</w:t>
      </w:r>
      <w:r w:rsidR="00961388">
        <w:rPr>
          <w:lang w:val="fr-CH"/>
        </w:rPr>
        <w:t>’</w:t>
      </w:r>
      <w:r w:rsidRPr="00961388">
        <w:rPr>
          <w:lang w:val="fr-CH"/>
        </w:rPr>
        <w:t>est une formation visant l</w:t>
      </w:r>
      <w:r w:rsidR="00961388">
        <w:rPr>
          <w:lang w:val="fr-CH"/>
        </w:rPr>
        <w:t>’</w:t>
      </w:r>
      <w:r w:rsidRPr="00961388">
        <w:rPr>
          <w:lang w:val="fr-CH"/>
        </w:rPr>
        <w:t>épanouissement de la jeune fille et le développement en elle d</w:t>
      </w:r>
      <w:r w:rsidR="00961388">
        <w:rPr>
          <w:lang w:val="fr-CH"/>
        </w:rPr>
        <w:t>’</w:t>
      </w:r>
      <w:r w:rsidRPr="00961388">
        <w:rPr>
          <w:lang w:val="fr-CH"/>
        </w:rPr>
        <w:t>attitudes et de comportements responsables avec une formation modulaire dans les domaines de l</w:t>
      </w:r>
      <w:r w:rsidR="00961388">
        <w:rPr>
          <w:lang w:val="fr-CH"/>
        </w:rPr>
        <w:t>’</w:t>
      </w:r>
      <w:r w:rsidRPr="00961388">
        <w:rPr>
          <w:lang w:val="fr-CH"/>
        </w:rPr>
        <w:t>éducation de la planification familiale, de la santé, de l</w:t>
      </w:r>
      <w:r w:rsidR="00961388">
        <w:rPr>
          <w:lang w:val="fr-CH"/>
        </w:rPr>
        <w:t>’</w:t>
      </w:r>
      <w:r w:rsidRPr="00961388">
        <w:rPr>
          <w:lang w:val="fr-CH"/>
        </w:rPr>
        <w:t>environnement et la nutrition ainsi que dans les domaines techniques de l</w:t>
      </w:r>
      <w:r w:rsidR="00961388">
        <w:rPr>
          <w:lang w:val="fr-CH"/>
        </w:rPr>
        <w:t>’</w:t>
      </w:r>
      <w:r w:rsidRPr="00961388">
        <w:rPr>
          <w:lang w:val="fr-CH"/>
        </w:rPr>
        <w:t>agriculture et de l</w:t>
      </w:r>
      <w:r w:rsidR="00961388">
        <w:rPr>
          <w:lang w:val="fr-CH"/>
        </w:rPr>
        <w:t>’</w:t>
      </w:r>
      <w:r w:rsidRPr="00961388">
        <w:rPr>
          <w:lang w:val="fr-CH"/>
        </w:rPr>
        <w:t>artisanat avec une meilleure qualification qu</w:t>
      </w:r>
      <w:r w:rsidR="00961388">
        <w:rPr>
          <w:lang w:val="fr-CH"/>
        </w:rPr>
        <w:t>’</w:t>
      </w:r>
      <w:r w:rsidRPr="00961388">
        <w:rPr>
          <w:lang w:val="fr-CH"/>
        </w:rPr>
        <w:t>auparavant en vue de faciliter l</w:t>
      </w:r>
      <w:r w:rsidR="00961388">
        <w:rPr>
          <w:lang w:val="fr-CH"/>
        </w:rPr>
        <w:t>’</w:t>
      </w:r>
      <w:r w:rsidRPr="00961388">
        <w:rPr>
          <w:lang w:val="fr-CH"/>
        </w:rPr>
        <w:t>insertion dans le marché de l</w:t>
      </w:r>
      <w:r w:rsidR="00961388">
        <w:rPr>
          <w:lang w:val="fr-CH"/>
        </w:rPr>
        <w:t>’</w:t>
      </w:r>
      <w:r w:rsidRPr="00961388">
        <w:rPr>
          <w:lang w:val="fr-CH"/>
        </w:rPr>
        <w:t xml:space="preserve">emploi selon les convenances. </w:t>
      </w:r>
    </w:p>
    <w:p w:rsidR="00570B62" w:rsidRPr="00961388" w:rsidRDefault="00570B62" w:rsidP="001973D8">
      <w:pPr>
        <w:pStyle w:val="H1G"/>
        <w:rPr>
          <w:lang w:val="fr-CH"/>
        </w:rPr>
      </w:pPr>
      <w:r w:rsidRPr="00961388">
        <w:rPr>
          <w:lang w:val="fr-CH"/>
        </w:rPr>
        <w:tab/>
      </w:r>
      <w:r w:rsidRPr="00961388">
        <w:rPr>
          <w:lang w:val="fr-CH"/>
        </w:rPr>
        <w:tab/>
        <w:t>Emploi</w:t>
      </w:r>
    </w:p>
    <w:p w:rsidR="00570B62" w:rsidRPr="00961388" w:rsidRDefault="001973D8" w:rsidP="001973D8">
      <w:pPr>
        <w:pStyle w:val="H23G"/>
        <w:rPr>
          <w:i/>
          <w:iCs/>
          <w:lang w:val="fr-CH"/>
        </w:rPr>
      </w:pPr>
      <w:r>
        <w:rPr>
          <w:lang w:val="fr-CH"/>
        </w:rPr>
        <w:tab/>
      </w:r>
      <w:r>
        <w:rPr>
          <w:lang w:val="fr-CH"/>
        </w:rPr>
        <w:tab/>
      </w:r>
      <w:r w:rsidR="00570B62" w:rsidRPr="00961388">
        <w:rPr>
          <w:lang w:val="fr-CH"/>
        </w:rPr>
        <w:t>Réponse au paragraphe 24 de la liste de points à traiter</w:t>
      </w:r>
    </w:p>
    <w:p w:rsidR="001973D8" w:rsidRDefault="00570B62" w:rsidP="001973D8">
      <w:pPr>
        <w:pStyle w:val="SingleTxtG"/>
        <w:rPr>
          <w:lang w:val="fr-CH"/>
        </w:rPr>
      </w:pPr>
      <w:r w:rsidRPr="00961388">
        <w:rPr>
          <w:lang w:val="fr-CH"/>
        </w:rPr>
        <w:t>277.</w:t>
      </w:r>
      <w:r w:rsidRPr="00961388">
        <w:rPr>
          <w:lang w:val="fr-CH"/>
        </w:rPr>
        <w:tab/>
        <w:t>La Tunisie a adhéré à plusieurs conventions internationales du travail consacrant le principe de non discrimination. On peut citer notamment</w:t>
      </w:r>
      <w:r w:rsidR="00961388">
        <w:rPr>
          <w:lang w:val="fr-CH"/>
        </w:rPr>
        <w:t>:</w:t>
      </w:r>
    </w:p>
    <w:p w:rsidR="001973D8" w:rsidRPr="001973D8" w:rsidRDefault="00961388" w:rsidP="001973D8">
      <w:pPr>
        <w:pStyle w:val="Bullet1G"/>
        <w:rPr>
          <w:b/>
          <w:bCs/>
          <w:lang w:val="fr-CH"/>
        </w:rPr>
      </w:pPr>
      <w:r>
        <w:rPr>
          <w:lang w:val="fr-CH"/>
        </w:rPr>
        <w:t xml:space="preserve">La Convention </w:t>
      </w:r>
      <w:r w:rsidRPr="00961388">
        <w:rPr>
          <w:rFonts w:eastAsia="MS Mincho"/>
          <w:lang w:val="fr-CH"/>
        </w:rPr>
        <w:t>n</w:t>
      </w:r>
      <w:r w:rsidRPr="00961388">
        <w:rPr>
          <w:rFonts w:eastAsia="MS Mincho"/>
          <w:vertAlign w:val="superscript"/>
          <w:lang w:val="fr-CH"/>
        </w:rPr>
        <w:t>o</w:t>
      </w:r>
      <w:r>
        <w:rPr>
          <w:lang w:val="fr-CH"/>
        </w:rPr>
        <w:t xml:space="preserve"> </w:t>
      </w:r>
      <w:r w:rsidR="00570B62" w:rsidRPr="00961388">
        <w:rPr>
          <w:lang w:val="fr-CH"/>
        </w:rPr>
        <w:t>111 sur la discrimination en matière d</w:t>
      </w:r>
      <w:r>
        <w:rPr>
          <w:lang w:val="fr-CH"/>
        </w:rPr>
        <w:t>’</w:t>
      </w:r>
      <w:r w:rsidR="00570B62" w:rsidRPr="00961388">
        <w:rPr>
          <w:lang w:val="fr-CH"/>
        </w:rPr>
        <w:t>emploi et de profession, ratifiée en 1959</w:t>
      </w:r>
      <w:r>
        <w:rPr>
          <w:lang w:val="fr-CH"/>
        </w:rPr>
        <w:t>;</w:t>
      </w:r>
    </w:p>
    <w:p w:rsidR="001973D8" w:rsidRPr="001973D8" w:rsidRDefault="00961388" w:rsidP="001973D8">
      <w:pPr>
        <w:pStyle w:val="Bullet1G"/>
        <w:rPr>
          <w:b/>
          <w:bCs/>
          <w:lang w:val="fr-CH"/>
        </w:rPr>
      </w:pPr>
      <w:r>
        <w:rPr>
          <w:lang w:val="fr-CH"/>
        </w:rPr>
        <w:t xml:space="preserve">La Convention </w:t>
      </w:r>
      <w:r w:rsidRPr="00961388">
        <w:rPr>
          <w:rFonts w:eastAsia="MS Mincho"/>
          <w:lang w:val="fr-CH"/>
        </w:rPr>
        <w:t>n</w:t>
      </w:r>
      <w:r w:rsidRPr="00961388">
        <w:rPr>
          <w:rFonts w:eastAsia="MS Mincho"/>
          <w:vertAlign w:val="superscript"/>
          <w:lang w:val="fr-CH"/>
        </w:rPr>
        <w:t>o</w:t>
      </w:r>
      <w:r>
        <w:rPr>
          <w:lang w:val="fr-CH"/>
        </w:rPr>
        <w:t xml:space="preserve"> </w:t>
      </w:r>
      <w:r w:rsidR="00570B62" w:rsidRPr="00961388">
        <w:rPr>
          <w:lang w:val="fr-CH"/>
        </w:rPr>
        <w:t>100 sur l</w:t>
      </w:r>
      <w:r>
        <w:rPr>
          <w:lang w:val="fr-CH"/>
        </w:rPr>
        <w:t>’</w:t>
      </w:r>
      <w:r w:rsidR="00570B62" w:rsidRPr="00961388">
        <w:rPr>
          <w:lang w:val="fr-CH"/>
        </w:rPr>
        <w:t>égalité de rémunération, ratifiée en 1968</w:t>
      </w:r>
      <w:r>
        <w:rPr>
          <w:lang w:val="fr-CH"/>
        </w:rPr>
        <w:t>;</w:t>
      </w:r>
      <w:r w:rsidR="00570B62" w:rsidRPr="00961388">
        <w:rPr>
          <w:lang w:val="fr-CH"/>
        </w:rPr>
        <w:t xml:space="preserve"> </w:t>
      </w:r>
    </w:p>
    <w:p w:rsidR="001973D8" w:rsidRPr="001973D8" w:rsidRDefault="00961388" w:rsidP="001973D8">
      <w:pPr>
        <w:pStyle w:val="Bullet1G"/>
        <w:rPr>
          <w:b/>
          <w:bCs/>
          <w:lang w:val="fr-CH"/>
        </w:rPr>
      </w:pPr>
      <w:r>
        <w:rPr>
          <w:lang w:val="fr-CH"/>
        </w:rPr>
        <w:t xml:space="preserve">La Convention </w:t>
      </w:r>
      <w:r w:rsidRPr="00961388">
        <w:rPr>
          <w:rFonts w:eastAsia="MS Mincho"/>
          <w:lang w:val="fr-CH"/>
        </w:rPr>
        <w:t>n</w:t>
      </w:r>
      <w:r w:rsidRPr="00961388">
        <w:rPr>
          <w:rFonts w:eastAsia="MS Mincho"/>
          <w:vertAlign w:val="superscript"/>
          <w:lang w:val="fr-CH"/>
        </w:rPr>
        <w:t>o</w:t>
      </w:r>
      <w:r>
        <w:rPr>
          <w:lang w:val="fr-CH"/>
        </w:rPr>
        <w:t xml:space="preserve"> </w:t>
      </w:r>
      <w:r w:rsidR="00570B62" w:rsidRPr="00961388">
        <w:rPr>
          <w:lang w:val="fr-CH"/>
        </w:rPr>
        <w:t>117 sur la politique sociale (objectifs et normes de base), ratifiée en 1970</w:t>
      </w:r>
      <w:r>
        <w:rPr>
          <w:lang w:val="fr-CH"/>
        </w:rPr>
        <w:t>;</w:t>
      </w:r>
    </w:p>
    <w:p w:rsidR="00570B62" w:rsidRPr="001973D8" w:rsidRDefault="00961388" w:rsidP="001973D8">
      <w:pPr>
        <w:pStyle w:val="Bullet1G"/>
        <w:rPr>
          <w:b/>
          <w:bCs/>
          <w:lang w:val="fr-CH"/>
        </w:rPr>
      </w:pPr>
      <w:r>
        <w:rPr>
          <w:lang w:val="fr-CH"/>
        </w:rPr>
        <w:t xml:space="preserve">La Convention </w:t>
      </w:r>
      <w:r w:rsidRPr="00961388">
        <w:rPr>
          <w:rFonts w:eastAsia="MS Mincho"/>
          <w:lang w:val="fr-CH"/>
        </w:rPr>
        <w:t>n</w:t>
      </w:r>
      <w:r w:rsidRPr="00961388">
        <w:rPr>
          <w:rFonts w:eastAsia="MS Mincho"/>
          <w:vertAlign w:val="superscript"/>
          <w:lang w:val="fr-CH"/>
        </w:rPr>
        <w:t>o</w:t>
      </w:r>
      <w:r>
        <w:rPr>
          <w:lang w:val="fr-CH"/>
        </w:rPr>
        <w:t xml:space="preserve"> </w:t>
      </w:r>
      <w:r w:rsidR="00570B62" w:rsidRPr="00961388">
        <w:rPr>
          <w:lang w:val="fr-CH"/>
        </w:rPr>
        <w:t>122 sur la politique de l</w:t>
      </w:r>
      <w:r>
        <w:rPr>
          <w:lang w:val="fr-CH"/>
        </w:rPr>
        <w:t>’</w:t>
      </w:r>
      <w:r w:rsidR="00570B62" w:rsidRPr="00961388">
        <w:rPr>
          <w:lang w:val="fr-CH"/>
        </w:rPr>
        <w:t>emploi, ratifiée en 1966.</w:t>
      </w:r>
    </w:p>
    <w:p w:rsidR="00570B62" w:rsidRPr="00961388" w:rsidRDefault="00570B62" w:rsidP="001973D8">
      <w:pPr>
        <w:pStyle w:val="SingleTxtG"/>
        <w:rPr>
          <w:lang w:val="fr-CH"/>
        </w:rPr>
      </w:pPr>
      <w:r w:rsidRPr="00961388">
        <w:rPr>
          <w:lang w:val="fr-CH"/>
        </w:rPr>
        <w:t>278.</w:t>
      </w:r>
      <w:r w:rsidRPr="00961388">
        <w:rPr>
          <w:lang w:val="fr-CH"/>
        </w:rPr>
        <w:tab/>
        <w:t>Outre ces instruments internationaux qui ont une suprématie sur les lois internes, en vertu de l</w:t>
      </w:r>
      <w:r w:rsidR="00961388">
        <w:rPr>
          <w:lang w:val="fr-CH"/>
        </w:rPr>
        <w:t>’</w:t>
      </w:r>
      <w:r w:rsidRPr="00961388">
        <w:rPr>
          <w:lang w:val="fr-CH"/>
        </w:rPr>
        <w:t>article 32 de la Constitution de la République Tunisienne, le dispositif législatif tunisien consacre le principe de non discrimination dans le domaine du travail, notamment en matière d</w:t>
      </w:r>
      <w:r w:rsidR="00961388">
        <w:rPr>
          <w:lang w:val="fr-CH"/>
        </w:rPr>
        <w:t>’</w:t>
      </w:r>
      <w:r w:rsidRPr="00961388">
        <w:rPr>
          <w:lang w:val="fr-CH"/>
        </w:rPr>
        <w:t>emploi et de rémunération.</w:t>
      </w:r>
    </w:p>
    <w:p w:rsidR="00570B62" w:rsidRPr="00961388" w:rsidRDefault="00570B62" w:rsidP="001973D8">
      <w:pPr>
        <w:pStyle w:val="SingleTxtG"/>
        <w:rPr>
          <w:lang w:val="fr-CH"/>
        </w:rPr>
      </w:pPr>
      <w:r w:rsidRPr="00961388">
        <w:rPr>
          <w:lang w:val="fr-CH"/>
        </w:rPr>
        <w:t>279.</w:t>
      </w:r>
      <w:r w:rsidRPr="00961388">
        <w:rPr>
          <w:lang w:val="fr-CH"/>
        </w:rPr>
        <w:tab/>
        <w:t>En effet, la législation du travail est égalitaire. Elle garantit, en effet, les mêmes droits sociaux aux hommes et aux femmes en termes de durée de travail, de congés payés, de niveaux de salaire à compétence égale</w:t>
      </w:r>
      <w:r w:rsidR="00961388">
        <w:rPr>
          <w:lang w:val="fr-CH"/>
        </w:rPr>
        <w:t>;</w:t>
      </w:r>
      <w:r w:rsidRPr="00961388">
        <w:rPr>
          <w:lang w:val="fr-CH"/>
        </w:rPr>
        <w:t xml:space="preserve"> ainsi que les droits spécifiques comme le congé maternel, les pauses d</w:t>
      </w:r>
      <w:r w:rsidR="00961388">
        <w:rPr>
          <w:lang w:val="fr-CH"/>
        </w:rPr>
        <w:t>’</w:t>
      </w:r>
      <w:r w:rsidRPr="00961388">
        <w:rPr>
          <w:lang w:val="fr-CH"/>
        </w:rPr>
        <w:t>allaitement.</w:t>
      </w:r>
    </w:p>
    <w:p w:rsidR="00570B62" w:rsidRPr="00961388" w:rsidRDefault="00570B62" w:rsidP="001973D8">
      <w:pPr>
        <w:pStyle w:val="SingleTxtG"/>
        <w:rPr>
          <w:lang w:val="fr-CH"/>
        </w:rPr>
      </w:pPr>
      <w:r w:rsidRPr="00961388">
        <w:rPr>
          <w:lang w:val="fr-CH"/>
        </w:rPr>
        <w:t>280.</w:t>
      </w:r>
      <w:r w:rsidRPr="00961388">
        <w:rPr>
          <w:lang w:val="fr-CH"/>
        </w:rPr>
        <w:tab/>
        <w:t xml:space="preserve">Le Code du travail consacre expressément le principe de non-discrimination entre les deux sexes. Son article 5 </w:t>
      </w:r>
      <w:r w:rsidRPr="00961388">
        <w:rPr>
          <w:i/>
          <w:iCs/>
          <w:lang w:val="fr-CH"/>
        </w:rPr>
        <w:t>bis</w:t>
      </w:r>
      <w:r w:rsidR="00961388">
        <w:rPr>
          <w:lang w:val="fr-CH"/>
        </w:rPr>
        <w:t xml:space="preserve"> (ajouté par la loi </w:t>
      </w:r>
      <w:r w:rsidR="00961388" w:rsidRPr="00961388">
        <w:rPr>
          <w:rFonts w:eastAsia="MS Mincho"/>
          <w:lang w:val="fr-CH"/>
        </w:rPr>
        <w:t>n</w:t>
      </w:r>
      <w:r w:rsidR="00961388" w:rsidRPr="00961388">
        <w:rPr>
          <w:rFonts w:eastAsia="MS Mincho"/>
          <w:vertAlign w:val="superscript"/>
          <w:lang w:val="fr-CH"/>
        </w:rPr>
        <w:t>o</w:t>
      </w:r>
      <w:r w:rsidR="00961388">
        <w:rPr>
          <w:lang w:val="fr-CH"/>
        </w:rPr>
        <w:t xml:space="preserve"> </w:t>
      </w:r>
      <w:r w:rsidRPr="00961388">
        <w:rPr>
          <w:lang w:val="fr-CH"/>
        </w:rPr>
        <w:t>93-66 du 5 juillet 1993) prévoit qu</w:t>
      </w:r>
      <w:r w:rsidR="00961388">
        <w:rPr>
          <w:lang w:val="fr-CH"/>
        </w:rPr>
        <w:t>’</w:t>
      </w:r>
      <w:r w:rsidRPr="00961388">
        <w:rPr>
          <w:lang w:val="fr-CH"/>
        </w:rPr>
        <w:t>il ne peut être fait de discrimination entre l</w:t>
      </w:r>
      <w:r w:rsidR="00961388">
        <w:rPr>
          <w:lang w:val="fr-CH"/>
        </w:rPr>
        <w:t>’</w:t>
      </w:r>
      <w:r w:rsidRPr="00961388">
        <w:rPr>
          <w:lang w:val="fr-CH"/>
        </w:rPr>
        <w:t>homme et la femme dans l</w:t>
      </w:r>
      <w:r w:rsidR="00961388">
        <w:rPr>
          <w:lang w:val="fr-CH"/>
        </w:rPr>
        <w:t>’</w:t>
      </w:r>
      <w:r w:rsidRPr="00961388">
        <w:rPr>
          <w:lang w:val="fr-CH"/>
        </w:rPr>
        <w:t>application des dispositions du Code (qui couvre tous les aspects du travail dont le recrutement, la rémunération, les conditions de travail, la formation professionnelle, la rupture du contrat de travail) ainsi que les textes pris pour son application.</w:t>
      </w:r>
    </w:p>
    <w:p w:rsidR="00570B62" w:rsidRPr="00961388" w:rsidRDefault="00570B62" w:rsidP="001973D8">
      <w:pPr>
        <w:pStyle w:val="SingleTxtG"/>
        <w:rPr>
          <w:lang w:val="fr-CH"/>
        </w:rPr>
      </w:pPr>
      <w:r w:rsidRPr="00961388">
        <w:rPr>
          <w:lang w:val="fr-CH"/>
        </w:rPr>
        <w:t>281.</w:t>
      </w:r>
      <w:r w:rsidRPr="00961388">
        <w:rPr>
          <w:lang w:val="fr-CH"/>
        </w:rPr>
        <w:tab/>
        <w:t>La Convention Collective Cadre, signée le 20 mars 1973, prévoit dans son article 11 qu</w:t>
      </w:r>
      <w:r w:rsidR="00961388">
        <w:rPr>
          <w:lang w:val="fr-CH"/>
        </w:rPr>
        <w:t>’</w:t>
      </w:r>
      <w:r w:rsidRPr="00961388">
        <w:rPr>
          <w:lang w:val="fr-CH"/>
        </w:rPr>
        <w:t>elle s</w:t>
      </w:r>
      <w:r w:rsidR="00961388">
        <w:rPr>
          <w:lang w:val="fr-CH"/>
        </w:rPr>
        <w:t>’</w:t>
      </w:r>
      <w:r w:rsidRPr="00961388">
        <w:rPr>
          <w:lang w:val="fr-CH"/>
        </w:rPr>
        <w:t>applique indistinctement aux travailleurs de l</w:t>
      </w:r>
      <w:r w:rsidR="00961388">
        <w:rPr>
          <w:lang w:val="fr-CH"/>
        </w:rPr>
        <w:t>’</w:t>
      </w:r>
      <w:r w:rsidRPr="00961388">
        <w:rPr>
          <w:lang w:val="fr-CH"/>
        </w:rPr>
        <w:t>un ou de l</w:t>
      </w:r>
      <w:r w:rsidR="00961388">
        <w:rPr>
          <w:lang w:val="fr-CH"/>
        </w:rPr>
        <w:t>’</w:t>
      </w:r>
      <w:r w:rsidRPr="00961388">
        <w:rPr>
          <w:lang w:val="fr-CH"/>
        </w:rPr>
        <w:t>autre sexe. Les jeunes filles et les femmes pourront au même titre que les jeunes gens et les hommes, accéder à tous les emplois, sans discrimination dans la classification ou la rémunération. Des dispositions similaires figurent dans toutes les Conventions Collectives Sectorielles (actuellement au nombre de 51), dont celles régissant les secteurs qui emploient un grand nombre de femmes (Confection, Textile, Banques, Assurances, Commerce…).</w:t>
      </w:r>
    </w:p>
    <w:p w:rsidR="00570B62" w:rsidRPr="00961388" w:rsidRDefault="00570B62" w:rsidP="001973D8">
      <w:pPr>
        <w:pStyle w:val="SingleTxtG"/>
        <w:rPr>
          <w:lang w:val="fr-CH"/>
        </w:rPr>
      </w:pPr>
      <w:r w:rsidRPr="00961388">
        <w:rPr>
          <w:lang w:val="fr-CH"/>
        </w:rPr>
        <w:t>282.</w:t>
      </w:r>
      <w:r w:rsidRPr="00961388">
        <w:rPr>
          <w:lang w:val="fr-CH"/>
        </w:rPr>
        <w:tab/>
        <w:t>Le recrutement ou le classement professionnel, sont basés sur des critères objectifs tels que le niveau d</w:t>
      </w:r>
      <w:r w:rsidR="00961388">
        <w:rPr>
          <w:lang w:val="fr-CH"/>
        </w:rPr>
        <w:t>’</w:t>
      </w:r>
      <w:r w:rsidRPr="00961388">
        <w:rPr>
          <w:lang w:val="fr-CH"/>
        </w:rPr>
        <w:t>instruction, les diplômes et l</w:t>
      </w:r>
      <w:r w:rsidR="00961388">
        <w:rPr>
          <w:lang w:val="fr-CH"/>
        </w:rPr>
        <w:t>’</w:t>
      </w:r>
      <w:r w:rsidRPr="00961388">
        <w:rPr>
          <w:lang w:val="fr-CH"/>
        </w:rPr>
        <w:t>expérience professionnelle.</w:t>
      </w:r>
    </w:p>
    <w:p w:rsidR="00570B62" w:rsidRPr="00961388" w:rsidRDefault="00570B62" w:rsidP="001973D8">
      <w:pPr>
        <w:pStyle w:val="SingleTxtG"/>
        <w:rPr>
          <w:lang w:val="fr-CH"/>
        </w:rPr>
      </w:pPr>
      <w:r w:rsidRPr="00961388">
        <w:rPr>
          <w:lang w:val="fr-CH"/>
        </w:rPr>
        <w:t>283.</w:t>
      </w:r>
      <w:r w:rsidRPr="00961388">
        <w:rPr>
          <w:lang w:val="fr-CH"/>
        </w:rPr>
        <w:tab/>
        <w:t>Pour garantir l</w:t>
      </w:r>
      <w:r w:rsidR="00961388">
        <w:rPr>
          <w:lang w:val="fr-CH"/>
        </w:rPr>
        <w:t>’</w:t>
      </w:r>
      <w:r w:rsidRPr="00961388">
        <w:rPr>
          <w:lang w:val="fr-CH"/>
        </w:rPr>
        <w:t>application du principe de non discrimination entre les deux sexes dans tous les domaines du travail, le législateur tunisien a prévu des sanctions à l</w:t>
      </w:r>
      <w:r w:rsidR="00961388">
        <w:rPr>
          <w:lang w:val="fr-CH"/>
        </w:rPr>
        <w:t>’</w:t>
      </w:r>
      <w:r w:rsidRPr="00961388">
        <w:rPr>
          <w:lang w:val="fr-CH"/>
        </w:rPr>
        <w:t>encontre des contrevenants aux dispositions légales, réglementaires et conventionnelles consacrant ce principe.</w:t>
      </w:r>
    </w:p>
    <w:p w:rsidR="00570B62" w:rsidRPr="00961388" w:rsidRDefault="00570B62" w:rsidP="001973D8">
      <w:pPr>
        <w:pStyle w:val="SingleTxtG"/>
        <w:rPr>
          <w:lang w:val="fr-CH"/>
        </w:rPr>
      </w:pPr>
      <w:r w:rsidRPr="00961388">
        <w:rPr>
          <w:lang w:val="fr-CH"/>
        </w:rPr>
        <w:t>284.</w:t>
      </w:r>
      <w:r w:rsidRPr="00961388">
        <w:rPr>
          <w:lang w:val="fr-CH"/>
        </w:rPr>
        <w:tab/>
        <w:t>En vertu de l</w:t>
      </w:r>
      <w:r w:rsidR="00961388">
        <w:rPr>
          <w:lang w:val="fr-CH"/>
        </w:rPr>
        <w:t>’</w:t>
      </w:r>
      <w:r w:rsidRPr="00961388">
        <w:rPr>
          <w:lang w:val="fr-CH"/>
        </w:rPr>
        <w:t xml:space="preserve">article 234 du Code du travail, une amende de 24 à 60 dinars, est appliquée pour chaque travailleur dans des conditions contraires aux dispositions légales, réglementaires ou conventionnelles sans toutefois que le total des amendes puisse excéder cinq mille dinars (article 236 du Code du travail) et en cas de récidive la peine prévue est portée au double (article 237 du Code du travail). </w:t>
      </w:r>
    </w:p>
    <w:p w:rsidR="00570B62" w:rsidRPr="00961388" w:rsidRDefault="00570B62" w:rsidP="001973D8">
      <w:pPr>
        <w:pStyle w:val="SingleTxtG"/>
        <w:rPr>
          <w:lang w:val="fr-CH"/>
        </w:rPr>
      </w:pPr>
      <w:r w:rsidRPr="00961388">
        <w:rPr>
          <w:lang w:val="fr-CH"/>
        </w:rPr>
        <w:t>285.</w:t>
      </w:r>
      <w:r w:rsidRPr="00961388">
        <w:rPr>
          <w:lang w:val="fr-CH"/>
        </w:rPr>
        <w:tab/>
        <w:t>Il y a lieu de signaler également que la même peine est applicable en cas de paiement de salaires insuffisants ou des salaires inférieurs au salaire minimum légal, réglementaire ou conventionnel.</w:t>
      </w:r>
    </w:p>
    <w:p w:rsidR="00570B62" w:rsidRPr="00961388" w:rsidRDefault="00570B62" w:rsidP="001973D8">
      <w:pPr>
        <w:pStyle w:val="SingleTxtG"/>
        <w:rPr>
          <w:lang w:val="fr-CH"/>
        </w:rPr>
      </w:pPr>
      <w:r w:rsidRPr="00961388">
        <w:rPr>
          <w:lang w:val="fr-CH"/>
        </w:rPr>
        <w:t>286.</w:t>
      </w:r>
      <w:r w:rsidRPr="00961388">
        <w:rPr>
          <w:lang w:val="fr-CH"/>
        </w:rPr>
        <w:tab/>
        <w:t>D</w:t>
      </w:r>
      <w:r w:rsidR="00961388">
        <w:rPr>
          <w:lang w:val="fr-CH"/>
        </w:rPr>
        <w:t>’</w:t>
      </w:r>
      <w:r w:rsidRPr="00961388">
        <w:rPr>
          <w:lang w:val="fr-CH"/>
        </w:rPr>
        <w:t>autre part, les femmes représentent en moyenne 57</w:t>
      </w:r>
      <w:r w:rsidR="001973D8">
        <w:rPr>
          <w:lang w:val="fr-CH"/>
        </w:rPr>
        <w:t xml:space="preserve"> %</w:t>
      </w:r>
      <w:r w:rsidRPr="00961388">
        <w:rPr>
          <w:lang w:val="fr-CH"/>
        </w:rPr>
        <w:t xml:space="preserve"> des bénéficiaires des programmes d</w:t>
      </w:r>
      <w:r w:rsidR="00961388">
        <w:rPr>
          <w:lang w:val="fr-CH"/>
        </w:rPr>
        <w:t>’</w:t>
      </w:r>
      <w:r w:rsidRPr="00961388">
        <w:rPr>
          <w:lang w:val="fr-CH"/>
        </w:rPr>
        <w:t>aide à l</w:t>
      </w:r>
      <w:r w:rsidR="00961388">
        <w:rPr>
          <w:lang w:val="fr-CH"/>
        </w:rPr>
        <w:t>’</w:t>
      </w:r>
      <w:r w:rsidRPr="00961388">
        <w:rPr>
          <w:lang w:val="fr-CH"/>
        </w:rPr>
        <w:t>emploi et 56</w:t>
      </w:r>
      <w:r w:rsidR="001973D8">
        <w:rPr>
          <w:lang w:val="fr-CH"/>
        </w:rPr>
        <w:t xml:space="preserve"> %</w:t>
      </w:r>
      <w:r w:rsidRPr="00961388">
        <w:rPr>
          <w:lang w:val="fr-CH"/>
        </w:rPr>
        <w:t xml:space="preserve"> des femmes stagiaires. Le dispositif des stages d</w:t>
      </w:r>
      <w:r w:rsidR="00961388">
        <w:rPr>
          <w:lang w:val="fr-CH"/>
        </w:rPr>
        <w:t>’</w:t>
      </w:r>
      <w:r w:rsidRPr="00961388">
        <w:rPr>
          <w:lang w:val="fr-CH"/>
        </w:rPr>
        <w:t>initiation à la vie professionnelle (SIVP) destiné aux diplômés du supérieur</w:t>
      </w:r>
      <w:r w:rsidR="001973D8">
        <w:rPr>
          <w:lang w:val="fr-CH"/>
        </w:rPr>
        <w:t xml:space="preserve"> −</w:t>
      </w:r>
      <w:r w:rsidRPr="00961388">
        <w:rPr>
          <w:lang w:val="fr-CH"/>
        </w:rPr>
        <w:t xml:space="preserve"> qui est l</w:t>
      </w:r>
      <w:r w:rsidR="00961388">
        <w:rPr>
          <w:lang w:val="fr-CH"/>
        </w:rPr>
        <w:t>’</w:t>
      </w:r>
      <w:r w:rsidRPr="00961388">
        <w:rPr>
          <w:lang w:val="fr-CH"/>
        </w:rPr>
        <w:t>un des grands programmes d</w:t>
      </w:r>
      <w:r w:rsidR="00961388">
        <w:rPr>
          <w:lang w:val="fr-CH"/>
        </w:rPr>
        <w:t>’</w:t>
      </w:r>
      <w:r w:rsidRPr="00961388">
        <w:rPr>
          <w:lang w:val="fr-CH"/>
        </w:rPr>
        <w:t xml:space="preserve">emploi </w:t>
      </w:r>
      <w:r w:rsidR="001973D8">
        <w:rPr>
          <w:lang w:val="fr-CH"/>
        </w:rPr>
        <w:t>−</w:t>
      </w:r>
      <w:r w:rsidRPr="00961388">
        <w:rPr>
          <w:lang w:val="fr-CH"/>
        </w:rPr>
        <w:t xml:space="preserve"> a effectivement profité aux femmes en 2009 à hauteur de 62</w:t>
      </w:r>
      <w:r w:rsidR="001973D8">
        <w:rPr>
          <w:lang w:val="fr-CH"/>
        </w:rPr>
        <w:t xml:space="preserve"> %</w:t>
      </w:r>
      <w:r w:rsidRPr="00961388">
        <w:rPr>
          <w:lang w:val="fr-CH"/>
        </w:rPr>
        <w:t>.</w:t>
      </w:r>
    </w:p>
    <w:p w:rsidR="00570B62" w:rsidRPr="00961388" w:rsidRDefault="00570B62" w:rsidP="001973D8">
      <w:pPr>
        <w:pStyle w:val="SingleTxtG"/>
        <w:rPr>
          <w:lang w:val="fr-CH"/>
        </w:rPr>
      </w:pPr>
      <w:r w:rsidRPr="00961388">
        <w:rPr>
          <w:lang w:val="fr-CH"/>
        </w:rPr>
        <w:t>287.</w:t>
      </w:r>
      <w:r w:rsidRPr="00961388">
        <w:rPr>
          <w:lang w:val="fr-CH"/>
        </w:rPr>
        <w:tab/>
        <w:t>De même, la part des</w:t>
      </w:r>
      <w:r w:rsidRPr="001973D8">
        <w:t xml:space="preserve"> </w:t>
      </w:r>
      <w:r w:rsidRPr="00961388">
        <w:rPr>
          <w:lang w:val="fr-CH"/>
        </w:rPr>
        <w:t>femmes bénéficiaires des offres d</w:t>
      </w:r>
      <w:r w:rsidR="00961388">
        <w:rPr>
          <w:lang w:val="fr-CH"/>
        </w:rPr>
        <w:t>’</w:t>
      </w:r>
      <w:r w:rsidRPr="00961388">
        <w:rPr>
          <w:lang w:val="fr-CH"/>
        </w:rPr>
        <w:t>emploi est de 44</w:t>
      </w:r>
      <w:r w:rsidR="001973D8">
        <w:rPr>
          <w:lang w:val="fr-CH"/>
        </w:rPr>
        <w:t xml:space="preserve"> %</w:t>
      </w:r>
      <w:r w:rsidRPr="00961388">
        <w:rPr>
          <w:lang w:val="fr-CH"/>
        </w:rPr>
        <w:t xml:space="preserve"> en moyenne, passant de 43,7</w:t>
      </w:r>
      <w:r w:rsidR="001973D8">
        <w:rPr>
          <w:lang w:val="fr-CH"/>
        </w:rPr>
        <w:t xml:space="preserve"> %</w:t>
      </w:r>
      <w:r w:rsidRPr="00961388">
        <w:rPr>
          <w:lang w:val="fr-CH"/>
        </w:rPr>
        <w:t xml:space="preserve"> en 2008 à 44,4</w:t>
      </w:r>
      <w:r w:rsidR="001973D8">
        <w:rPr>
          <w:lang w:val="fr-CH"/>
        </w:rPr>
        <w:t xml:space="preserve"> %</w:t>
      </w:r>
      <w:r w:rsidRPr="00961388">
        <w:rPr>
          <w:lang w:val="fr-CH"/>
        </w:rPr>
        <w:t xml:space="preserve"> en 2009.</w:t>
      </w:r>
    </w:p>
    <w:p w:rsidR="00570B62" w:rsidRPr="00961388" w:rsidRDefault="00570B62" w:rsidP="001973D8">
      <w:pPr>
        <w:pStyle w:val="SingleTxtG"/>
        <w:rPr>
          <w:lang w:val="fr-CH"/>
        </w:rPr>
      </w:pPr>
      <w:r w:rsidRPr="00961388">
        <w:rPr>
          <w:lang w:val="fr-CH"/>
        </w:rPr>
        <w:t>288.</w:t>
      </w:r>
      <w:r w:rsidRPr="00961388">
        <w:rPr>
          <w:lang w:val="fr-CH"/>
        </w:rPr>
        <w:tab/>
        <w:t>Ces résultats confirment le rôle des programmes d</w:t>
      </w:r>
      <w:r w:rsidR="00961388">
        <w:rPr>
          <w:lang w:val="fr-CH"/>
        </w:rPr>
        <w:t>’</w:t>
      </w:r>
      <w:r w:rsidRPr="00961388">
        <w:rPr>
          <w:lang w:val="fr-CH"/>
        </w:rPr>
        <w:t>emploi en tant qu</w:t>
      </w:r>
      <w:r w:rsidR="00961388">
        <w:rPr>
          <w:lang w:val="fr-CH"/>
        </w:rPr>
        <w:t>’</w:t>
      </w:r>
      <w:r w:rsidRPr="00961388">
        <w:rPr>
          <w:lang w:val="fr-CH"/>
        </w:rPr>
        <w:t>instrument supplémentaire favorisant l</w:t>
      </w:r>
      <w:r w:rsidR="00961388">
        <w:rPr>
          <w:lang w:val="fr-CH"/>
        </w:rPr>
        <w:t>’</w:t>
      </w:r>
      <w:r w:rsidRPr="00961388">
        <w:rPr>
          <w:lang w:val="fr-CH"/>
        </w:rPr>
        <w:t>égalité des chances et l</w:t>
      </w:r>
      <w:r w:rsidR="00961388">
        <w:rPr>
          <w:lang w:val="fr-CH"/>
        </w:rPr>
        <w:t>’</w:t>
      </w:r>
      <w:r w:rsidRPr="00961388">
        <w:rPr>
          <w:lang w:val="fr-CH"/>
        </w:rPr>
        <w:t>équité sociale.</w:t>
      </w:r>
    </w:p>
    <w:p w:rsidR="00570B62" w:rsidRPr="00961388" w:rsidRDefault="00570B62" w:rsidP="001973D8">
      <w:pPr>
        <w:pStyle w:val="SingleTxtG"/>
        <w:rPr>
          <w:lang w:val="fr-CH"/>
        </w:rPr>
      </w:pPr>
      <w:r w:rsidRPr="00961388">
        <w:rPr>
          <w:lang w:val="fr-CH"/>
        </w:rPr>
        <w:t>289.</w:t>
      </w:r>
      <w:r w:rsidRPr="00961388">
        <w:rPr>
          <w:lang w:val="fr-CH"/>
        </w:rPr>
        <w:tab/>
        <w:t>En somme, la législation du travail égalitaire, les différents programmes d</w:t>
      </w:r>
      <w:r w:rsidR="00961388">
        <w:rPr>
          <w:lang w:val="fr-CH"/>
        </w:rPr>
        <w:t>’</w:t>
      </w:r>
      <w:r w:rsidRPr="00961388">
        <w:rPr>
          <w:lang w:val="fr-CH"/>
        </w:rPr>
        <w:t>emploi et les diverses mesures en faveur de la femme, sont autant de facteurs qui favorisent l</w:t>
      </w:r>
      <w:r w:rsidR="00961388">
        <w:rPr>
          <w:lang w:val="fr-CH"/>
        </w:rPr>
        <w:t>’</w:t>
      </w:r>
      <w:r w:rsidRPr="00961388">
        <w:rPr>
          <w:lang w:val="fr-CH"/>
        </w:rPr>
        <w:t>augmentation du taux d</w:t>
      </w:r>
      <w:r w:rsidR="00961388">
        <w:rPr>
          <w:lang w:val="fr-CH"/>
        </w:rPr>
        <w:t>’</w:t>
      </w:r>
      <w:r w:rsidRPr="00961388">
        <w:rPr>
          <w:lang w:val="fr-CH"/>
        </w:rPr>
        <w:t>activité féminine, celui-ci est passé de 23</w:t>
      </w:r>
      <w:r w:rsidR="001973D8">
        <w:rPr>
          <w:lang w:val="fr-CH"/>
        </w:rPr>
        <w:t xml:space="preserve"> %</w:t>
      </w:r>
      <w:r w:rsidRPr="00961388">
        <w:rPr>
          <w:lang w:val="fr-CH"/>
        </w:rPr>
        <w:t xml:space="preserve"> en 2001 à 25,4</w:t>
      </w:r>
      <w:r w:rsidR="001973D8">
        <w:rPr>
          <w:lang w:val="fr-CH"/>
        </w:rPr>
        <w:t xml:space="preserve"> %</w:t>
      </w:r>
      <w:r w:rsidRPr="00961388">
        <w:rPr>
          <w:lang w:val="fr-CH"/>
        </w:rPr>
        <w:t xml:space="preserve"> en 2008. Les projections actuelles indiquent que ce taux va atteindre 29</w:t>
      </w:r>
      <w:r w:rsidR="001973D8">
        <w:rPr>
          <w:lang w:val="fr-CH"/>
        </w:rPr>
        <w:t xml:space="preserve"> %</w:t>
      </w:r>
      <w:r w:rsidRPr="00961388">
        <w:rPr>
          <w:lang w:val="fr-CH"/>
        </w:rPr>
        <w:t xml:space="preserve"> en 2011 et 31,7</w:t>
      </w:r>
      <w:r w:rsidR="001973D8">
        <w:rPr>
          <w:lang w:val="fr-CH"/>
        </w:rPr>
        <w:t xml:space="preserve"> %</w:t>
      </w:r>
      <w:r w:rsidRPr="00961388">
        <w:rPr>
          <w:lang w:val="fr-CH"/>
        </w:rPr>
        <w:t xml:space="preserve"> en 2014.</w:t>
      </w:r>
    </w:p>
    <w:p w:rsidR="00570B62" w:rsidRPr="00961388" w:rsidRDefault="00570B62" w:rsidP="001973D8">
      <w:pPr>
        <w:pStyle w:val="SingleTxtG"/>
        <w:rPr>
          <w:lang w:val="fr-CH"/>
        </w:rPr>
      </w:pPr>
      <w:r w:rsidRPr="00961388">
        <w:rPr>
          <w:lang w:val="fr-CH"/>
        </w:rPr>
        <w:t>290.</w:t>
      </w:r>
      <w:r w:rsidRPr="00961388">
        <w:rPr>
          <w:lang w:val="fr-CH"/>
        </w:rPr>
        <w:tab/>
      </w:r>
      <w:r w:rsidR="001973D8">
        <w:rPr>
          <w:lang w:val="fr-CH"/>
        </w:rPr>
        <w:t>À</w:t>
      </w:r>
      <w:r w:rsidRPr="00961388">
        <w:rPr>
          <w:lang w:val="fr-CH"/>
        </w:rPr>
        <w:t xml:space="preserve"> la faveur de cette politique, la participation des femmes au marché de l</w:t>
      </w:r>
      <w:r w:rsidR="00961388">
        <w:rPr>
          <w:lang w:val="fr-CH"/>
        </w:rPr>
        <w:t>’</w:t>
      </w:r>
      <w:r w:rsidRPr="00961388">
        <w:rPr>
          <w:lang w:val="fr-CH"/>
        </w:rPr>
        <w:t>emploi est en nette progression passant de 24,8</w:t>
      </w:r>
      <w:r w:rsidR="001973D8">
        <w:rPr>
          <w:lang w:val="fr-CH"/>
        </w:rPr>
        <w:t xml:space="preserve"> %</w:t>
      </w:r>
      <w:r w:rsidRPr="00961388">
        <w:rPr>
          <w:lang w:val="fr-CH"/>
        </w:rPr>
        <w:t xml:space="preserve"> en 2001 à 27,3</w:t>
      </w:r>
      <w:r w:rsidR="001973D8">
        <w:rPr>
          <w:lang w:val="fr-CH"/>
        </w:rPr>
        <w:t xml:space="preserve"> %</w:t>
      </w:r>
      <w:r w:rsidRPr="00961388">
        <w:rPr>
          <w:lang w:val="fr-CH"/>
        </w:rPr>
        <w:t xml:space="preserve"> en 2008.</w:t>
      </w:r>
    </w:p>
    <w:p w:rsidR="00570B62" w:rsidRPr="00961388" w:rsidRDefault="001973D8" w:rsidP="001973D8">
      <w:pPr>
        <w:pStyle w:val="H23G"/>
        <w:rPr>
          <w:i/>
          <w:iCs/>
          <w:lang w:val="fr-CH"/>
        </w:rPr>
      </w:pPr>
      <w:r>
        <w:rPr>
          <w:lang w:val="fr-CH"/>
        </w:rPr>
        <w:tab/>
      </w:r>
      <w:r>
        <w:rPr>
          <w:lang w:val="fr-CH"/>
        </w:rPr>
        <w:tab/>
      </w:r>
      <w:r w:rsidR="00570B62" w:rsidRPr="00961388">
        <w:rPr>
          <w:lang w:val="fr-CH"/>
        </w:rPr>
        <w:t>Réponse au paragraphe 25 de la liste de points à traiter</w:t>
      </w:r>
    </w:p>
    <w:p w:rsidR="00570B62" w:rsidRPr="00961388" w:rsidRDefault="00570B62" w:rsidP="001973D8">
      <w:pPr>
        <w:pStyle w:val="SingleTxtG"/>
        <w:rPr>
          <w:lang w:val="fr-CH"/>
        </w:rPr>
      </w:pPr>
      <w:r w:rsidRPr="00961388">
        <w:rPr>
          <w:lang w:val="fr-CH"/>
        </w:rPr>
        <w:t>291.</w:t>
      </w:r>
      <w:r w:rsidRPr="00961388">
        <w:rPr>
          <w:lang w:val="fr-CH"/>
        </w:rPr>
        <w:tab/>
        <w:t>Le droit de la femme au travail est garanti par la législation nationale aussi bien dans le secteur public que privé. Les textes juridiques réglementant le secteur de l</w:t>
      </w:r>
      <w:r w:rsidR="00961388">
        <w:rPr>
          <w:lang w:val="fr-CH"/>
        </w:rPr>
        <w:t>’</w:t>
      </w:r>
      <w:r w:rsidRPr="00961388">
        <w:rPr>
          <w:lang w:val="fr-CH"/>
        </w:rPr>
        <w:t>emploi garantissent explicitement l</w:t>
      </w:r>
      <w:r w:rsidR="00961388">
        <w:rPr>
          <w:lang w:val="fr-CH"/>
        </w:rPr>
        <w:t>’</w:t>
      </w:r>
      <w:r w:rsidRPr="00961388">
        <w:rPr>
          <w:lang w:val="fr-CH"/>
        </w:rPr>
        <w:t>égalité des chances et d</w:t>
      </w:r>
      <w:r w:rsidR="00961388">
        <w:rPr>
          <w:lang w:val="fr-CH"/>
        </w:rPr>
        <w:t>’</w:t>
      </w:r>
      <w:r w:rsidRPr="00961388">
        <w:rPr>
          <w:lang w:val="fr-CH"/>
        </w:rPr>
        <w:t>emploi sans discrimination entre les sexes.</w:t>
      </w:r>
    </w:p>
    <w:p w:rsidR="00570B62" w:rsidRPr="00961388" w:rsidRDefault="00570B62" w:rsidP="001973D8">
      <w:pPr>
        <w:pStyle w:val="SingleTxtG"/>
        <w:rPr>
          <w:lang w:val="fr-CH"/>
        </w:rPr>
      </w:pPr>
      <w:r w:rsidRPr="00961388">
        <w:rPr>
          <w:lang w:val="fr-CH"/>
        </w:rPr>
        <w:t>292.</w:t>
      </w:r>
      <w:r w:rsidRPr="00961388">
        <w:rPr>
          <w:lang w:val="fr-CH"/>
        </w:rPr>
        <w:tab/>
      </w:r>
      <w:r w:rsidRPr="001973D8">
        <w:rPr>
          <w:b/>
          <w:bCs/>
          <w:lang w:val="fr-CH"/>
        </w:rPr>
        <w:t>Dans le secteur public</w:t>
      </w:r>
      <w:r w:rsidR="00961388">
        <w:rPr>
          <w:b/>
          <w:bCs/>
          <w:lang w:val="fr-CH"/>
        </w:rPr>
        <w:t>:</w:t>
      </w:r>
      <w:r w:rsidRPr="00961388">
        <w:rPr>
          <w:lang w:val="fr-CH"/>
        </w:rPr>
        <w:t xml:space="preserve"> Le statut général des personnels de l</w:t>
      </w:r>
      <w:r w:rsidR="00961388">
        <w:rPr>
          <w:lang w:val="fr-CH"/>
        </w:rPr>
        <w:t>’</w:t>
      </w:r>
      <w:r w:rsidRPr="00961388">
        <w:rPr>
          <w:lang w:val="fr-CH"/>
        </w:rPr>
        <w:t>État, des collectivités locales et des établissements publics préconise, le principe d</w:t>
      </w:r>
      <w:r w:rsidR="00961388">
        <w:rPr>
          <w:lang w:val="fr-CH"/>
        </w:rPr>
        <w:t>’</w:t>
      </w:r>
      <w:r w:rsidRPr="00961388">
        <w:rPr>
          <w:lang w:val="fr-CH"/>
        </w:rPr>
        <w:t>égal accès aux emplois publics. Il stipule dans son article 11</w:t>
      </w:r>
      <w:r w:rsidR="00961388">
        <w:rPr>
          <w:lang w:val="fr-CH"/>
        </w:rPr>
        <w:t>:</w:t>
      </w:r>
      <w:r w:rsidRPr="00961388">
        <w:rPr>
          <w:lang w:val="fr-CH"/>
        </w:rPr>
        <w:t xml:space="preserve"> «sous réserve des dispositions spéciales commandées par la nature des fonctions et qui peuvent être prises à ce sujet, aucune distinction n</w:t>
      </w:r>
      <w:r w:rsidR="00961388">
        <w:rPr>
          <w:lang w:val="fr-CH"/>
        </w:rPr>
        <w:t>’</w:t>
      </w:r>
      <w:r w:rsidRPr="00961388">
        <w:rPr>
          <w:lang w:val="fr-CH"/>
        </w:rPr>
        <w:t>est faite entre les deux sexes dans l</w:t>
      </w:r>
      <w:r w:rsidR="00961388">
        <w:rPr>
          <w:lang w:val="fr-CH"/>
        </w:rPr>
        <w:t>’</w:t>
      </w:r>
      <w:r w:rsidRPr="00961388">
        <w:rPr>
          <w:lang w:val="fr-CH"/>
        </w:rPr>
        <w:t>application de la présente loi».</w:t>
      </w:r>
    </w:p>
    <w:p w:rsidR="00570B62" w:rsidRPr="00961388" w:rsidRDefault="00570B62" w:rsidP="001973D8">
      <w:pPr>
        <w:pStyle w:val="SingleTxtG"/>
        <w:rPr>
          <w:lang w:val="fr-CH"/>
        </w:rPr>
      </w:pPr>
      <w:r w:rsidRPr="00961388">
        <w:rPr>
          <w:lang w:val="fr-CH"/>
        </w:rPr>
        <w:t>293.</w:t>
      </w:r>
      <w:r w:rsidRPr="00961388">
        <w:rPr>
          <w:lang w:val="fr-CH"/>
        </w:rPr>
        <w:tab/>
        <w:t>Ce principe d</w:t>
      </w:r>
      <w:r w:rsidR="00961388">
        <w:rPr>
          <w:lang w:val="fr-CH"/>
        </w:rPr>
        <w:t>’</w:t>
      </w:r>
      <w:r w:rsidRPr="00961388">
        <w:rPr>
          <w:lang w:val="fr-CH"/>
        </w:rPr>
        <w:t>égalité est consacré à la fois aux niveaux du recrutement, du déroulement de la carrière et de la rémunération.</w:t>
      </w:r>
    </w:p>
    <w:p w:rsidR="00570B62" w:rsidRPr="00961388" w:rsidRDefault="00570B62" w:rsidP="001973D8">
      <w:pPr>
        <w:pStyle w:val="SingleTxtG"/>
        <w:rPr>
          <w:lang w:val="fr-CH"/>
        </w:rPr>
      </w:pPr>
      <w:r w:rsidRPr="00961388">
        <w:rPr>
          <w:lang w:val="fr-CH"/>
        </w:rPr>
        <w:t>294.</w:t>
      </w:r>
      <w:r w:rsidRPr="00961388">
        <w:rPr>
          <w:lang w:val="fr-CH"/>
        </w:rPr>
        <w:tab/>
      </w:r>
      <w:r w:rsidRPr="001973D8">
        <w:rPr>
          <w:b/>
          <w:bCs/>
          <w:lang w:val="fr-CH"/>
        </w:rPr>
        <w:t>Le secteur privé</w:t>
      </w:r>
      <w:r w:rsidR="00961388" w:rsidRPr="001973D8">
        <w:rPr>
          <w:b/>
          <w:bCs/>
          <w:lang w:val="fr-CH"/>
        </w:rPr>
        <w:t>:</w:t>
      </w:r>
      <w:r w:rsidRPr="00961388">
        <w:rPr>
          <w:lang w:val="fr-CH"/>
        </w:rPr>
        <w:t xml:space="preserve"> offre, de son côté, les mêmes garanties. Le Code du travail et la convention collective </w:t>
      </w:r>
      <w:r w:rsidR="001973D8">
        <w:rPr>
          <w:lang w:val="fr-CH"/>
        </w:rPr>
        <w:t>−</w:t>
      </w:r>
      <w:r w:rsidRPr="00961388">
        <w:rPr>
          <w:lang w:val="fr-CH"/>
        </w:rPr>
        <w:t xml:space="preserve"> cadre interdisent la discrimination entre les sexes, le travail de nuit et le travail souterrain des femmes, ainsi que la rupture abusive du contrat de travail pour cause de grossesse.</w:t>
      </w:r>
    </w:p>
    <w:p w:rsidR="00570B62" w:rsidRPr="00961388" w:rsidRDefault="00570B62" w:rsidP="001973D8">
      <w:pPr>
        <w:pStyle w:val="SingleTxtG"/>
        <w:rPr>
          <w:lang w:val="fr-CH"/>
        </w:rPr>
      </w:pPr>
      <w:r w:rsidRPr="00961388">
        <w:rPr>
          <w:lang w:val="fr-CH"/>
        </w:rPr>
        <w:t>295.</w:t>
      </w:r>
      <w:r w:rsidRPr="00961388">
        <w:rPr>
          <w:lang w:val="fr-CH"/>
        </w:rPr>
        <w:tab/>
        <w:t>Un congé de maternité payé à durée variable selon le secteur ainsi que des séances d</w:t>
      </w:r>
      <w:r w:rsidR="00961388">
        <w:rPr>
          <w:lang w:val="fr-CH"/>
        </w:rPr>
        <w:t>’</w:t>
      </w:r>
      <w:r w:rsidRPr="00961388">
        <w:rPr>
          <w:lang w:val="fr-CH"/>
        </w:rPr>
        <w:t>allaitement sont également prévus par les textes de loi en vigueur.</w:t>
      </w:r>
    </w:p>
    <w:p w:rsidR="00570B62" w:rsidRPr="00961388" w:rsidRDefault="00961388" w:rsidP="001973D8">
      <w:pPr>
        <w:pStyle w:val="SingleTxtG"/>
        <w:rPr>
          <w:lang w:val="fr-CH"/>
        </w:rPr>
      </w:pPr>
      <w:r>
        <w:rPr>
          <w:lang w:val="fr-CH"/>
        </w:rPr>
        <w:t>296.</w:t>
      </w:r>
      <w:r>
        <w:rPr>
          <w:lang w:val="fr-CH"/>
        </w:rPr>
        <w:tab/>
        <w:t xml:space="preserve">La loi </w:t>
      </w:r>
      <w:r w:rsidRPr="00961388">
        <w:rPr>
          <w:rFonts w:eastAsia="MS Mincho"/>
          <w:lang w:val="fr-CH"/>
        </w:rPr>
        <w:t>n</w:t>
      </w:r>
      <w:r w:rsidRPr="00961388">
        <w:rPr>
          <w:rFonts w:eastAsia="MS Mincho"/>
          <w:vertAlign w:val="superscript"/>
          <w:lang w:val="fr-CH"/>
        </w:rPr>
        <w:t>o</w:t>
      </w:r>
      <w:r>
        <w:rPr>
          <w:lang w:val="fr-CH"/>
        </w:rPr>
        <w:t xml:space="preserve"> </w:t>
      </w:r>
      <w:r w:rsidR="00570B62" w:rsidRPr="00961388">
        <w:rPr>
          <w:lang w:val="fr-CH"/>
        </w:rPr>
        <w:t>2000-17 du 17 février 2000 abrogeant certains articles du Code des Obligations et des Contrats a mis fin à des dispositions devenues désuètes qui exigeaient l</w:t>
      </w:r>
      <w:r>
        <w:rPr>
          <w:lang w:val="fr-CH"/>
        </w:rPr>
        <w:t>’</w:t>
      </w:r>
      <w:r w:rsidR="00570B62" w:rsidRPr="00961388">
        <w:rPr>
          <w:lang w:val="fr-CH"/>
        </w:rPr>
        <w:t>accord préalable de l</w:t>
      </w:r>
      <w:r>
        <w:rPr>
          <w:lang w:val="fr-CH"/>
        </w:rPr>
        <w:t>’</w:t>
      </w:r>
      <w:r w:rsidR="00570B62" w:rsidRPr="00961388">
        <w:rPr>
          <w:lang w:val="fr-CH"/>
        </w:rPr>
        <w:t>époux pour le travail de sa femme et lui accordaient le droit de résilier, à sa convenance, tout contrat de travail qu</w:t>
      </w:r>
      <w:r>
        <w:rPr>
          <w:lang w:val="fr-CH"/>
        </w:rPr>
        <w:t>’</w:t>
      </w:r>
      <w:r w:rsidR="00570B62" w:rsidRPr="00961388">
        <w:rPr>
          <w:lang w:val="fr-CH"/>
        </w:rPr>
        <w:t>elle aurait signé avec son patron.</w:t>
      </w:r>
    </w:p>
    <w:p w:rsidR="00570B62" w:rsidRPr="00961388" w:rsidRDefault="00570B62" w:rsidP="001973D8">
      <w:pPr>
        <w:pStyle w:val="SingleTxtG"/>
        <w:rPr>
          <w:lang w:val="fr-CH"/>
        </w:rPr>
      </w:pPr>
      <w:r w:rsidRPr="00961388">
        <w:rPr>
          <w:lang w:val="fr-CH"/>
        </w:rPr>
        <w:t>297.</w:t>
      </w:r>
      <w:r w:rsidRPr="00961388">
        <w:rPr>
          <w:lang w:val="fr-CH"/>
        </w:rPr>
        <w:tab/>
      </w:r>
      <w:r w:rsidRPr="001973D8">
        <w:rPr>
          <w:b/>
          <w:bCs/>
          <w:lang w:val="fr-CH"/>
        </w:rPr>
        <w:t>Dans le secteur agricole</w:t>
      </w:r>
      <w:r w:rsidR="00961388" w:rsidRPr="001973D8">
        <w:rPr>
          <w:b/>
          <w:bCs/>
          <w:lang w:val="fr-CH"/>
        </w:rPr>
        <w:t>:</w:t>
      </w:r>
      <w:r w:rsidRPr="00961388">
        <w:rPr>
          <w:lang w:val="fr-CH"/>
        </w:rPr>
        <w:t xml:space="preserve"> le salaire des travailleuses a été aligné sur celui des travailleurs de la même catégorie, mettant fin au système d</w:t>
      </w:r>
      <w:r w:rsidR="00961388">
        <w:rPr>
          <w:lang w:val="fr-CH"/>
        </w:rPr>
        <w:t>’</w:t>
      </w:r>
      <w:r w:rsidRPr="00961388">
        <w:rPr>
          <w:lang w:val="fr-CH"/>
        </w:rPr>
        <w:t>abattement de 15</w:t>
      </w:r>
      <w:r w:rsidR="001973D8">
        <w:rPr>
          <w:lang w:val="fr-CH"/>
        </w:rPr>
        <w:t xml:space="preserve"> %</w:t>
      </w:r>
      <w:r w:rsidRPr="00961388">
        <w:rPr>
          <w:lang w:val="fr-CH"/>
        </w:rPr>
        <w:t xml:space="preserve"> sur la rémunération de la main d</w:t>
      </w:r>
      <w:r w:rsidR="00961388">
        <w:rPr>
          <w:lang w:val="fr-CH"/>
        </w:rPr>
        <w:t>’</w:t>
      </w:r>
      <w:r w:rsidRPr="00961388">
        <w:rPr>
          <w:lang w:val="fr-CH"/>
        </w:rPr>
        <w:t>œuvre agricole féminine par l</w:t>
      </w:r>
      <w:r w:rsidR="00961388">
        <w:rPr>
          <w:lang w:val="fr-CH"/>
        </w:rPr>
        <w:t>’</w:t>
      </w:r>
      <w:r w:rsidRPr="00961388">
        <w:rPr>
          <w:lang w:val="fr-CH"/>
        </w:rPr>
        <w:t>abrogation des dispositions relatives au salaire minimum dans le secteur agricole qui risquaient d</w:t>
      </w:r>
      <w:r w:rsidR="00961388">
        <w:rPr>
          <w:lang w:val="fr-CH"/>
        </w:rPr>
        <w:t>’</w:t>
      </w:r>
      <w:r w:rsidRPr="00961388">
        <w:rPr>
          <w:lang w:val="fr-CH"/>
        </w:rPr>
        <w:t>induire des interprétations discriminatoires, notamment, celles qui faisaient référence de façon spécifique à la rémunération des femmes dans le travail agricole saisonnier.</w:t>
      </w:r>
    </w:p>
    <w:p w:rsidR="00570B62" w:rsidRPr="00961388" w:rsidRDefault="00570B62" w:rsidP="001973D8">
      <w:pPr>
        <w:pStyle w:val="SingleTxtG"/>
        <w:rPr>
          <w:lang w:val="fr-CH"/>
        </w:rPr>
      </w:pPr>
      <w:r w:rsidRPr="00961388">
        <w:rPr>
          <w:lang w:val="fr-CH"/>
        </w:rPr>
        <w:t>298.</w:t>
      </w:r>
      <w:r w:rsidRPr="00961388">
        <w:rPr>
          <w:lang w:val="fr-CH"/>
        </w:rPr>
        <w:tab/>
        <w:t>Pour garantir la pleine jouissance des femmes du droit à une rémunération sans discrimination, la législation a prévu des inspections pour s</w:t>
      </w:r>
      <w:r w:rsidR="00961388">
        <w:rPr>
          <w:lang w:val="fr-CH"/>
        </w:rPr>
        <w:t>’</w:t>
      </w:r>
      <w:r w:rsidRPr="00961388">
        <w:rPr>
          <w:lang w:val="fr-CH"/>
        </w:rPr>
        <w:t>assurer de la bonne application des dispositions légales, réglementaires et conventionnelles organisant les relations du travail, la recherche et, le cas échéant, la répression des infractions à la législation. Les contrevenants aux dispositions légales, réglementaires ou conventionnelles relatives au salaire minimum encourent, des sanctions pénales et administratives.</w:t>
      </w:r>
    </w:p>
    <w:p w:rsidR="00570B62" w:rsidRPr="00961388" w:rsidRDefault="00961388" w:rsidP="001973D8">
      <w:pPr>
        <w:pStyle w:val="SingleTxtG"/>
        <w:rPr>
          <w:lang w:val="fr-CH"/>
        </w:rPr>
      </w:pPr>
      <w:r>
        <w:rPr>
          <w:lang w:val="fr-CH"/>
        </w:rPr>
        <w:t>299.</w:t>
      </w:r>
      <w:r>
        <w:rPr>
          <w:lang w:val="fr-CH"/>
        </w:rPr>
        <w:tab/>
        <w:t xml:space="preserve">La loi </w:t>
      </w:r>
      <w:r w:rsidRPr="00961388">
        <w:rPr>
          <w:rFonts w:eastAsia="MS Mincho"/>
          <w:lang w:val="fr-CH"/>
        </w:rPr>
        <w:t>n</w:t>
      </w:r>
      <w:r w:rsidRPr="00961388">
        <w:rPr>
          <w:rFonts w:eastAsia="MS Mincho"/>
          <w:vertAlign w:val="superscript"/>
          <w:lang w:val="fr-CH"/>
        </w:rPr>
        <w:t>o</w:t>
      </w:r>
      <w:r>
        <w:rPr>
          <w:lang w:val="fr-CH"/>
        </w:rPr>
        <w:t xml:space="preserve"> </w:t>
      </w:r>
      <w:r w:rsidR="00570B62" w:rsidRPr="00961388">
        <w:rPr>
          <w:lang w:val="fr-CH"/>
        </w:rPr>
        <w:t>2002</w:t>
      </w:r>
      <w:r w:rsidR="00C11D78">
        <w:rPr>
          <w:lang w:val="fr-CH"/>
        </w:rPr>
        <w:t>-</w:t>
      </w:r>
      <w:r w:rsidR="00570B62" w:rsidRPr="00961388">
        <w:rPr>
          <w:lang w:val="fr-CH"/>
        </w:rPr>
        <w:t>32 du 12 mars 2002 est venue combler un vide juridique dans le système de prévoyance sociale en accordant aux employées de maison, qui sont quasi exclusivement de sexe féminin, avec d</w:t>
      </w:r>
      <w:r>
        <w:rPr>
          <w:lang w:val="fr-CH"/>
        </w:rPr>
        <w:t>’</w:t>
      </w:r>
      <w:r w:rsidR="00570B62" w:rsidRPr="00961388">
        <w:rPr>
          <w:lang w:val="fr-CH"/>
        </w:rPr>
        <w:t>autres catégories de travailleurs qui en étaient privés, un régime spécifique de sécurité sociale comprenant l</w:t>
      </w:r>
      <w:r>
        <w:rPr>
          <w:lang w:val="fr-CH"/>
        </w:rPr>
        <w:t>’</w:t>
      </w:r>
      <w:r w:rsidR="00570B62" w:rsidRPr="00961388">
        <w:rPr>
          <w:lang w:val="fr-CH"/>
        </w:rPr>
        <w:t>action de prestation de soins, les pensions de vieillesse, d</w:t>
      </w:r>
      <w:r>
        <w:rPr>
          <w:lang w:val="fr-CH"/>
        </w:rPr>
        <w:t>’</w:t>
      </w:r>
      <w:r w:rsidR="00570B62" w:rsidRPr="00961388">
        <w:rPr>
          <w:lang w:val="fr-CH"/>
        </w:rPr>
        <w:t>invalidité et de survivants.</w:t>
      </w:r>
    </w:p>
    <w:p w:rsidR="00570B62" w:rsidRPr="00961388" w:rsidRDefault="00961388" w:rsidP="001973D8">
      <w:pPr>
        <w:pStyle w:val="SingleTxtG"/>
        <w:rPr>
          <w:lang w:val="fr-CH"/>
        </w:rPr>
      </w:pPr>
      <w:r>
        <w:rPr>
          <w:lang w:val="fr-CH"/>
        </w:rPr>
        <w:t>300.</w:t>
      </w:r>
      <w:r>
        <w:rPr>
          <w:lang w:val="fr-CH"/>
        </w:rPr>
        <w:tab/>
        <w:t xml:space="preserve">La loi </w:t>
      </w:r>
      <w:r w:rsidRPr="00961388">
        <w:rPr>
          <w:rFonts w:eastAsia="MS Mincho"/>
          <w:lang w:val="fr-CH"/>
        </w:rPr>
        <w:t>n</w:t>
      </w:r>
      <w:r w:rsidRPr="00961388">
        <w:rPr>
          <w:rFonts w:eastAsia="MS Mincho"/>
          <w:vertAlign w:val="superscript"/>
          <w:lang w:val="fr-CH"/>
        </w:rPr>
        <w:t>o</w:t>
      </w:r>
      <w:r>
        <w:rPr>
          <w:lang w:val="fr-CH"/>
        </w:rPr>
        <w:t xml:space="preserve"> </w:t>
      </w:r>
      <w:r w:rsidR="00570B62" w:rsidRPr="00961388">
        <w:rPr>
          <w:lang w:val="fr-CH"/>
        </w:rPr>
        <w:t>2006-58 du 28 juillet 2006 et le décret 3230-2006 du 12 décembre 2006 ont instauré une nouvelle mesure offrant à la femme travailleuse la latitude de travailler à mi-temps en percevant les deux tiers de son salaire tout en conservant la plénitude de ses droits en matière de couverture sociale et de retraite.</w:t>
      </w:r>
    </w:p>
    <w:p w:rsidR="00570B62" w:rsidRPr="00961388" w:rsidRDefault="00570B62" w:rsidP="001973D8">
      <w:pPr>
        <w:pStyle w:val="SingleTxtG"/>
        <w:rPr>
          <w:u w:val="single"/>
          <w:lang w:val="fr-CH"/>
        </w:rPr>
      </w:pPr>
      <w:r w:rsidRPr="00961388">
        <w:rPr>
          <w:lang w:val="fr-CH"/>
        </w:rPr>
        <w:t>301.</w:t>
      </w:r>
      <w:r w:rsidRPr="00961388">
        <w:rPr>
          <w:lang w:val="fr-CH"/>
        </w:rPr>
        <w:tab/>
        <w:t>En ce qui concerne les pensions, l</w:t>
      </w:r>
      <w:r w:rsidR="00961388">
        <w:rPr>
          <w:lang w:val="fr-CH"/>
        </w:rPr>
        <w:t>’</w:t>
      </w:r>
      <w:r w:rsidRPr="00961388">
        <w:rPr>
          <w:lang w:val="fr-CH"/>
        </w:rPr>
        <w:t>accessibilité des femmes à ce droit est justifiée par son activité professionnelle passée (pension de retraite) ou par sa prise en charge par le système suite au décès de son conjoint (pension de veuve). Elle y accède sans distinction et bénéficie des prestations sociales et des primes. En effet, les femmes représentent 43</w:t>
      </w:r>
      <w:r w:rsidR="001973D8">
        <w:rPr>
          <w:lang w:val="fr-CH"/>
        </w:rPr>
        <w:t xml:space="preserve"> %</w:t>
      </w:r>
      <w:r w:rsidRPr="00961388">
        <w:rPr>
          <w:lang w:val="fr-CH"/>
        </w:rPr>
        <w:t xml:space="preserve"> des effectifs des pensionnés et bénéficient de 28,3</w:t>
      </w:r>
      <w:r w:rsidR="001973D8">
        <w:rPr>
          <w:lang w:val="fr-CH"/>
        </w:rPr>
        <w:t xml:space="preserve"> %</w:t>
      </w:r>
      <w:r w:rsidRPr="00961388">
        <w:rPr>
          <w:lang w:val="fr-CH"/>
        </w:rPr>
        <w:t xml:space="preserve"> des montants des prestations des pensions. </w:t>
      </w:r>
    </w:p>
    <w:p w:rsidR="00570B62" w:rsidRPr="00961388" w:rsidRDefault="00570B62" w:rsidP="0080321A">
      <w:pPr>
        <w:pStyle w:val="SingleTxtG"/>
        <w:spacing w:after="240"/>
        <w:rPr>
          <w:lang w:val="fr-CH"/>
        </w:rPr>
      </w:pPr>
      <w:r w:rsidRPr="00961388">
        <w:rPr>
          <w:lang w:val="fr-CH"/>
        </w:rPr>
        <w:t>302.</w:t>
      </w:r>
      <w:r w:rsidRPr="00961388">
        <w:rPr>
          <w:lang w:val="fr-CH"/>
        </w:rPr>
        <w:tab/>
        <w:t>Au sein de la sphère publique (administration et entreprises publiques), ces taux ont atteint respectivement 44,6</w:t>
      </w:r>
      <w:r w:rsidR="001973D8">
        <w:rPr>
          <w:lang w:val="fr-CH"/>
        </w:rPr>
        <w:t xml:space="preserve"> %</w:t>
      </w:r>
      <w:r w:rsidRPr="00961388">
        <w:rPr>
          <w:lang w:val="fr-CH"/>
        </w:rPr>
        <w:t xml:space="preserve"> et 30,7</w:t>
      </w:r>
      <w:r w:rsidR="001973D8">
        <w:rPr>
          <w:lang w:val="fr-CH"/>
        </w:rPr>
        <w:t xml:space="preserve"> %</w:t>
      </w:r>
      <w:r w:rsidRPr="00961388">
        <w:rPr>
          <w:lang w:val="fr-CH"/>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1"/>
        <w:gridCol w:w="1843"/>
        <w:gridCol w:w="1843"/>
        <w:gridCol w:w="1843"/>
      </w:tblGrid>
      <w:tr w:rsidR="00C8422B" w:rsidRPr="00C8422B" w:rsidTr="00C8422B">
        <w:trPr>
          <w:tblHeader/>
        </w:trPr>
        <w:tc>
          <w:tcPr>
            <w:tcW w:w="2302" w:type="dxa"/>
            <w:tcBorders>
              <w:top w:val="single" w:sz="4" w:space="0" w:color="auto"/>
              <w:bottom w:val="single" w:sz="12" w:space="0" w:color="auto"/>
            </w:tcBorders>
            <w:shd w:val="clear" w:color="auto" w:fill="auto"/>
            <w:vAlign w:val="bottom"/>
          </w:tcPr>
          <w:p w:rsidR="00570B62" w:rsidRPr="00C8422B" w:rsidRDefault="00570B62" w:rsidP="00C8422B">
            <w:pPr>
              <w:spacing w:before="80" w:after="80" w:line="200" w:lineRule="exact"/>
              <w:rPr>
                <w:bCs/>
                <w:i/>
                <w:iCs/>
                <w:sz w:val="16"/>
                <w:lang w:val="fr-CH"/>
              </w:rPr>
            </w:pPr>
            <w:r w:rsidRPr="00C8422B">
              <w:rPr>
                <w:i/>
                <w:sz w:val="16"/>
                <w:lang w:val="fr-CH"/>
              </w:rPr>
              <w:t>Libellés</w:t>
            </w:r>
          </w:p>
        </w:tc>
        <w:tc>
          <w:tcPr>
            <w:tcW w:w="2303" w:type="dxa"/>
            <w:tcBorders>
              <w:top w:val="single" w:sz="4" w:space="0" w:color="auto"/>
              <w:bottom w:val="single" w:sz="12" w:space="0" w:color="auto"/>
            </w:tcBorders>
            <w:shd w:val="clear" w:color="auto" w:fill="auto"/>
            <w:vAlign w:val="bottom"/>
          </w:tcPr>
          <w:p w:rsidR="00570B62" w:rsidRPr="00C8422B" w:rsidRDefault="00570B62" w:rsidP="00C8422B">
            <w:pPr>
              <w:spacing w:before="80" w:after="80" w:line="200" w:lineRule="exact"/>
              <w:jc w:val="right"/>
              <w:rPr>
                <w:i/>
                <w:sz w:val="16"/>
                <w:lang w:val="fr-CH"/>
              </w:rPr>
            </w:pPr>
            <w:r w:rsidRPr="00C8422B">
              <w:rPr>
                <w:i/>
                <w:sz w:val="16"/>
                <w:lang w:val="fr-CH"/>
              </w:rPr>
              <w:t>Homme</w:t>
            </w:r>
          </w:p>
        </w:tc>
        <w:tc>
          <w:tcPr>
            <w:tcW w:w="2303" w:type="dxa"/>
            <w:tcBorders>
              <w:top w:val="single" w:sz="4" w:space="0" w:color="auto"/>
              <w:bottom w:val="single" w:sz="12" w:space="0" w:color="auto"/>
            </w:tcBorders>
            <w:shd w:val="clear" w:color="auto" w:fill="auto"/>
            <w:vAlign w:val="bottom"/>
          </w:tcPr>
          <w:p w:rsidR="00570B62" w:rsidRPr="00C8422B" w:rsidRDefault="00570B62" w:rsidP="00C8422B">
            <w:pPr>
              <w:spacing w:before="80" w:after="80" w:line="200" w:lineRule="exact"/>
              <w:jc w:val="right"/>
              <w:rPr>
                <w:i/>
                <w:sz w:val="16"/>
                <w:lang w:val="fr-CH"/>
              </w:rPr>
            </w:pPr>
            <w:r w:rsidRPr="00C8422B">
              <w:rPr>
                <w:i/>
                <w:sz w:val="16"/>
                <w:lang w:val="fr-CH"/>
              </w:rPr>
              <w:t>Femmes</w:t>
            </w:r>
          </w:p>
        </w:tc>
        <w:tc>
          <w:tcPr>
            <w:tcW w:w="2303" w:type="dxa"/>
            <w:tcBorders>
              <w:top w:val="single" w:sz="4" w:space="0" w:color="auto"/>
              <w:bottom w:val="single" w:sz="12" w:space="0" w:color="auto"/>
            </w:tcBorders>
            <w:shd w:val="clear" w:color="auto" w:fill="auto"/>
            <w:vAlign w:val="bottom"/>
          </w:tcPr>
          <w:p w:rsidR="00570B62" w:rsidRPr="00C8422B" w:rsidRDefault="00570B62" w:rsidP="00C8422B">
            <w:pPr>
              <w:spacing w:before="80" w:after="80" w:line="200" w:lineRule="exact"/>
              <w:jc w:val="right"/>
              <w:rPr>
                <w:i/>
                <w:sz w:val="16"/>
                <w:lang w:val="fr-CH"/>
              </w:rPr>
            </w:pPr>
            <w:r w:rsidRPr="00C8422B">
              <w:rPr>
                <w:i/>
                <w:sz w:val="16"/>
                <w:lang w:val="fr-CH"/>
              </w:rPr>
              <w:t>T</w:t>
            </w:r>
            <w:r w:rsidR="00C8422B">
              <w:rPr>
                <w:i/>
                <w:sz w:val="16"/>
                <w:lang w:val="fr-CH"/>
              </w:rPr>
              <w:t>otal</w:t>
            </w:r>
          </w:p>
        </w:tc>
      </w:tr>
      <w:tr w:rsidR="00C8422B" w:rsidRPr="00C8422B" w:rsidTr="00C8422B">
        <w:tc>
          <w:tcPr>
            <w:tcW w:w="2302" w:type="dxa"/>
            <w:tcBorders>
              <w:top w:val="single" w:sz="12" w:space="0" w:color="auto"/>
            </w:tcBorders>
            <w:shd w:val="clear" w:color="auto" w:fill="auto"/>
          </w:tcPr>
          <w:p w:rsidR="00570B62" w:rsidRPr="00C8422B" w:rsidRDefault="00570B62" w:rsidP="0080321A">
            <w:pPr>
              <w:spacing w:before="40" w:after="40" w:line="220" w:lineRule="exact"/>
              <w:rPr>
                <w:sz w:val="18"/>
                <w:lang w:val="fr-CH"/>
              </w:rPr>
            </w:pPr>
            <w:r w:rsidRPr="00C8422B">
              <w:rPr>
                <w:sz w:val="18"/>
                <w:lang w:val="fr-CH"/>
              </w:rPr>
              <w:t>Retraités</w:t>
            </w:r>
          </w:p>
        </w:tc>
        <w:tc>
          <w:tcPr>
            <w:tcW w:w="2303" w:type="dxa"/>
            <w:tcBorders>
              <w:top w:val="single" w:sz="12" w:space="0" w:color="auto"/>
            </w:tcBorders>
            <w:shd w:val="clear" w:color="auto" w:fill="auto"/>
            <w:vAlign w:val="bottom"/>
          </w:tcPr>
          <w:p w:rsidR="00570B62" w:rsidRPr="00C8422B" w:rsidRDefault="00570B62" w:rsidP="0080321A">
            <w:pPr>
              <w:spacing w:before="40" w:after="40" w:line="220" w:lineRule="exact"/>
              <w:jc w:val="right"/>
              <w:rPr>
                <w:sz w:val="16"/>
                <w:lang w:val="fr-CH"/>
              </w:rPr>
            </w:pPr>
            <w:r w:rsidRPr="00C8422B">
              <w:rPr>
                <w:sz w:val="16"/>
                <w:lang w:val="fr-CH"/>
              </w:rPr>
              <w:t>394.251</w:t>
            </w:r>
          </w:p>
        </w:tc>
        <w:tc>
          <w:tcPr>
            <w:tcW w:w="2303" w:type="dxa"/>
            <w:tcBorders>
              <w:top w:val="single" w:sz="12" w:space="0" w:color="auto"/>
            </w:tcBorders>
            <w:shd w:val="clear" w:color="auto" w:fill="auto"/>
            <w:vAlign w:val="bottom"/>
          </w:tcPr>
          <w:p w:rsidR="00570B62" w:rsidRPr="00C8422B" w:rsidRDefault="00570B62" w:rsidP="0080321A">
            <w:pPr>
              <w:spacing w:before="40" w:after="40" w:line="220" w:lineRule="exact"/>
              <w:jc w:val="right"/>
              <w:rPr>
                <w:sz w:val="16"/>
                <w:lang w:val="fr-CH"/>
              </w:rPr>
            </w:pPr>
            <w:r w:rsidRPr="00C8422B">
              <w:rPr>
                <w:sz w:val="16"/>
                <w:lang w:val="fr-CH"/>
              </w:rPr>
              <w:t>45.271</w:t>
            </w:r>
          </w:p>
        </w:tc>
        <w:tc>
          <w:tcPr>
            <w:tcW w:w="2303" w:type="dxa"/>
            <w:tcBorders>
              <w:top w:val="single" w:sz="12" w:space="0" w:color="auto"/>
            </w:tcBorders>
            <w:shd w:val="clear" w:color="auto" w:fill="auto"/>
            <w:vAlign w:val="bottom"/>
          </w:tcPr>
          <w:p w:rsidR="00570B62" w:rsidRPr="00C8422B" w:rsidRDefault="00570B62" w:rsidP="0080321A">
            <w:pPr>
              <w:spacing w:before="40" w:after="40" w:line="220" w:lineRule="exact"/>
              <w:jc w:val="right"/>
              <w:rPr>
                <w:sz w:val="16"/>
                <w:lang w:val="fr-CH"/>
              </w:rPr>
            </w:pPr>
            <w:r w:rsidRPr="00C8422B">
              <w:rPr>
                <w:sz w:val="16"/>
                <w:lang w:val="fr-CH"/>
              </w:rPr>
              <w:t>439.522</w:t>
            </w:r>
          </w:p>
        </w:tc>
      </w:tr>
      <w:tr w:rsidR="00C8422B" w:rsidRPr="00C8422B" w:rsidTr="00C8422B">
        <w:tc>
          <w:tcPr>
            <w:tcW w:w="2302" w:type="dxa"/>
            <w:tcBorders>
              <w:bottom w:val="nil"/>
            </w:tcBorders>
            <w:shd w:val="clear" w:color="auto" w:fill="auto"/>
          </w:tcPr>
          <w:p w:rsidR="00570B62" w:rsidRPr="00C8422B" w:rsidRDefault="00570B62" w:rsidP="0080321A">
            <w:pPr>
              <w:spacing w:before="40" w:after="40" w:line="220" w:lineRule="exact"/>
              <w:rPr>
                <w:sz w:val="18"/>
                <w:lang w:val="fr-CH"/>
              </w:rPr>
            </w:pPr>
            <w:r w:rsidRPr="00C8422B">
              <w:rPr>
                <w:sz w:val="18"/>
                <w:lang w:val="fr-CH"/>
              </w:rPr>
              <w:t>Conjoints survivants</w:t>
            </w:r>
          </w:p>
        </w:tc>
        <w:tc>
          <w:tcPr>
            <w:tcW w:w="2303" w:type="dxa"/>
            <w:tcBorders>
              <w:bottom w:val="nil"/>
            </w:tcBorders>
            <w:shd w:val="clear" w:color="auto" w:fill="auto"/>
            <w:vAlign w:val="bottom"/>
          </w:tcPr>
          <w:p w:rsidR="00570B62" w:rsidRPr="00C8422B" w:rsidRDefault="00570B62" w:rsidP="0080321A">
            <w:pPr>
              <w:spacing w:before="40" w:after="40" w:line="220" w:lineRule="exact"/>
              <w:jc w:val="right"/>
              <w:rPr>
                <w:sz w:val="16"/>
                <w:lang w:val="fr-CH"/>
              </w:rPr>
            </w:pPr>
            <w:r w:rsidRPr="00C8422B">
              <w:rPr>
                <w:sz w:val="16"/>
                <w:lang w:val="fr-CH"/>
              </w:rPr>
              <w:t>4.077</w:t>
            </w:r>
          </w:p>
        </w:tc>
        <w:tc>
          <w:tcPr>
            <w:tcW w:w="2303" w:type="dxa"/>
            <w:tcBorders>
              <w:bottom w:val="nil"/>
            </w:tcBorders>
            <w:shd w:val="clear" w:color="auto" w:fill="auto"/>
            <w:vAlign w:val="bottom"/>
          </w:tcPr>
          <w:p w:rsidR="00570B62" w:rsidRPr="00C8422B" w:rsidRDefault="00570B62" w:rsidP="0080321A">
            <w:pPr>
              <w:spacing w:before="40" w:after="40" w:line="220" w:lineRule="exact"/>
              <w:jc w:val="right"/>
              <w:rPr>
                <w:sz w:val="16"/>
                <w:lang w:val="fr-CH"/>
              </w:rPr>
            </w:pPr>
            <w:r w:rsidRPr="00C8422B">
              <w:rPr>
                <w:sz w:val="16"/>
                <w:lang w:val="fr-CH"/>
              </w:rPr>
              <w:t>165.802</w:t>
            </w:r>
          </w:p>
        </w:tc>
        <w:tc>
          <w:tcPr>
            <w:tcW w:w="2303" w:type="dxa"/>
            <w:tcBorders>
              <w:bottom w:val="nil"/>
            </w:tcBorders>
            <w:shd w:val="clear" w:color="auto" w:fill="auto"/>
            <w:vAlign w:val="bottom"/>
          </w:tcPr>
          <w:p w:rsidR="00570B62" w:rsidRPr="00C8422B" w:rsidRDefault="00570B62" w:rsidP="0080321A">
            <w:pPr>
              <w:spacing w:before="40" w:after="40" w:line="220" w:lineRule="exact"/>
              <w:jc w:val="right"/>
              <w:rPr>
                <w:sz w:val="16"/>
                <w:lang w:val="fr-CH"/>
              </w:rPr>
            </w:pPr>
            <w:r w:rsidRPr="00C8422B">
              <w:rPr>
                <w:sz w:val="16"/>
                <w:lang w:val="fr-CH"/>
              </w:rPr>
              <w:t>169.879</w:t>
            </w:r>
          </w:p>
        </w:tc>
      </w:tr>
      <w:tr w:rsidR="00C8422B" w:rsidRPr="00C8422B" w:rsidTr="00C8422B">
        <w:tc>
          <w:tcPr>
            <w:tcW w:w="2302" w:type="dxa"/>
            <w:tcBorders>
              <w:top w:val="nil"/>
              <w:bottom w:val="single" w:sz="4" w:space="0" w:color="auto"/>
            </w:tcBorders>
            <w:shd w:val="clear" w:color="auto" w:fill="auto"/>
          </w:tcPr>
          <w:p w:rsidR="00570B62" w:rsidRPr="00C8422B" w:rsidRDefault="00570B62" w:rsidP="0080321A">
            <w:pPr>
              <w:spacing w:before="40" w:after="40" w:line="220" w:lineRule="exact"/>
              <w:rPr>
                <w:sz w:val="18"/>
                <w:lang w:val="fr-CH"/>
              </w:rPr>
            </w:pPr>
            <w:r w:rsidRPr="00C8422B">
              <w:rPr>
                <w:sz w:val="18"/>
                <w:lang w:val="fr-CH"/>
              </w:rPr>
              <w:t>Orphelins</w:t>
            </w:r>
          </w:p>
        </w:tc>
        <w:tc>
          <w:tcPr>
            <w:tcW w:w="2303" w:type="dxa"/>
            <w:tcBorders>
              <w:top w:val="nil"/>
              <w:bottom w:val="single" w:sz="4" w:space="0" w:color="auto"/>
            </w:tcBorders>
            <w:shd w:val="clear" w:color="auto" w:fill="auto"/>
            <w:vAlign w:val="bottom"/>
          </w:tcPr>
          <w:p w:rsidR="00570B62" w:rsidRPr="00C8422B" w:rsidRDefault="00570B62" w:rsidP="0080321A">
            <w:pPr>
              <w:spacing w:before="40" w:after="40" w:line="220" w:lineRule="exact"/>
              <w:jc w:val="right"/>
              <w:rPr>
                <w:sz w:val="16"/>
                <w:lang w:val="fr-CH"/>
              </w:rPr>
            </w:pPr>
            <w:r w:rsidRPr="00C8422B">
              <w:rPr>
                <w:sz w:val="16"/>
                <w:lang w:val="fr-CH"/>
              </w:rPr>
              <w:t>14.100</w:t>
            </w:r>
          </w:p>
        </w:tc>
        <w:tc>
          <w:tcPr>
            <w:tcW w:w="2303" w:type="dxa"/>
            <w:tcBorders>
              <w:top w:val="nil"/>
              <w:bottom w:val="single" w:sz="4" w:space="0" w:color="auto"/>
            </w:tcBorders>
            <w:shd w:val="clear" w:color="auto" w:fill="auto"/>
            <w:vAlign w:val="bottom"/>
          </w:tcPr>
          <w:p w:rsidR="00570B62" w:rsidRPr="00C8422B" w:rsidRDefault="00570B62" w:rsidP="0080321A">
            <w:pPr>
              <w:spacing w:before="40" w:after="40" w:line="220" w:lineRule="exact"/>
              <w:jc w:val="right"/>
              <w:rPr>
                <w:sz w:val="16"/>
                <w:lang w:val="fr-CH"/>
              </w:rPr>
            </w:pPr>
            <w:r w:rsidRPr="00C8422B">
              <w:rPr>
                <w:sz w:val="16"/>
                <w:lang w:val="fr-CH"/>
              </w:rPr>
              <w:t>99.611</w:t>
            </w:r>
          </w:p>
        </w:tc>
        <w:tc>
          <w:tcPr>
            <w:tcW w:w="2303" w:type="dxa"/>
            <w:tcBorders>
              <w:top w:val="nil"/>
              <w:bottom w:val="single" w:sz="4" w:space="0" w:color="auto"/>
            </w:tcBorders>
            <w:shd w:val="clear" w:color="auto" w:fill="auto"/>
            <w:vAlign w:val="bottom"/>
          </w:tcPr>
          <w:p w:rsidR="00570B62" w:rsidRPr="00C8422B" w:rsidRDefault="00570B62" w:rsidP="0080321A">
            <w:pPr>
              <w:spacing w:before="40" w:after="40" w:line="220" w:lineRule="exact"/>
              <w:jc w:val="right"/>
              <w:rPr>
                <w:sz w:val="16"/>
                <w:lang w:val="fr-CH"/>
              </w:rPr>
            </w:pPr>
            <w:r w:rsidRPr="00C8422B">
              <w:rPr>
                <w:sz w:val="16"/>
                <w:lang w:val="fr-CH"/>
              </w:rPr>
              <w:t>113.711</w:t>
            </w:r>
          </w:p>
        </w:tc>
      </w:tr>
      <w:tr w:rsidR="00C8422B" w:rsidRPr="00C8422B" w:rsidTr="0080321A">
        <w:tc>
          <w:tcPr>
            <w:tcW w:w="2302" w:type="dxa"/>
            <w:tcBorders>
              <w:top w:val="single" w:sz="4" w:space="0" w:color="auto"/>
            </w:tcBorders>
            <w:shd w:val="clear" w:color="auto" w:fill="auto"/>
          </w:tcPr>
          <w:p w:rsidR="00570B62" w:rsidRPr="00C8422B" w:rsidRDefault="00570B62" w:rsidP="00B75F26">
            <w:pPr>
              <w:spacing w:before="40" w:after="40" w:line="220" w:lineRule="exact"/>
              <w:ind w:firstLine="284"/>
              <w:rPr>
                <w:b/>
                <w:sz w:val="18"/>
                <w:lang w:val="fr-CH"/>
              </w:rPr>
            </w:pPr>
            <w:r w:rsidRPr="00C8422B">
              <w:rPr>
                <w:b/>
                <w:sz w:val="18"/>
                <w:lang w:val="fr-CH"/>
              </w:rPr>
              <w:t>T</w:t>
            </w:r>
            <w:r w:rsidR="00C8422B" w:rsidRPr="00C8422B">
              <w:rPr>
                <w:b/>
                <w:sz w:val="18"/>
                <w:lang w:val="fr-CH"/>
              </w:rPr>
              <w:t>otal</w:t>
            </w:r>
          </w:p>
        </w:tc>
        <w:tc>
          <w:tcPr>
            <w:tcW w:w="2303" w:type="dxa"/>
            <w:tcBorders>
              <w:top w:val="single" w:sz="4" w:space="0" w:color="auto"/>
            </w:tcBorders>
            <w:shd w:val="clear" w:color="auto" w:fill="auto"/>
            <w:vAlign w:val="bottom"/>
          </w:tcPr>
          <w:p w:rsidR="00570B62" w:rsidRPr="00C8422B" w:rsidRDefault="00570B62" w:rsidP="0080321A">
            <w:pPr>
              <w:spacing w:before="40" w:after="40" w:line="220" w:lineRule="exact"/>
              <w:jc w:val="right"/>
              <w:rPr>
                <w:b/>
                <w:sz w:val="16"/>
                <w:lang w:val="fr-CH"/>
              </w:rPr>
            </w:pPr>
            <w:r w:rsidRPr="00C8422B">
              <w:rPr>
                <w:b/>
                <w:sz w:val="16"/>
                <w:lang w:val="fr-CH"/>
              </w:rPr>
              <w:t>412.429</w:t>
            </w:r>
          </w:p>
        </w:tc>
        <w:tc>
          <w:tcPr>
            <w:tcW w:w="2303" w:type="dxa"/>
            <w:tcBorders>
              <w:top w:val="single" w:sz="4" w:space="0" w:color="auto"/>
            </w:tcBorders>
            <w:shd w:val="clear" w:color="auto" w:fill="auto"/>
            <w:vAlign w:val="bottom"/>
          </w:tcPr>
          <w:p w:rsidR="00570B62" w:rsidRPr="00C8422B" w:rsidRDefault="00570B62" w:rsidP="0080321A">
            <w:pPr>
              <w:spacing w:before="40" w:after="40" w:line="220" w:lineRule="exact"/>
              <w:jc w:val="right"/>
              <w:rPr>
                <w:b/>
                <w:sz w:val="16"/>
                <w:lang w:val="fr-CH"/>
              </w:rPr>
            </w:pPr>
            <w:r w:rsidRPr="00C8422B">
              <w:rPr>
                <w:b/>
                <w:sz w:val="16"/>
                <w:lang w:val="fr-CH"/>
              </w:rPr>
              <w:t>310.683</w:t>
            </w:r>
          </w:p>
        </w:tc>
        <w:tc>
          <w:tcPr>
            <w:tcW w:w="2303" w:type="dxa"/>
            <w:tcBorders>
              <w:top w:val="single" w:sz="4" w:space="0" w:color="auto"/>
            </w:tcBorders>
            <w:shd w:val="clear" w:color="auto" w:fill="auto"/>
            <w:vAlign w:val="bottom"/>
          </w:tcPr>
          <w:p w:rsidR="00570B62" w:rsidRPr="00C8422B" w:rsidRDefault="00570B62" w:rsidP="0080321A">
            <w:pPr>
              <w:spacing w:before="40" w:after="40" w:line="220" w:lineRule="exact"/>
              <w:jc w:val="right"/>
              <w:rPr>
                <w:b/>
                <w:sz w:val="16"/>
                <w:lang w:val="fr-CH"/>
              </w:rPr>
            </w:pPr>
            <w:r w:rsidRPr="00C8422B">
              <w:rPr>
                <w:b/>
                <w:sz w:val="16"/>
                <w:lang w:val="fr-CH"/>
              </w:rPr>
              <w:t>723.112</w:t>
            </w:r>
          </w:p>
        </w:tc>
      </w:tr>
    </w:tbl>
    <w:p w:rsidR="00570B62" w:rsidRPr="00961388" w:rsidRDefault="001973D8" w:rsidP="001973D8">
      <w:pPr>
        <w:pStyle w:val="H23G"/>
        <w:rPr>
          <w:lang w:val="fr-CH"/>
        </w:rPr>
      </w:pPr>
      <w:r>
        <w:rPr>
          <w:lang w:val="fr-CH"/>
        </w:rPr>
        <w:tab/>
      </w:r>
      <w:r>
        <w:rPr>
          <w:lang w:val="fr-CH"/>
        </w:rPr>
        <w:tab/>
      </w:r>
      <w:r w:rsidR="00570B62" w:rsidRPr="00961388">
        <w:rPr>
          <w:lang w:val="fr-CH"/>
        </w:rPr>
        <w:t>Réponse au paragraphe 26 de la liste de points à traiter</w:t>
      </w:r>
    </w:p>
    <w:p w:rsidR="00570B62" w:rsidRPr="00961388" w:rsidRDefault="00570B62" w:rsidP="001973D8">
      <w:pPr>
        <w:pStyle w:val="SingleTxtG"/>
        <w:rPr>
          <w:lang w:val="fr-CH"/>
        </w:rPr>
      </w:pPr>
      <w:r w:rsidRPr="00961388">
        <w:rPr>
          <w:lang w:val="fr-CH"/>
        </w:rPr>
        <w:t>303.</w:t>
      </w:r>
      <w:r w:rsidRPr="00961388">
        <w:rPr>
          <w:lang w:val="fr-CH"/>
        </w:rPr>
        <w:tab/>
        <w:t>Le régime de l</w:t>
      </w:r>
      <w:r w:rsidR="00961388">
        <w:rPr>
          <w:lang w:val="fr-CH"/>
        </w:rPr>
        <w:t>’</w:t>
      </w:r>
      <w:r w:rsidRPr="00961388">
        <w:rPr>
          <w:lang w:val="fr-CH"/>
        </w:rPr>
        <w:t xml:space="preserve">exercice à mi-temps dans les administrations publiques, les collectivités locales et les établissements publics à caractère administratif </w:t>
      </w:r>
      <w:r w:rsidR="00961388">
        <w:rPr>
          <w:lang w:val="fr-CH"/>
        </w:rPr>
        <w:t xml:space="preserve">a été institué par le décret </w:t>
      </w:r>
      <w:r w:rsidR="00961388" w:rsidRPr="00961388">
        <w:rPr>
          <w:rFonts w:eastAsia="MS Mincho"/>
          <w:lang w:val="fr-CH"/>
        </w:rPr>
        <w:t>n</w:t>
      </w:r>
      <w:r w:rsidR="00961388" w:rsidRPr="00961388">
        <w:rPr>
          <w:rFonts w:eastAsia="MS Mincho"/>
          <w:vertAlign w:val="superscript"/>
          <w:lang w:val="fr-CH"/>
        </w:rPr>
        <w:t>o</w:t>
      </w:r>
      <w:r w:rsidR="00961388">
        <w:rPr>
          <w:lang w:val="fr-CH"/>
        </w:rPr>
        <w:t xml:space="preserve"> </w:t>
      </w:r>
      <w:r w:rsidRPr="00961388">
        <w:rPr>
          <w:lang w:val="fr-CH"/>
        </w:rPr>
        <w:t>85-839 du 17 juin 1985.</w:t>
      </w:r>
    </w:p>
    <w:p w:rsidR="00570B62" w:rsidRPr="00961388" w:rsidRDefault="00570B62" w:rsidP="001973D8">
      <w:pPr>
        <w:pStyle w:val="SingleTxtG"/>
        <w:rPr>
          <w:lang w:val="fr-CH"/>
        </w:rPr>
      </w:pPr>
      <w:r w:rsidRPr="00961388">
        <w:rPr>
          <w:lang w:val="fr-CH"/>
        </w:rPr>
        <w:t>304.</w:t>
      </w:r>
      <w:r w:rsidRPr="00961388">
        <w:rPr>
          <w:lang w:val="fr-CH"/>
        </w:rPr>
        <w:tab/>
        <w:t>L</w:t>
      </w:r>
      <w:r w:rsidR="00961388">
        <w:rPr>
          <w:lang w:val="fr-CH"/>
        </w:rPr>
        <w:t>’</w:t>
      </w:r>
      <w:r w:rsidRPr="00961388">
        <w:rPr>
          <w:lang w:val="fr-CH"/>
        </w:rPr>
        <w:t>exercice à mi-temps consiste en l</w:t>
      </w:r>
      <w:r w:rsidR="00961388">
        <w:rPr>
          <w:lang w:val="fr-CH"/>
        </w:rPr>
        <w:t>’</w:t>
      </w:r>
      <w:r w:rsidRPr="00961388">
        <w:rPr>
          <w:lang w:val="fr-CH"/>
        </w:rPr>
        <w:t>accomplissement d</w:t>
      </w:r>
      <w:r w:rsidR="00961388">
        <w:rPr>
          <w:lang w:val="fr-CH"/>
        </w:rPr>
        <w:t>’</w:t>
      </w:r>
      <w:r w:rsidRPr="00961388">
        <w:rPr>
          <w:lang w:val="fr-CH"/>
        </w:rPr>
        <w:t>un service hebdomadaire d</w:t>
      </w:r>
      <w:r w:rsidR="00961388">
        <w:rPr>
          <w:lang w:val="fr-CH"/>
        </w:rPr>
        <w:t>’</w:t>
      </w:r>
      <w:r w:rsidRPr="00961388">
        <w:rPr>
          <w:lang w:val="fr-CH"/>
        </w:rPr>
        <w:t>une durée égale à la moitié de la durée exigée des agents assurant à plein temps les mêmes fonctions.</w:t>
      </w:r>
    </w:p>
    <w:p w:rsidR="00570B62" w:rsidRPr="00961388" w:rsidRDefault="00570B62" w:rsidP="001973D8">
      <w:pPr>
        <w:pStyle w:val="SingleTxtG"/>
        <w:rPr>
          <w:lang w:val="fr-CH"/>
        </w:rPr>
      </w:pPr>
      <w:r w:rsidRPr="00961388">
        <w:rPr>
          <w:lang w:val="fr-CH"/>
        </w:rPr>
        <w:t>305.</w:t>
      </w:r>
      <w:r w:rsidRPr="00961388">
        <w:rPr>
          <w:lang w:val="fr-CH"/>
        </w:rPr>
        <w:tab/>
        <w:t>Les fonctionnaires qui exercent à mi-temps ont droit aux mêmes congés prévus pour les fonctionnaires exerçant à plein temps.</w:t>
      </w:r>
    </w:p>
    <w:p w:rsidR="00961388" w:rsidRDefault="00570B62" w:rsidP="001973D8">
      <w:pPr>
        <w:pStyle w:val="SingleTxtG"/>
        <w:rPr>
          <w:lang w:val="fr-CH"/>
        </w:rPr>
      </w:pPr>
      <w:r w:rsidRPr="00961388">
        <w:rPr>
          <w:lang w:val="fr-CH"/>
        </w:rPr>
        <w:t>306.</w:t>
      </w:r>
      <w:r w:rsidRPr="00961388">
        <w:rPr>
          <w:lang w:val="fr-CH"/>
        </w:rPr>
        <w:tab/>
        <w:t>Les retenues opérées au titre de la contribution au régime de retraite et de prévoyance sociale sur les émoluments servis au fonctionnaire bénéficiaire du régime de l</w:t>
      </w:r>
      <w:r w:rsidR="00961388">
        <w:rPr>
          <w:lang w:val="fr-CH"/>
        </w:rPr>
        <w:t>’</w:t>
      </w:r>
      <w:r w:rsidRPr="00961388">
        <w:rPr>
          <w:lang w:val="fr-CH"/>
        </w:rPr>
        <w:t>exercice à mi-temps sont effectuées sur la base des traitements et indemnités afférents au grade du fonctionnaire exerçant à plein temps.</w:t>
      </w:r>
    </w:p>
    <w:p w:rsidR="00570B62" w:rsidRPr="001973D8" w:rsidRDefault="00570B62" w:rsidP="0080321A">
      <w:pPr>
        <w:pStyle w:val="SingleTxtG"/>
        <w:spacing w:after="240"/>
        <w:rPr>
          <w:b/>
          <w:lang w:val="fr-CH"/>
        </w:rPr>
      </w:pPr>
      <w:r w:rsidRPr="00961388">
        <w:rPr>
          <w:lang w:val="fr-CH"/>
        </w:rPr>
        <w:t>307.</w:t>
      </w:r>
      <w:r w:rsidRPr="00961388">
        <w:rPr>
          <w:lang w:val="fr-CH"/>
        </w:rPr>
        <w:tab/>
      </w:r>
      <w:r w:rsidRPr="001973D8">
        <w:rPr>
          <w:b/>
          <w:lang w:val="fr-CH"/>
        </w:rPr>
        <w:t>Le tableau suivant indique le nombre de bénéficiaires de ce régime par sexe</w:t>
      </w:r>
      <w:r w:rsidR="00961388" w:rsidRPr="001973D8">
        <w:rPr>
          <w:b/>
          <w:lang w:val="fr-CH"/>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59"/>
        <w:gridCol w:w="3911"/>
      </w:tblGrid>
      <w:tr w:rsidR="00570B62" w:rsidRPr="0080321A" w:rsidTr="0080321A">
        <w:trPr>
          <w:tblHeader/>
        </w:trPr>
        <w:tc>
          <w:tcPr>
            <w:tcW w:w="3260" w:type="dxa"/>
            <w:tcBorders>
              <w:top w:val="single" w:sz="4" w:space="0" w:color="auto"/>
              <w:bottom w:val="single" w:sz="12" w:space="0" w:color="auto"/>
            </w:tcBorders>
            <w:shd w:val="clear" w:color="auto" w:fill="auto"/>
            <w:vAlign w:val="bottom"/>
          </w:tcPr>
          <w:p w:rsidR="00570B62" w:rsidRPr="0080321A" w:rsidRDefault="00570B62" w:rsidP="0080321A">
            <w:pPr>
              <w:spacing w:before="80" w:after="80" w:line="200" w:lineRule="exact"/>
              <w:rPr>
                <w:bCs/>
                <w:i/>
                <w:iCs/>
                <w:sz w:val="16"/>
                <w:lang w:val="fr-CH"/>
              </w:rPr>
            </w:pPr>
            <w:r w:rsidRPr="0080321A">
              <w:rPr>
                <w:i/>
                <w:sz w:val="16"/>
                <w:lang w:val="fr-CH"/>
              </w:rPr>
              <w:t>Masculin</w:t>
            </w:r>
          </w:p>
        </w:tc>
        <w:tc>
          <w:tcPr>
            <w:tcW w:w="3686" w:type="dxa"/>
            <w:tcBorders>
              <w:top w:val="single" w:sz="4" w:space="0" w:color="auto"/>
              <w:bottom w:val="single" w:sz="12" w:space="0" w:color="auto"/>
            </w:tcBorders>
            <w:shd w:val="clear" w:color="auto" w:fill="auto"/>
            <w:vAlign w:val="bottom"/>
          </w:tcPr>
          <w:p w:rsidR="00570B62" w:rsidRPr="0080321A" w:rsidRDefault="00570B62" w:rsidP="0080321A">
            <w:pPr>
              <w:spacing w:before="80" w:after="80" w:line="200" w:lineRule="exact"/>
              <w:jc w:val="right"/>
              <w:rPr>
                <w:i/>
                <w:sz w:val="16"/>
                <w:lang w:val="fr-CH"/>
              </w:rPr>
            </w:pPr>
            <w:r w:rsidRPr="0080321A">
              <w:rPr>
                <w:i/>
                <w:sz w:val="16"/>
                <w:lang w:val="fr-CH"/>
              </w:rPr>
              <w:t>Féminin</w:t>
            </w:r>
          </w:p>
        </w:tc>
      </w:tr>
      <w:tr w:rsidR="00570B62" w:rsidRPr="0080321A" w:rsidTr="0080321A">
        <w:tc>
          <w:tcPr>
            <w:tcW w:w="3260" w:type="dxa"/>
            <w:tcBorders>
              <w:top w:val="single" w:sz="12" w:space="0" w:color="auto"/>
            </w:tcBorders>
            <w:shd w:val="clear" w:color="auto" w:fill="auto"/>
          </w:tcPr>
          <w:p w:rsidR="00570B62" w:rsidRPr="0080321A" w:rsidRDefault="00570B62" w:rsidP="0080321A">
            <w:pPr>
              <w:spacing w:before="40" w:after="40" w:line="220" w:lineRule="exact"/>
              <w:rPr>
                <w:i/>
                <w:iCs/>
                <w:sz w:val="18"/>
                <w:lang w:val="fr-CH"/>
              </w:rPr>
            </w:pPr>
            <w:r w:rsidRPr="0080321A">
              <w:rPr>
                <w:sz w:val="18"/>
                <w:lang w:val="fr-CH"/>
              </w:rPr>
              <w:t>18</w:t>
            </w:r>
          </w:p>
        </w:tc>
        <w:tc>
          <w:tcPr>
            <w:tcW w:w="3686" w:type="dxa"/>
            <w:tcBorders>
              <w:top w:val="single" w:sz="12" w:space="0" w:color="auto"/>
            </w:tcBorders>
            <w:shd w:val="clear" w:color="auto" w:fill="auto"/>
            <w:vAlign w:val="bottom"/>
          </w:tcPr>
          <w:p w:rsidR="00570B62" w:rsidRPr="0080321A" w:rsidRDefault="00570B62" w:rsidP="0080321A">
            <w:pPr>
              <w:spacing w:before="40" w:after="40" w:line="220" w:lineRule="exact"/>
              <w:jc w:val="right"/>
              <w:rPr>
                <w:i/>
                <w:iCs/>
                <w:sz w:val="18"/>
                <w:lang w:val="fr-CH"/>
              </w:rPr>
            </w:pPr>
            <w:r w:rsidRPr="0080321A">
              <w:rPr>
                <w:sz w:val="18"/>
                <w:lang w:val="fr-CH"/>
              </w:rPr>
              <w:t>199</w:t>
            </w:r>
          </w:p>
        </w:tc>
      </w:tr>
    </w:tbl>
    <w:p w:rsidR="00570B62" w:rsidRPr="00961388" w:rsidRDefault="00570B62" w:rsidP="0080321A">
      <w:pPr>
        <w:pStyle w:val="SingleTxtG"/>
        <w:spacing w:before="240"/>
        <w:rPr>
          <w:lang w:val="fr-CH"/>
        </w:rPr>
      </w:pPr>
      <w:r w:rsidRPr="00961388">
        <w:rPr>
          <w:lang w:val="fr-CH"/>
        </w:rPr>
        <w:t>308.</w:t>
      </w:r>
      <w:r w:rsidRPr="00961388">
        <w:rPr>
          <w:lang w:val="fr-CH"/>
        </w:rPr>
        <w:tab/>
        <w:t>Pour ce qui est du régime de l</w:t>
      </w:r>
      <w:r w:rsidR="00961388">
        <w:rPr>
          <w:lang w:val="fr-CH"/>
        </w:rPr>
        <w:t>’</w:t>
      </w:r>
      <w:r w:rsidRPr="00961388">
        <w:rPr>
          <w:lang w:val="fr-CH"/>
        </w:rPr>
        <w:t>exercice à mi-temps avec le bénéfice de deux-tiers du salaire</w:t>
      </w:r>
      <w:r w:rsidR="00961388">
        <w:rPr>
          <w:lang w:val="fr-CH"/>
        </w:rPr>
        <w:t xml:space="preserve"> au profit des mères, la loi </w:t>
      </w:r>
      <w:r w:rsidR="00961388" w:rsidRPr="00961388">
        <w:rPr>
          <w:rFonts w:eastAsia="MS Mincho"/>
          <w:lang w:val="fr-CH"/>
        </w:rPr>
        <w:t>n</w:t>
      </w:r>
      <w:r w:rsidR="00961388" w:rsidRPr="00961388">
        <w:rPr>
          <w:rFonts w:eastAsia="MS Mincho"/>
          <w:vertAlign w:val="superscript"/>
          <w:lang w:val="fr-CH"/>
        </w:rPr>
        <w:t>o</w:t>
      </w:r>
      <w:r w:rsidR="00961388">
        <w:rPr>
          <w:lang w:val="fr-CH"/>
        </w:rPr>
        <w:t xml:space="preserve"> </w:t>
      </w:r>
      <w:r w:rsidRPr="00961388">
        <w:rPr>
          <w:lang w:val="fr-CH"/>
        </w:rPr>
        <w:t>2006-58 du 28 juillet 2006 a institué un régime spécial de travail à mi-temps avec le bénéfice de deux tiers (2/3) du salaire au profit des mères ayant un ou plusieurs enfants âgés de moins de seize ans (16 ans). Les enfants handicapés ne sont pas concernés par cette condition d</w:t>
      </w:r>
      <w:r w:rsidR="00961388">
        <w:rPr>
          <w:lang w:val="fr-CH"/>
        </w:rPr>
        <w:t>’</w:t>
      </w:r>
      <w:r w:rsidRPr="00961388">
        <w:rPr>
          <w:lang w:val="fr-CH"/>
        </w:rPr>
        <w:t>âge limite.</w:t>
      </w:r>
    </w:p>
    <w:p w:rsidR="00570B62" w:rsidRPr="00961388" w:rsidRDefault="00570B62" w:rsidP="00023EB3">
      <w:pPr>
        <w:pStyle w:val="SingleTxtG"/>
        <w:rPr>
          <w:lang w:val="fr-CH"/>
        </w:rPr>
      </w:pPr>
      <w:r w:rsidRPr="00961388">
        <w:rPr>
          <w:lang w:val="fr-CH"/>
        </w:rPr>
        <w:t>309.</w:t>
      </w:r>
      <w:r w:rsidRPr="00961388">
        <w:rPr>
          <w:lang w:val="fr-CH"/>
        </w:rPr>
        <w:tab/>
        <w:t>Les conditions, les procédures ainsi que les modalités d</w:t>
      </w:r>
      <w:r w:rsidR="00961388">
        <w:rPr>
          <w:lang w:val="fr-CH"/>
        </w:rPr>
        <w:t>’</w:t>
      </w:r>
      <w:r w:rsidRPr="00961388">
        <w:rPr>
          <w:lang w:val="fr-CH"/>
        </w:rPr>
        <w:t>application de ce rég</w:t>
      </w:r>
      <w:r w:rsidR="00961388">
        <w:rPr>
          <w:lang w:val="fr-CH"/>
        </w:rPr>
        <w:t xml:space="preserve">ime sont fixés par le décret </w:t>
      </w:r>
      <w:r w:rsidR="00961388" w:rsidRPr="00961388">
        <w:rPr>
          <w:rFonts w:eastAsia="MS Mincho"/>
          <w:lang w:val="fr-CH"/>
        </w:rPr>
        <w:t>n</w:t>
      </w:r>
      <w:r w:rsidR="00961388" w:rsidRPr="00961388">
        <w:rPr>
          <w:rFonts w:eastAsia="MS Mincho"/>
          <w:vertAlign w:val="superscript"/>
          <w:lang w:val="fr-CH"/>
        </w:rPr>
        <w:t>o</w:t>
      </w:r>
      <w:r w:rsidR="00961388">
        <w:rPr>
          <w:lang w:val="fr-CH"/>
        </w:rPr>
        <w:t xml:space="preserve"> </w:t>
      </w:r>
      <w:r w:rsidRPr="00961388">
        <w:rPr>
          <w:lang w:val="fr-CH"/>
        </w:rPr>
        <w:t>2006-3230 du 12 d</w:t>
      </w:r>
      <w:r w:rsidR="001973D8">
        <w:rPr>
          <w:lang w:val="fr-CH"/>
        </w:rPr>
        <w:t xml:space="preserve">écembre 2006 et la circulaire </w:t>
      </w:r>
      <w:r w:rsidR="001973D8" w:rsidRPr="001973D8">
        <w:rPr>
          <w:rFonts w:eastAsia="MS Mincho"/>
          <w:lang w:val="fr-CH"/>
        </w:rPr>
        <w:t>n</w:t>
      </w:r>
      <w:r w:rsidR="001973D8" w:rsidRPr="001973D8">
        <w:rPr>
          <w:rFonts w:eastAsia="MS Mincho"/>
          <w:vertAlign w:val="superscript"/>
          <w:lang w:val="fr-CH"/>
        </w:rPr>
        <w:t>o</w:t>
      </w:r>
      <w:r w:rsidR="001973D8">
        <w:rPr>
          <w:lang w:val="fr-CH"/>
        </w:rPr>
        <w:t xml:space="preserve"> </w:t>
      </w:r>
      <w:r w:rsidRPr="00961388">
        <w:rPr>
          <w:lang w:val="fr-CH"/>
        </w:rPr>
        <w:t>43 du 29 décembre 2006.</w:t>
      </w:r>
    </w:p>
    <w:p w:rsidR="00570B62" w:rsidRPr="00961388" w:rsidRDefault="00570B62" w:rsidP="00023EB3">
      <w:pPr>
        <w:pStyle w:val="SingleTxtG"/>
        <w:rPr>
          <w:lang w:val="fr-CH"/>
        </w:rPr>
      </w:pPr>
      <w:r w:rsidRPr="00961388">
        <w:rPr>
          <w:lang w:val="fr-CH"/>
        </w:rPr>
        <w:t>310.</w:t>
      </w:r>
      <w:r w:rsidRPr="00961388">
        <w:rPr>
          <w:lang w:val="fr-CH"/>
        </w:rPr>
        <w:tab/>
        <w:t>La durée du bénéfice du travail à mi-temps est fixée à trois (03) ans renouvelables deux fois.</w:t>
      </w:r>
    </w:p>
    <w:p w:rsidR="00570B62" w:rsidRPr="00961388" w:rsidRDefault="00570B62" w:rsidP="00023EB3">
      <w:pPr>
        <w:pStyle w:val="SingleTxtG"/>
        <w:rPr>
          <w:lang w:val="fr-CH"/>
        </w:rPr>
      </w:pPr>
      <w:r w:rsidRPr="00961388">
        <w:rPr>
          <w:lang w:val="fr-CH"/>
        </w:rPr>
        <w:t>311.</w:t>
      </w:r>
      <w:r w:rsidRPr="00961388">
        <w:rPr>
          <w:lang w:val="fr-CH"/>
        </w:rPr>
        <w:tab/>
        <w:t>Les mères bénéficiaires de ce régime conservent intégralement leur droit à l</w:t>
      </w:r>
      <w:r w:rsidR="00961388">
        <w:rPr>
          <w:lang w:val="fr-CH"/>
        </w:rPr>
        <w:t>’</w:t>
      </w:r>
      <w:r w:rsidRPr="00961388">
        <w:rPr>
          <w:lang w:val="fr-CH"/>
        </w:rPr>
        <w:t>avancement, à la promotion aux congés et à la couverture sociale.</w:t>
      </w:r>
    </w:p>
    <w:p w:rsidR="00570B62" w:rsidRPr="00961388" w:rsidRDefault="00570B62" w:rsidP="0080321A">
      <w:pPr>
        <w:pStyle w:val="SingleTxtG"/>
        <w:spacing w:after="240"/>
        <w:rPr>
          <w:lang w:val="fr-CH"/>
        </w:rPr>
      </w:pPr>
      <w:r w:rsidRPr="00961388">
        <w:rPr>
          <w:lang w:val="fr-CH"/>
        </w:rPr>
        <w:t>312.</w:t>
      </w:r>
      <w:r w:rsidRPr="00961388">
        <w:rPr>
          <w:lang w:val="fr-CH"/>
        </w:rPr>
        <w:tab/>
        <w:t>Depuis l</w:t>
      </w:r>
      <w:r w:rsidR="00961388">
        <w:rPr>
          <w:lang w:val="fr-CH"/>
        </w:rPr>
        <w:t>’</w:t>
      </w:r>
      <w:r w:rsidRPr="00961388">
        <w:rPr>
          <w:lang w:val="fr-CH"/>
        </w:rPr>
        <w:t>application de ce régime, le nombre des mères qui ont bénéficié du travail à mi-temps avec les 2/3 du salaire a atteint 2328 détaillé comme suit</w:t>
      </w:r>
      <w:r w:rsidR="00961388">
        <w:rPr>
          <w:lang w:val="fr-CH"/>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45"/>
        <w:gridCol w:w="2589"/>
        <w:gridCol w:w="2836"/>
      </w:tblGrid>
      <w:tr w:rsidR="00570B62" w:rsidRPr="0080321A" w:rsidTr="0080321A">
        <w:trPr>
          <w:tblHeader/>
        </w:trPr>
        <w:tc>
          <w:tcPr>
            <w:tcW w:w="2235" w:type="dxa"/>
            <w:tcBorders>
              <w:top w:val="single" w:sz="4" w:space="0" w:color="auto"/>
              <w:bottom w:val="single" w:sz="12" w:space="0" w:color="auto"/>
            </w:tcBorders>
            <w:shd w:val="clear" w:color="auto" w:fill="auto"/>
            <w:vAlign w:val="bottom"/>
          </w:tcPr>
          <w:p w:rsidR="00570B62" w:rsidRPr="0080321A" w:rsidRDefault="00570B62" w:rsidP="0080321A">
            <w:pPr>
              <w:spacing w:before="80" w:after="80" w:line="200" w:lineRule="exact"/>
              <w:rPr>
                <w:bCs/>
                <w:i/>
                <w:iCs/>
                <w:sz w:val="16"/>
                <w:lang w:val="fr-CH"/>
              </w:rPr>
            </w:pPr>
            <w:r w:rsidRPr="0080321A">
              <w:rPr>
                <w:i/>
                <w:sz w:val="16"/>
                <w:lang w:val="fr-CH"/>
              </w:rPr>
              <w:t>Année</w:t>
            </w:r>
          </w:p>
        </w:tc>
        <w:tc>
          <w:tcPr>
            <w:tcW w:w="2976" w:type="dxa"/>
            <w:tcBorders>
              <w:top w:val="single" w:sz="4" w:space="0" w:color="auto"/>
              <w:bottom w:val="single" w:sz="12" w:space="0" w:color="auto"/>
            </w:tcBorders>
            <w:shd w:val="clear" w:color="auto" w:fill="auto"/>
            <w:vAlign w:val="bottom"/>
          </w:tcPr>
          <w:p w:rsidR="00570B62" w:rsidRPr="0080321A" w:rsidRDefault="00570B62" w:rsidP="0080321A">
            <w:pPr>
              <w:spacing w:before="80" w:after="80" w:line="200" w:lineRule="exact"/>
              <w:jc w:val="right"/>
              <w:rPr>
                <w:i/>
                <w:sz w:val="16"/>
                <w:lang w:val="fr-CH"/>
              </w:rPr>
            </w:pPr>
            <w:r w:rsidRPr="0080321A">
              <w:rPr>
                <w:i/>
                <w:sz w:val="16"/>
                <w:lang w:val="fr-CH"/>
              </w:rPr>
              <w:t>Nombre de demandes émises</w:t>
            </w:r>
          </w:p>
        </w:tc>
        <w:tc>
          <w:tcPr>
            <w:tcW w:w="3261" w:type="dxa"/>
            <w:tcBorders>
              <w:top w:val="single" w:sz="4" w:space="0" w:color="auto"/>
              <w:bottom w:val="single" w:sz="12" w:space="0" w:color="auto"/>
            </w:tcBorders>
            <w:shd w:val="clear" w:color="auto" w:fill="auto"/>
            <w:vAlign w:val="bottom"/>
          </w:tcPr>
          <w:p w:rsidR="00570B62" w:rsidRPr="0080321A" w:rsidRDefault="00570B62" w:rsidP="0080321A">
            <w:pPr>
              <w:spacing w:before="80" w:after="80" w:line="200" w:lineRule="exact"/>
              <w:jc w:val="right"/>
              <w:rPr>
                <w:i/>
                <w:sz w:val="16"/>
                <w:lang w:val="fr-CH"/>
              </w:rPr>
            </w:pPr>
            <w:r w:rsidRPr="0080321A">
              <w:rPr>
                <w:i/>
                <w:sz w:val="16"/>
                <w:lang w:val="fr-CH"/>
              </w:rPr>
              <w:t>Nombre de demandes visées (acceptées)</w:t>
            </w:r>
          </w:p>
        </w:tc>
      </w:tr>
      <w:tr w:rsidR="00570B62" w:rsidRPr="0080321A" w:rsidTr="0080321A">
        <w:tc>
          <w:tcPr>
            <w:tcW w:w="2235" w:type="dxa"/>
            <w:tcBorders>
              <w:top w:val="single" w:sz="12" w:space="0" w:color="auto"/>
            </w:tcBorders>
            <w:shd w:val="clear" w:color="auto" w:fill="auto"/>
          </w:tcPr>
          <w:p w:rsidR="00570B62" w:rsidRPr="0080321A" w:rsidRDefault="00570B62" w:rsidP="0080321A">
            <w:pPr>
              <w:spacing w:before="40" w:after="40" w:line="220" w:lineRule="exact"/>
              <w:rPr>
                <w:sz w:val="18"/>
                <w:lang w:val="fr-CH"/>
              </w:rPr>
            </w:pPr>
            <w:r w:rsidRPr="0080321A">
              <w:rPr>
                <w:sz w:val="18"/>
                <w:lang w:val="fr-CH"/>
              </w:rPr>
              <w:t>2007</w:t>
            </w:r>
          </w:p>
        </w:tc>
        <w:tc>
          <w:tcPr>
            <w:tcW w:w="2976" w:type="dxa"/>
            <w:tcBorders>
              <w:top w:val="single" w:sz="12" w:space="0" w:color="auto"/>
            </w:tcBorders>
            <w:shd w:val="clear" w:color="auto" w:fill="auto"/>
            <w:vAlign w:val="bottom"/>
          </w:tcPr>
          <w:p w:rsidR="00570B62" w:rsidRPr="0080321A" w:rsidRDefault="00570B62" w:rsidP="0080321A">
            <w:pPr>
              <w:spacing w:before="40" w:after="40" w:line="220" w:lineRule="exact"/>
              <w:jc w:val="right"/>
              <w:rPr>
                <w:sz w:val="18"/>
                <w:lang w:val="fr-CH"/>
              </w:rPr>
            </w:pPr>
            <w:r w:rsidRPr="0080321A">
              <w:rPr>
                <w:sz w:val="18"/>
                <w:lang w:val="fr-CH"/>
              </w:rPr>
              <w:t>1504</w:t>
            </w:r>
          </w:p>
        </w:tc>
        <w:tc>
          <w:tcPr>
            <w:tcW w:w="3261" w:type="dxa"/>
            <w:tcBorders>
              <w:top w:val="single" w:sz="12" w:space="0" w:color="auto"/>
            </w:tcBorders>
            <w:shd w:val="clear" w:color="auto" w:fill="auto"/>
            <w:vAlign w:val="bottom"/>
          </w:tcPr>
          <w:p w:rsidR="00570B62" w:rsidRPr="0080321A" w:rsidRDefault="00570B62" w:rsidP="0080321A">
            <w:pPr>
              <w:spacing w:before="40" w:after="40" w:line="220" w:lineRule="exact"/>
              <w:jc w:val="right"/>
              <w:rPr>
                <w:sz w:val="18"/>
                <w:lang w:val="fr-CH"/>
              </w:rPr>
            </w:pPr>
            <w:r w:rsidRPr="0080321A">
              <w:rPr>
                <w:sz w:val="18"/>
                <w:lang w:val="fr-CH"/>
              </w:rPr>
              <w:t>1061</w:t>
            </w:r>
          </w:p>
        </w:tc>
      </w:tr>
      <w:tr w:rsidR="00570B62" w:rsidRPr="0080321A" w:rsidTr="0080321A">
        <w:tc>
          <w:tcPr>
            <w:tcW w:w="2235" w:type="dxa"/>
            <w:shd w:val="clear" w:color="auto" w:fill="auto"/>
          </w:tcPr>
          <w:p w:rsidR="00570B62" w:rsidRPr="0080321A" w:rsidRDefault="00570B62" w:rsidP="0080321A">
            <w:pPr>
              <w:spacing w:before="40" w:after="40" w:line="220" w:lineRule="exact"/>
              <w:rPr>
                <w:sz w:val="18"/>
                <w:lang w:val="fr-CH"/>
              </w:rPr>
            </w:pPr>
            <w:r w:rsidRPr="0080321A">
              <w:rPr>
                <w:sz w:val="18"/>
                <w:lang w:val="fr-CH"/>
              </w:rPr>
              <w:t>2008</w:t>
            </w:r>
          </w:p>
        </w:tc>
        <w:tc>
          <w:tcPr>
            <w:tcW w:w="2976" w:type="dxa"/>
            <w:shd w:val="clear" w:color="auto" w:fill="auto"/>
            <w:vAlign w:val="bottom"/>
          </w:tcPr>
          <w:p w:rsidR="00570B62" w:rsidRPr="0080321A" w:rsidRDefault="00570B62" w:rsidP="0080321A">
            <w:pPr>
              <w:spacing w:before="40" w:after="40" w:line="220" w:lineRule="exact"/>
              <w:jc w:val="right"/>
              <w:rPr>
                <w:sz w:val="18"/>
                <w:lang w:val="fr-CH"/>
              </w:rPr>
            </w:pPr>
            <w:r w:rsidRPr="0080321A">
              <w:rPr>
                <w:sz w:val="18"/>
                <w:lang w:val="fr-CH"/>
              </w:rPr>
              <w:t>545</w:t>
            </w:r>
          </w:p>
        </w:tc>
        <w:tc>
          <w:tcPr>
            <w:tcW w:w="3261" w:type="dxa"/>
            <w:shd w:val="clear" w:color="auto" w:fill="auto"/>
            <w:vAlign w:val="bottom"/>
          </w:tcPr>
          <w:p w:rsidR="00570B62" w:rsidRPr="0080321A" w:rsidRDefault="00570B62" w:rsidP="0080321A">
            <w:pPr>
              <w:spacing w:before="40" w:after="40" w:line="220" w:lineRule="exact"/>
              <w:jc w:val="right"/>
              <w:rPr>
                <w:sz w:val="18"/>
                <w:lang w:val="fr-CH"/>
              </w:rPr>
            </w:pPr>
            <w:r w:rsidRPr="0080321A">
              <w:rPr>
                <w:sz w:val="18"/>
                <w:lang w:val="fr-CH"/>
              </w:rPr>
              <w:t>388</w:t>
            </w:r>
          </w:p>
        </w:tc>
      </w:tr>
      <w:tr w:rsidR="00570B62" w:rsidRPr="0080321A" w:rsidTr="0080321A">
        <w:tc>
          <w:tcPr>
            <w:tcW w:w="2235" w:type="dxa"/>
            <w:shd w:val="clear" w:color="auto" w:fill="auto"/>
          </w:tcPr>
          <w:p w:rsidR="00570B62" w:rsidRPr="0080321A" w:rsidRDefault="00570B62" w:rsidP="0080321A">
            <w:pPr>
              <w:spacing w:before="40" w:after="40" w:line="220" w:lineRule="exact"/>
              <w:rPr>
                <w:sz w:val="18"/>
                <w:lang w:val="fr-CH"/>
              </w:rPr>
            </w:pPr>
            <w:r w:rsidRPr="0080321A">
              <w:rPr>
                <w:sz w:val="18"/>
                <w:lang w:val="fr-CH"/>
              </w:rPr>
              <w:t>2009</w:t>
            </w:r>
          </w:p>
        </w:tc>
        <w:tc>
          <w:tcPr>
            <w:tcW w:w="2976" w:type="dxa"/>
            <w:shd w:val="clear" w:color="auto" w:fill="auto"/>
            <w:vAlign w:val="bottom"/>
          </w:tcPr>
          <w:p w:rsidR="00570B62" w:rsidRPr="0080321A" w:rsidRDefault="00570B62" w:rsidP="0080321A">
            <w:pPr>
              <w:spacing w:before="40" w:after="40" w:line="220" w:lineRule="exact"/>
              <w:jc w:val="right"/>
              <w:rPr>
                <w:sz w:val="18"/>
                <w:lang w:val="fr-CH"/>
              </w:rPr>
            </w:pPr>
            <w:r w:rsidRPr="0080321A">
              <w:rPr>
                <w:sz w:val="18"/>
                <w:lang w:val="fr-CH"/>
              </w:rPr>
              <w:t>510</w:t>
            </w:r>
          </w:p>
        </w:tc>
        <w:tc>
          <w:tcPr>
            <w:tcW w:w="3261" w:type="dxa"/>
            <w:shd w:val="clear" w:color="auto" w:fill="auto"/>
            <w:vAlign w:val="bottom"/>
          </w:tcPr>
          <w:p w:rsidR="00570B62" w:rsidRPr="0080321A" w:rsidRDefault="00570B62" w:rsidP="0080321A">
            <w:pPr>
              <w:spacing w:before="40" w:after="40" w:line="220" w:lineRule="exact"/>
              <w:jc w:val="right"/>
              <w:rPr>
                <w:sz w:val="18"/>
                <w:lang w:val="fr-CH"/>
              </w:rPr>
            </w:pPr>
            <w:r w:rsidRPr="0080321A">
              <w:rPr>
                <w:sz w:val="18"/>
                <w:lang w:val="fr-CH"/>
              </w:rPr>
              <w:t>360</w:t>
            </w:r>
          </w:p>
        </w:tc>
      </w:tr>
    </w:tbl>
    <w:p w:rsidR="00570B62" w:rsidRPr="00961388" w:rsidRDefault="00570B62" w:rsidP="0080321A">
      <w:pPr>
        <w:pStyle w:val="SingleTxtG"/>
        <w:spacing w:before="240"/>
        <w:rPr>
          <w:lang w:val="fr-CH"/>
        </w:rPr>
      </w:pPr>
      <w:r w:rsidRPr="00961388">
        <w:rPr>
          <w:lang w:val="fr-CH"/>
        </w:rPr>
        <w:t>313.</w:t>
      </w:r>
      <w:r w:rsidRPr="00961388">
        <w:rPr>
          <w:lang w:val="fr-CH"/>
        </w:rPr>
        <w:tab/>
        <w:t>Pour l</w:t>
      </w:r>
      <w:r w:rsidR="00961388">
        <w:rPr>
          <w:lang w:val="fr-CH"/>
        </w:rPr>
        <w:t>’</w:t>
      </w:r>
      <w:r w:rsidRPr="00961388">
        <w:rPr>
          <w:lang w:val="fr-CH"/>
        </w:rPr>
        <w:t>année 2010, la direction générale de l</w:t>
      </w:r>
      <w:r w:rsidR="00961388">
        <w:rPr>
          <w:lang w:val="fr-CH"/>
        </w:rPr>
        <w:t>’</w:t>
      </w:r>
      <w:r w:rsidRPr="00961388">
        <w:rPr>
          <w:lang w:val="fr-CH"/>
        </w:rPr>
        <w:t>administration et de la fonction Publique a reçu 1071 demandes dont 485 demandes pour la première fois et 586 demandes de renouvellement. Ces demandes seront soumises à l</w:t>
      </w:r>
      <w:r w:rsidR="00961388">
        <w:rPr>
          <w:lang w:val="fr-CH"/>
        </w:rPr>
        <w:t>’</w:t>
      </w:r>
      <w:r w:rsidRPr="00961388">
        <w:rPr>
          <w:lang w:val="fr-CH"/>
        </w:rPr>
        <w:t>avis d</w:t>
      </w:r>
      <w:r w:rsidR="00961388">
        <w:rPr>
          <w:lang w:val="fr-CH"/>
        </w:rPr>
        <w:t>’</w:t>
      </w:r>
      <w:r w:rsidRPr="00961388">
        <w:rPr>
          <w:lang w:val="fr-CH"/>
        </w:rPr>
        <w:t>une commission technique.</w:t>
      </w:r>
    </w:p>
    <w:p w:rsidR="00570B62" w:rsidRPr="00961388" w:rsidRDefault="00023EB3" w:rsidP="0080321A">
      <w:pPr>
        <w:pStyle w:val="H23G"/>
        <w:rPr>
          <w:lang w:val="fr-CH"/>
        </w:rPr>
      </w:pPr>
      <w:r>
        <w:rPr>
          <w:lang w:val="fr-CH"/>
        </w:rPr>
        <w:tab/>
      </w:r>
      <w:r>
        <w:rPr>
          <w:lang w:val="fr-CH"/>
        </w:rPr>
        <w:tab/>
      </w:r>
      <w:r w:rsidR="00570B62" w:rsidRPr="00961388">
        <w:rPr>
          <w:lang w:val="fr-CH"/>
        </w:rPr>
        <w:t>Réponse au paragraphe 27 de la liste de points à traiter</w:t>
      </w:r>
    </w:p>
    <w:p w:rsidR="00570B62" w:rsidRPr="00961388" w:rsidRDefault="00570B62" w:rsidP="0080321A">
      <w:pPr>
        <w:pStyle w:val="SingleTxtG"/>
        <w:keepNext/>
        <w:rPr>
          <w:lang w:val="fr-CH"/>
        </w:rPr>
      </w:pPr>
      <w:r w:rsidRPr="00961388">
        <w:rPr>
          <w:lang w:val="fr-CH"/>
        </w:rPr>
        <w:t>314.</w:t>
      </w:r>
      <w:r w:rsidRPr="00961388">
        <w:rPr>
          <w:lang w:val="fr-CH"/>
        </w:rPr>
        <w:tab/>
        <w:t xml:space="preserve">Les statistiques comparatives entre les secteurs informels et le secteur formel ne sont malencontreusement pas disponibles. Toutefois, les femmes travaillant dans le secteur informel bénéficient de la couverture sociale. </w:t>
      </w:r>
    </w:p>
    <w:p w:rsidR="00570B62" w:rsidRPr="00961388" w:rsidRDefault="00570B62" w:rsidP="00023EB3">
      <w:pPr>
        <w:pStyle w:val="SingleTxtG"/>
        <w:rPr>
          <w:lang w:val="fr-CH"/>
        </w:rPr>
      </w:pPr>
      <w:r w:rsidRPr="00961388">
        <w:rPr>
          <w:lang w:val="fr-CH"/>
        </w:rPr>
        <w:t>315.</w:t>
      </w:r>
      <w:r w:rsidRPr="00961388">
        <w:rPr>
          <w:lang w:val="fr-CH"/>
        </w:rPr>
        <w:tab/>
        <w:t>Néanmoins, l</w:t>
      </w:r>
      <w:r w:rsidR="00961388">
        <w:rPr>
          <w:lang w:val="fr-CH"/>
        </w:rPr>
        <w:t>’</w:t>
      </w:r>
      <w:r w:rsidRPr="00961388">
        <w:rPr>
          <w:lang w:val="fr-CH"/>
        </w:rPr>
        <w:t>analyse de l</w:t>
      </w:r>
      <w:r w:rsidR="00961388">
        <w:rPr>
          <w:lang w:val="fr-CH"/>
        </w:rPr>
        <w:t>’</w:t>
      </w:r>
      <w:r w:rsidRPr="00961388">
        <w:rPr>
          <w:lang w:val="fr-CH"/>
        </w:rPr>
        <w:t>emploi non structuré hors agriculture, est dans une grande mesure décrite par les caractéristiques de l</w:t>
      </w:r>
      <w:r w:rsidR="00961388">
        <w:rPr>
          <w:lang w:val="fr-CH"/>
        </w:rPr>
        <w:t>’</w:t>
      </w:r>
      <w:r w:rsidRPr="00961388">
        <w:rPr>
          <w:lang w:val="fr-CH"/>
        </w:rPr>
        <w:t>emploi dans les microentreprises (entreprise employant moins de 6 employés). Elle est révélatrice d</w:t>
      </w:r>
      <w:r w:rsidR="00961388">
        <w:rPr>
          <w:lang w:val="fr-CH"/>
        </w:rPr>
        <w:t>’</w:t>
      </w:r>
      <w:r w:rsidRPr="00961388">
        <w:rPr>
          <w:lang w:val="fr-CH"/>
        </w:rPr>
        <w:t>une position similaire à celle des hommes voire similaire à celle régnant dans le secteur structuré. En effet, il ressort d</w:t>
      </w:r>
      <w:r w:rsidR="00961388">
        <w:rPr>
          <w:lang w:val="fr-CH"/>
        </w:rPr>
        <w:t>’</w:t>
      </w:r>
      <w:r w:rsidRPr="00961388">
        <w:rPr>
          <w:lang w:val="fr-CH"/>
        </w:rPr>
        <w:t>une enquête réalisée en 2007 que la femme occupait 20,6</w:t>
      </w:r>
      <w:r w:rsidR="001973D8">
        <w:rPr>
          <w:lang w:val="fr-CH"/>
        </w:rPr>
        <w:t xml:space="preserve"> %</w:t>
      </w:r>
      <w:r w:rsidRPr="00961388">
        <w:rPr>
          <w:lang w:val="fr-CH"/>
        </w:rPr>
        <w:t xml:space="preserve"> de l</w:t>
      </w:r>
      <w:r w:rsidR="00961388">
        <w:rPr>
          <w:lang w:val="fr-CH"/>
        </w:rPr>
        <w:t>’</w:t>
      </w:r>
      <w:r w:rsidRPr="00961388">
        <w:rPr>
          <w:lang w:val="fr-CH"/>
        </w:rPr>
        <w:t>emploi dans la microentreprise.</w:t>
      </w:r>
    </w:p>
    <w:p w:rsidR="00570B62" w:rsidRPr="00961388" w:rsidRDefault="00570B62" w:rsidP="00023EB3">
      <w:pPr>
        <w:pStyle w:val="SingleTxtG"/>
        <w:rPr>
          <w:lang w:val="fr-CH"/>
        </w:rPr>
      </w:pPr>
      <w:r w:rsidRPr="00961388">
        <w:rPr>
          <w:lang w:val="fr-CH"/>
        </w:rPr>
        <w:t>316.</w:t>
      </w:r>
      <w:r w:rsidRPr="00961388">
        <w:rPr>
          <w:lang w:val="fr-CH"/>
        </w:rPr>
        <w:tab/>
        <w:t>La répartition des femmes dans les microentreprises est comme suit</w:t>
      </w:r>
      <w:r w:rsidR="00961388">
        <w:rPr>
          <w:lang w:val="fr-CH"/>
        </w:rPr>
        <w:t>:</w:t>
      </w:r>
      <w:r w:rsidRPr="00961388">
        <w:rPr>
          <w:lang w:val="fr-CH"/>
        </w:rPr>
        <w:t xml:space="preserve"> secteur des industries manufacturières (13,1</w:t>
      </w:r>
      <w:r w:rsidR="00023EB3">
        <w:rPr>
          <w:lang w:val="fr-CH"/>
        </w:rPr>
        <w:t xml:space="preserve"> </w:t>
      </w:r>
      <w:r w:rsidR="001973D8">
        <w:rPr>
          <w:lang w:val="fr-CH"/>
        </w:rPr>
        <w:t>%</w:t>
      </w:r>
      <w:r w:rsidRPr="00961388">
        <w:rPr>
          <w:lang w:val="fr-CH"/>
        </w:rPr>
        <w:t xml:space="preserve"> de la population), le secteur des constructions employant (0,2</w:t>
      </w:r>
      <w:r w:rsidR="00023EB3">
        <w:rPr>
          <w:lang w:val="fr-CH"/>
        </w:rPr>
        <w:t xml:space="preserve"> </w:t>
      </w:r>
      <w:r w:rsidR="001973D8">
        <w:rPr>
          <w:lang w:val="fr-CH"/>
        </w:rPr>
        <w:t>%</w:t>
      </w:r>
      <w:r w:rsidRPr="00961388">
        <w:rPr>
          <w:lang w:val="fr-CH"/>
        </w:rPr>
        <w:t>)</w:t>
      </w:r>
      <w:r w:rsidR="00961388">
        <w:rPr>
          <w:lang w:val="fr-CH"/>
        </w:rPr>
        <w:t>;</w:t>
      </w:r>
      <w:r w:rsidRPr="00961388">
        <w:rPr>
          <w:lang w:val="fr-CH"/>
        </w:rPr>
        <w:t xml:space="preserve"> les secteurs du commerce et des services accaparent respectivement 39,5</w:t>
      </w:r>
      <w:r w:rsidR="001973D8">
        <w:rPr>
          <w:lang w:val="fr-CH"/>
        </w:rPr>
        <w:t xml:space="preserve"> %</w:t>
      </w:r>
      <w:r w:rsidRPr="00961388">
        <w:rPr>
          <w:lang w:val="fr-CH"/>
        </w:rPr>
        <w:t xml:space="preserve"> et 47,2</w:t>
      </w:r>
      <w:r w:rsidR="00023EB3">
        <w:rPr>
          <w:lang w:val="fr-CH"/>
        </w:rPr>
        <w:t xml:space="preserve"> </w:t>
      </w:r>
      <w:r w:rsidR="001973D8">
        <w:rPr>
          <w:lang w:val="fr-CH"/>
        </w:rPr>
        <w:t>%</w:t>
      </w:r>
      <w:r w:rsidRPr="00961388">
        <w:rPr>
          <w:lang w:val="fr-CH"/>
        </w:rPr>
        <w:t xml:space="preserve"> de l</w:t>
      </w:r>
      <w:r w:rsidR="00961388">
        <w:rPr>
          <w:lang w:val="fr-CH"/>
        </w:rPr>
        <w:t>’</w:t>
      </w:r>
      <w:r w:rsidRPr="00961388">
        <w:rPr>
          <w:lang w:val="fr-CH"/>
        </w:rPr>
        <w:t>emploi total dans les microentreprises.</w:t>
      </w:r>
      <w:r w:rsidR="001973D8">
        <w:rPr>
          <w:lang w:val="fr-CH"/>
        </w:rPr>
        <w:t xml:space="preserve"> </w:t>
      </w:r>
    </w:p>
    <w:p w:rsidR="00570B62" w:rsidRPr="00961388" w:rsidRDefault="00570B62" w:rsidP="00023EB3">
      <w:pPr>
        <w:pStyle w:val="SingleTxtG"/>
        <w:rPr>
          <w:lang w:val="fr-CH"/>
        </w:rPr>
      </w:pPr>
      <w:r w:rsidRPr="00961388">
        <w:rPr>
          <w:lang w:val="fr-CH"/>
        </w:rPr>
        <w:t>317.</w:t>
      </w:r>
      <w:r w:rsidRPr="00961388">
        <w:rPr>
          <w:lang w:val="fr-CH"/>
        </w:rPr>
        <w:tab/>
        <w:t>La femme est essentiellement présente dans les secteurs traditionnels faisant travailler la main d</w:t>
      </w:r>
      <w:r w:rsidR="00961388">
        <w:rPr>
          <w:lang w:val="fr-CH"/>
        </w:rPr>
        <w:t>’</w:t>
      </w:r>
      <w:r w:rsidRPr="00961388">
        <w:rPr>
          <w:lang w:val="fr-CH"/>
        </w:rPr>
        <w:t>œuvre féminine à savoir les industries du textile, de l</w:t>
      </w:r>
      <w:r w:rsidR="00961388">
        <w:rPr>
          <w:lang w:val="fr-CH"/>
        </w:rPr>
        <w:t>’</w:t>
      </w:r>
      <w:r w:rsidRPr="00961388">
        <w:rPr>
          <w:lang w:val="fr-CH"/>
        </w:rPr>
        <w:t>habillement, du cuir et des chaussures où elle représente 52,7</w:t>
      </w:r>
      <w:r w:rsidR="001973D8">
        <w:rPr>
          <w:lang w:val="fr-CH"/>
        </w:rPr>
        <w:t xml:space="preserve"> %</w:t>
      </w:r>
      <w:r w:rsidRPr="00961388">
        <w:rPr>
          <w:lang w:val="fr-CH"/>
        </w:rPr>
        <w:t xml:space="preserve"> de l</w:t>
      </w:r>
      <w:r w:rsidR="00961388">
        <w:rPr>
          <w:lang w:val="fr-CH"/>
        </w:rPr>
        <w:t>’</w:t>
      </w:r>
      <w:r w:rsidRPr="00961388">
        <w:rPr>
          <w:lang w:val="fr-CH"/>
        </w:rPr>
        <w:t>emploi dans le secteur</w:t>
      </w:r>
      <w:r w:rsidR="00961388">
        <w:rPr>
          <w:lang w:val="fr-CH"/>
        </w:rPr>
        <w:t>;</w:t>
      </w:r>
      <w:r w:rsidRPr="00961388">
        <w:rPr>
          <w:lang w:val="fr-CH"/>
        </w:rPr>
        <w:t xml:space="preserve"> 37,1</w:t>
      </w:r>
      <w:r w:rsidR="001973D8">
        <w:rPr>
          <w:lang w:val="fr-CH"/>
        </w:rPr>
        <w:t xml:space="preserve"> %</w:t>
      </w:r>
      <w:r w:rsidRPr="00961388">
        <w:rPr>
          <w:lang w:val="fr-CH"/>
        </w:rPr>
        <w:t xml:space="preserve"> de l</w:t>
      </w:r>
      <w:r w:rsidR="00961388">
        <w:rPr>
          <w:lang w:val="fr-CH"/>
        </w:rPr>
        <w:t>’</w:t>
      </w:r>
      <w:r w:rsidRPr="00961388">
        <w:rPr>
          <w:lang w:val="fr-CH"/>
        </w:rPr>
        <w:t>emploi dans les services et en particulier les services aux personnes et respectivement 44,1</w:t>
      </w:r>
      <w:r w:rsidR="001973D8">
        <w:rPr>
          <w:lang w:val="fr-CH"/>
        </w:rPr>
        <w:t xml:space="preserve"> %</w:t>
      </w:r>
      <w:r w:rsidRPr="00961388">
        <w:rPr>
          <w:lang w:val="fr-CH"/>
        </w:rPr>
        <w:t xml:space="preserve"> et 47,7</w:t>
      </w:r>
      <w:r w:rsidR="001973D8">
        <w:rPr>
          <w:lang w:val="fr-CH"/>
        </w:rPr>
        <w:t xml:space="preserve"> %</w:t>
      </w:r>
      <w:r w:rsidRPr="00961388">
        <w:rPr>
          <w:lang w:val="fr-CH"/>
        </w:rPr>
        <w:t xml:space="preserve"> de l</w:t>
      </w:r>
      <w:r w:rsidR="00961388">
        <w:rPr>
          <w:lang w:val="fr-CH"/>
        </w:rPr>
        <w:t>’</w:t>
      </w:r>
      <w:r w:rsidRPr="00961388">
        <w:rPr>
          <w:lang w:val="fr-CH"/>
        </w:rPr>
        <w:t xml:space="preserve">emploi dans les communications et les autres services. </w:t>
      </w:r>
    </w:p>
    <w:p w:rsidR="00570B62" w:rsidRPr="00961388" w:rsidRDefault="00570B62" w:rsidP="00023EB3">
      <w:pPr>
        <w:pStyle w:val="SingleTxtG"/>
        <w:rPr>
          <w:lang w:val="fr-CH"/>
        </w:rPr>
      </w:pPr>
      <w:r w:rsidRPr="00961388">
        <w:rPr>
          <w:lang w:val="fr-CH"/>
        </w:rPr>
        <w:t>318.</w:t>
      </w:r>
      <w:r w:rsidRPr="00961388">
        <w:rPr>
          <w:lang w:val="fr-CH"/>
        </w:rPr>
        <w:tab/>
        <w:t>Les femmes sont peu présentes dans les secteurs de la construction et des industries de bois, de la métallurgie et du travail des métaux (respectivement 1,5</w:t>
      </w:r>
      <w:r w:rsidR="001973D8">
        <w:rPr>
          <w:lang w:val="fr-CH"/>
        </w:rPr>
        <w:t xml:space="preserve"> %</w:t>
      </w:r>
      <w:r w:rsidRPr="00961388">
        <w:rPr>
          <w:lang w:val="fr-CH"/>
        </w:rPr>
        <w:t>, 1,8</w:t>
      </w:r>
      <w:r w:rsidR="001973D8">
        <w:rPr>
          <w:lang w:val="fr-CH"/>
        </w:rPr>
        <w:t xml:space="preserve"> %</w:t>
      </w:r>
      <w:r w:rsidRPr="00961388">
        <w:rPr>
          <w:lang w:val="fr-CH"/>
        </w:rPr>
        <w:t xml:space="preserve"> et 0,4</w:t>
      </w:r>
      <w:r w:rsidR="001973D8">
        <w:rPr>
          <w:lang w:val="fr-CH"/>
        </w:rPr>
        <w:t xml:space="preserve"> %</w:t>
      </w:r>
      <w:r w:rsidRPr="00961388">
        <w:rPr>
          <w:lang w:val="fr-CH"/>
        </w:rPr>
        <w:t xml:space="preserve"> de effectifs employés).</w:t>
      </w:r>
    </w:p>
    <w:p w:rsidR="00570B62" w:rsidRPr="00961388" w:rsidRDefault="00570B62" w:rsidP="00023EB3">
      <w:pPr>
        <w:pStyle w:val="SingleTxtG"/>
        <w:rPr>
          <w:lang w:val="fr-CH"/>
        </w:rPr>
      </w:pPr>
      <w:r w:rsidRPr="00961388">
        <w:rPr>
          <w:lang w:val="fr-CH"/>
        </w:rPr>
        <w:t>319.</w:t>
      </w:r>
      <w:r w:rsidRPr="00961388">
        <w:rPr>
          <w:lang w:val="fr-CH"/>
        </w:rPr>
        <w:tab/>
        <w:t>Cette présence est confirmée par l</w:t>
      </w:r>
      <w:r w:rsidR="00961388">
        <w:rPr>
          <w:lang w:val="fr-CH"/>
        </w:rPr>
        <w:t>’</w:t>
      </w:r>
      <w:r w:rsidRPr="00961388">
        <w:rPr>
          <w:lang w:val="fr-CH"/>
        </w:rPr>
        <w:t>enquête nationale de l</w:t>
      </w:r>
      <w:r w:rsidR="00961388">
        <w:rPr>
          <w:lang w:val="fr-CH"/>
        </w:rPr>
        <w:t>’</w:t>
      </w:r>
      <w:r w:rsidRPr="00961388">
        <w:rPr>
          <w:lang w:val="fr-CH"/>
        </w:rPr>
        <w:t>emploi global de 2007 qui a montré que les femmes représentent respectivement 1,4</w:t>
      </w:r>
      <w:r w:rsidR="001973D8">
        <w:rPr>
          <w:lang w:val="fr-CH"/>
        </w:rPr>
        <w:t xml:space="preserve"> %</w:t>
      </w:r>
      <w:r w:rsidRPr="00961388">
        <w:rPr>
          <w:lang w:val="fr-CH"/>
        </w:rPr>
        <w:t xml:space="preserve"> de l</w:t>
      </w:r>
      <w:r w:rsidR="00961388">
        <w:rPr>
          <w:lang w:val="fr-CH"/>
        </w:rPr>
        <w:t>’</w:t>
      </w:r>
      <w:r w:rsidRPr="00961388">
        <w:rPr>
          <w:lang w:val="fr-CH"/>
        </w:rPr>
        <w:t>emploi dans le bâtiment et les travaux publics (BTP), 43,9</w:t>
      </w:r>
      <w:r w:rsidR="001973D8">
        <w:rPr>
          <w:lang w:val="fr-CH"/>
        </w:rPr>
        <w:t xml:space="preserve"> %</w:t>
      </w:r>
      <w:r w:rsidRPr="00961388">
        <w:rPr>
          <w:lang w:val="fr-CH"/>
        </w:rPr>
        <w:t xml:space="preserve"> dans les industries manufacturières en l</w:t>
      </w:r>
      <w:r w:rsidR="00961388">
        <w:rPr>
          <w:lang w:val="fr-CH"/>
        </w:rPr>
        <w:t>’</w:t>
      </w:r>
      <w:r w:rsidRPr="00961388">
        <w:rPr>
          <w:lang w:val="fr-CH"/>
        </w:rPr>
        <w:t>occurrence 73,3</w:t>
      </w:r>
      <w:r w:rsidR="008B7DE6">
        <w:rPr>
          <w:lang w:val="fr-CH"/>
        </w:rPr>
        <w:t> </w:t>
      </w:r>
      <w:r w:rsidR="001973D8">
        <w:rPr>
          <w:lang w:val="fr-CH"/>
        </w:rPr>
        <w:t>%</w:t>
      </w:r>
      <w:r w:rsidRPr="00961388">
        <w:rPr>
          <w:lang w:val="fr-CH"/>
        </w:rPr>
        <w:t xml:space="preserve"> dans le textile, habillement, cuir et chaussures et 24,4</w:t>
      </w:r>
      <w:r w:rsidR="001973D8">
        <w:rPr>
          <w:lang w:val="fr-CH"/>
        </w:rPr>
        <w:t xml:space="preserve"> %</w:t>
      </w:r>
      <w:r w:rsidRPr="00961388">
        <w:rPr>
          <w:lang w:val="fr-CH"/>
        </w:rPr>
        <w:t xml:space="preserve"> dans les services (contre 23,6</w:t>
      </w:r>
      <w:r w:rsidR="001973D8">
        <w:rPr>
          <w:lang w:val="fr-CH"/>
        </w:rPr>
        <w:t xml:space="preserve"> %</w:t>
      </w:r>
      <w:r w:rsidRPr="00961388">
        <w:rPr>
          <w:lang w:val="fr-CH"/>
        </w:rPr>
        <w:t xml:space="preserve"> dans les microentreprises).</w:t>
      </w:r>
    </w:p>
    <w:p w:rsidR="00570B62" w:rsidRPr="00961388" w:rsidRDefault="00570B62" w:rsidP="00023EB3">
      <w:pPr>
        <w:pStyle w:val="SingleTxtG"/>
        <w:rPr>
          <w:lang w:val="fr-CH"/>
        </w:rPr>
      </w:pPr>
      <w:r w:rsidRPr="00961388">
        <w:rPr>
          <w:lang w:val="fr-CH"/>
        </w:rPr>
        <w:t>320.</w:t>
      </w:r>
      <w:r w:rsidRPr="00961388">
        <w:rPr>
          <w:lang w:val="fr-CH"/>
        </w:rPr>
        <w:tab/>
        <w:t>Enfin, près de 33</w:t>
      </w:r>
      <w:r w:rsidR="001973D8">
        <w:rPr>
          <w:lang w:val="fr-CH"/>
        </w:rPr>
        <w:t xml:space="preserve"> %</w:t>
      </w:r>
      <w:r w:rsidRPr="00961388">
        <w:rPr>
          <w:lang w:val="fr-CH"/>
        </w:rPr>
        <w:t xml:space="preserve"> des crédits sont accordés par la Banque tunisienne de solidarité (BTS) aux femmes. 43,3</w:t>
      </w:r>
      <w:r w:rsidR="001973D8">
        <w:rPr>
          <w:lang w:val="fr-CH"/>
        </w:rPr>
        <w:t xml:space="preserve"> %</w:t>
      </w:r>
      <w:r w:rsidRPr="00961388">
        <w:rPr>
          <w:lang w:val="fr-CH"/>
        </w:rPr>
        <w:t xml:space="preserve"> des femmes se retrouvent dans des petits métiers, 35,2</w:t>
      </w:r>
      <w:r w:rsidR="001973D8">
        <w:rPr>
          <w:lang w:val="fr-CH"/>
        </w:rPr>
        <w:t xml:space="preserve"> %</w:t>
      </w:r>
      <w:r w:rsidRPr="00961388">
        <w:rPr>
          <w:lang w:val="fr-CH"/>
        </w:rPr>
        <w:t xml:space="preserve"> dans les services, 15,9</w:t>
      </w:r>
      <w:r w:rsidR="001973D8">
        <w:rPr>
          <w:lang w:val="fr-CH"/>
        </w:rPr>
        <w:t xml:space="preserve"> %</w:t>
      </w:r>
      <w:r w:rsidRPr="00961388">
        <w:rPr>
          <w:lang w:val="fr-CH"/>
        </w:rPr>
        <w:t xml:space="preserve"> dans les secteurs agricoles, 5,6</w:t>
      </w:r>
      <w:r w:rsidR="001973D8">
        <w:rPr>
          <w:lang w:val="fr-CH"/>
        </w:rPr>
        <w:t xml:space="preserve"> %</w:t>
      </w:r>
      <w:r w:rsidRPr="00961388">
        <w:rPr>
          <w:lang w:val="fr-CH"/>
        </w:rPr>
        <w:t xml:space="preserve"> dans l</w:t>
      </w:r>
      <w:r w:rsidR="00961388">
        <w:rPr>
          <w:lang w:val="fr-CH"/>
        </w:rPr>
        <w:t>’</w:t>
      </w:r>
      <w:r w:rsidRPr="00961388">
        <w:rPr>
          <w:lang w:val="fr-CH"/>
        </w:rPr>
        <w:t>artisanat et 38</w:t>
      </w:r>
      <w:r w:rsidR="001973D8">
        <w:rPr>
          <w:lang w:val="fr-CH"/>
        </w:rPr>
        <w:t xml:space="preserve"> %</w:t>
      </w:r>
      <w:r w:rsidRPr="00961388">
        <w:rPr>
          <w:lang w:val="fr-CH"/>
        </w:rPr>
        <w:t xml:space="preserve"> des femmes ont bénéficié de microcrédits.</w:t>
      </w:r>
    </w:p>
    <w:p w:rsidR="00570B62" w:rsidRPr="00961388" w:rsidRDefault="00023EB3" w:rsidP="00023EB3">
      <w:pPr>
        <w:pStyle w:val="H23G"/>
        <w:rPr>
          <w:rtl/>
          <w:lang w:val="fr-CH"/>
        </w:rPr>
      </w:pPr>
      <w:r>
        <w:rPr>
          <w:lang w:val="fr-CH"/>
        </w:rPr>
        <w:tab/>
      </w:r>
      <w:r>
        <w:rPr>
          <w:lang w:val="fr-CH"/>
        </w:rPr>
        <w:tab/>
      </w:r>
      <w:r w:rsidR="00570B62" w:rsidRPr="00961388">
        <w:rPr>
          <w:lang w:val="fr-CH"/>
        </w:rPr>
        <w:t xml:space="preserve">Réponse au paragraphe 28 de la liste de points </w:t>
      </w:r>
      <w:r w:rsidR="00910D7D">
        <w:rPr>
          <w:lang w:val="fr-CH"/>
        </w:rPr>
        <w:t>à traiter</w:t>
      </w:r>
    </w:p>
    <w:p w:rsidR="00570B62" w:rsidRPr="00961388" w:rsidRDefault="00570B62" w:rsidP="00023EB3">
      <w:pPr>
        <w:pStyle w:val="SingleTxtG"/>
        <w:rPr>
          <w:lang w:val="fr-CH"/>
        </w:rPr>
      </w:pPr>
      <w:r w:rsidRPr="00961388">
        <w:rPr>
          <w:lang w:val="fr-CH"/>
        </w:rPr>
        <w:t>321.</w:t>
      </w:r>
      <w:r w:rsidRPr="00961388">
        <w:rPr>
          <w:lang w:val="fr-CH"/>
        </w:rPr>
        <w:tab/>
        <w:t>Bien que le rapport ait révélé que le taux d</w:t>
      </w:r>
      <w:r w:rsidR="00961388">
        <w:rPr>
          <w:lang w:val="fr-CH"/>
        </w:rPr>
        <w:t>’</w:t>
      </w:r>
      <w:r w:rsidRPr="00961388">
        <w:rPr>
          <w:lang w:val="fr-CH"/>
        </w:rPr>
        <w:t>activité des femmes analphabètes ou ayant reçu une instruction primaire ou secondaire est plus élevé que celui des femmes ayant suivi des études supérieures, il sied néanmoins de rappeler, que le même rapport n</w:t>
      </w:r>
      <w:r w:rsidR="00961388">
        <w:rPr>
          <w:lang w:val="fr-CH"/>
        </w:rPr>
        <w:t>’</w:t>
      </w:r>
      <w:r w:rsidRPr="00961388">
        <w:rPr>
          <w:lang w:val="fr-CH"/>
        </w:rPr>
        <w:t>a pas manqué de souligner que le taux d</w:t>
      </w:r>
      <w:r w:rsidR="00961388">
        <w:rPr>
          <w:lang w:val="fr-CH"/>
        </w:rPr>
        <w:t>’</w:t>
      </w:r>
      <w:r w:rsidRPr="00961388">
        <w:rPr>
          <w:lang w:val="fr-CH"/>
        </w:rPr>
        <w:t>occupation de la population féminine analphabète a diminué. Ceci s</w:t>
      </w:r>
      <w:r w:rsidR="00961388">
        <w:rPr>
          <w:lang w:val="fr-CH"/>
        </w:rPr>
        <w:t>’</w:t>
      </w:r>
      <w:r w:rsidRPr="00961388">
        <w:rPr>
          <w:lang w:val="fr-CH"/>
        </w:rPr>
        <w:t>explique par le recul de l</w:t>
      </w:r>
      <w:r w:rsidR="00961388">
        <w:rPr>
          <w:lang w:val="fr-CH"/>
        </w:rPr>
        <w:t>’</w:t>
      </w:r>
      <w:r w:rsidRPr="00961388">
        <w:rPr>
          <w:lang w:val="fr-CH"/>
        </w:rPr>
        <w:t>alphabétisation féminine et une augmentation du taux d</w:t>
      </w:r>
      <w:r w:rsidR="00961388">
        <w:rPr>
          <w:lang w:val="fr-CH"/>
        </w:rPr>
        <w:t>’</w:t>
      </w:r>
      <w:r w:rsidRPr="00961388">
        <w:rPr>
          <w:lang w:val="fr-CH"/>
        </w:rPr>
        <w:t>occupation de la femme ayant un niveau d</w:t>
      </w:r>
      <w:r w:rsidR="00961388">
        <w:rPr>
          <w:lang w:val="fr-CH"/>
        </w:rPr>
        <w:t>’</w:t>
      </w:r>
      <w:r w:rsidRPr="00961388">
        <w:rPr>
          <w:lang w:val="fr-CH"/>
        </w:rPr>
        <w:t>instruction supérieur.</w:t>
      </w:r>
    </w:p>
    <w:p w:rsidR="00570B62" w:rsidRPr="00961388" w:rsidRDefault="00570B62" w:rsidP="00023EB3">
      <w:pPr>
        <w:pStyle w:val="SingleTxtG"/>
        <w:rPr>
          <w:lang w:val="fr-CH"/>
        </w:rPr>
      </w:pPr>
      <w:r w:rsidRPr="00961388">
        <w:rPr>
          <w:lang w:val="fr-CH"/>
        </w:rPr>
        <w:t>322.</w:t>
      </w:r>
      <w:r w:rsidRPr="00961388">
        <w:rPr>
          <w:lang w:val="fr-CH"/>
        </w:rPr>
        <w:tab/>
        <w:t>En effet, dans le cadre du suivi de la recommandation du CEDAW «encourageant l</w:t>
      </w:r>
      <w:r w:rsidR="00961388">
        <w:rPr>
          <w:lang w:val="fr-CH"/>
        </w:rPr>
        <w:t>’</w:t>
      </w:r>
      <w:r w:rsidRPr="00961388">
        <w:rPr>
          <w:lang w:val="fr-CH"/>
        </w:rPr>
        <w:t>État partie à poursuivre la mise en œuvre des programmes visant spécialement à réduire l</w:t>
      </w:r>
      <w:r w:rsidR="00961388">
        <w:rPr>
          <w:lang w:val="fr-CH"/>
        </w:rPr>
        <w:t>’</w:t>
      </w:r>
      <w:r w:rsidRPr="00961388">
        <w:rPr>
          <w:lang w:val="fr-CH"/>
        </w:rPr>
        <w:t>analphabétisme chez les femmes, en particulier les femmes rurales et les femmes âgées</w:t>
      </w:r>
      <w:r w:rsidR="00961388">
        <w:rPr>
          <w:lang w:val="fr-CH"/>
        </w:rPr>
        <w:t>»</w:t>
      </w:r>
      <w:r w:rsidRPr="00961388">
        <w:rPr>
          <w:lang w:val="fr-CH"/>
        </w:rPr>
        <w:t xml:space="preserve"> (voir les observations finales du Comité pour l</w:t>
      </w:r>
      <w:r w:rsidR="00961388">
        <w:rPr>
          <w:lang w:val="fr-CH"/>
        </w:rPr>
        <w:t>’</w:t>
      </w:r>
      <w:r w:rsidRPr="00961388">
        <w:rPr>
          <w:lang w:val="fr-CH"/>
        </w:rPr>
        <w:t>élimination de la discrimination à l</w:t>
      </w:r>
      <w:r w:rsidR="00961388">
        <w:rPr>
          <w:lang w:val="fr-CH"/>
        </w:rPr>
        <w:t>’</w:t>
      </w:r>
      <w:r w:rsidRPr="00961388">
        <w:rPr>
          <w:lang w:val="fr-CH"/>
        </w:rPr>
        <w:t>égard des femmes à l</w:t>
      </w:r>
      <w:r w:rsidR="00961388">
        <w:rPr>
          <w:lang w:val="fr-CH"/>
        </w:rPr>
        <w:t>’</w:t>
      </w:r>
      <w:r w:rsidRPr="00961388">
        <w:rPr>
          <w:lang w:val="fr-CH"/>
        </w:rPr>
        <w:t>issue de son examen des troisième et quatrième rapports périodiques combinés de la Tunisie, le 14 juin 2002</w:t>
      </w:r>
      <w:r w:rsidR="00961388">
        <w:rPr>
          <w:lang w:val="fr-CH"/>
        </w:rPr>
        <w:t>,</w:t>
      </w:r>
      <w:r w:rsidRPr="00961388">
        <w:rPr>
          <w:lang w:val="fr-CH"/>
        </w:rPr>
        <w:t xml:space="preserve"> A/57/38, par.</w:t>
      </w:r>
      <w:r w:rsidR="00C11D78">
        <w:rPr>
          <w:lang w:val="fr-CH"/>
        </w:rPr>
        <w:t xml:space="preserve"> </w:t>
      </w:r>
      <w:r w:rsidRPr="00961388">
        <w:rPr>
          <w:lang w:val="fr-CH"/>
        </w:rPr>
        <w:t>203), l</w:t>
      </w:r>
      <w:r w:rsidR="00961388">
        <w:rPr>
          <w:lang w:val="fr-CH"/>
        </w:rPr>
        <w:t>’</w:t>
      </w:r>
      <w:r w:rsidRPr="00961388">
        <w:rPr>
          <w:lang w:val="fr-CH"/>
        </w:rPr>
        <w:t>analphabétisme féminin a enregistré, au cours de la période couverte par le rapport, des baisses conséquentes grâce aux différentes actions spécifiques conduites à l</w:t>
      </w:r>
      <w:r w:rsidR="00961388">
        <w:rPr>
          <w:lang w:val="fr-CH"/>
        </w:rPr>
        <w:t>’</w:t>
      </w:r>
      <w:r w:rsidRPr="00961388">
        <w:rPr>
          <w:lang w:val="fr-CH"/>
        </w:rPr>
        <w:t>effet d</w:t>
      </w:r>
      <w:r w:rsidR="00961388">
        <w:rPr>
          <w:lang w:val="fr-CH"/>
        </w:rPr>
        <w:t>’</w:t>
      </w:r>
      <w:r w:rsidRPr="00961388">
        <w:rPr>
          <w:lang w:val="fr-CH"/>
        </w:rPr>
        <w:t>éradiquer ce phénomène.</w:t>
      </w:r>
    </w:p>
    <w:p w:rsidR="00570B62" w:rsidRPr="00961388" w:rsidRDefault="00570B62" w:rsidP="00023EB3">
      <w:pPr>
        <w:pStyle w:val="SingleTxtG"/>
        <w:rPr>
          <w:lang w:val="fr-CH"/>
        </w:rPr>
      </w:pPr>
      <w:r w:rsidRPr="00961388">
        <w:rPr>
          <w:lang w:val="fr-CH"/>
        </w:rPr>
        <w:t>323.</w:t>
      </w:r>
      <w:r w:rsidRPr="00961388">
        <w:rPr>
          <w:lang w:val="fr-CH"/>
        </w:rPr>
        <w:tab/>
        <w:t>Un Programme national d</w:t>
      </w:r>
      <w:r w:rsidR="00961388">
        <w:rPr>
          <w:lang w:val="fr-CH"/>
        </w:rPr>
        <w:t>’</w:t>
      </w:r>
      <w:r w:rsidRPr="00961388">
        <w:rPr>
          <w:lang w:val="fr-CH"/>
        </w:rPr>
        <w:t>enseignement pour les adultes (PNEA) a été mis en place en 2000 visant à libérer de l</w:t>
      </w:r>
      <w:r w:rsidR="00961388">
        <w:rPr>
          <w:lang w:val="fr-CH"/>
        </w:rPr>
        <w:t>’</w:t>
      </w:r>
      <w:r w:rsidRPr="00961388">
        <w:rPr>
          <w:lang w:val="fr-CH"/>
        </w:rPr>
        <w:t>analphabétisme en priorité les jeunes et les femmes qui se trouvent particulièrement en milieu rural. De plus, le PNEA a étendu, dernièrement, son activité aux ouvrières analphabètes travaillant dans les entreprises économiques et dans les structures publiques, et a réussi à intégrer davantage l</w:t>
      </w:r>
      <w:r w:rsidR="00961388">
        <w:rPr>
          <w:lang w:val="fr-CH"/>
        </w:rPr>
        <w:t>’</w:t>
      </w:r>
      <w:r w:rsidRPr="00961388">
        <w:rPr>
          <w:lang w:val="fr-CH"/>
        </w:rPr>
        <w:t>apprentissage professionnel au profit des apprenants et plus particulièrement les jeunes filles.</w:t>
      </w:r>
    </w:p>
    <w:p w:rsidR="00570B62" w:rsidRPr="00961388" w:rsidRDefault="00570B62" w:rsidP="00023EB3">
      <w:pPr>
        <w:pStyle w:val="SingleTxtG"/>
        <w:rPr>
          <w:lang w:val="fr-CH"/>
        </w:rPr>
      </w:pPr>
      <w:r w:rsidRPr="00961388">
        <w:rPr>
          <w:lang w:val="fr-CH"/>
        </w:rPr>
        <w:t>324.</w:t>
      </w:r>
      <w:r w:rsidRPr="00961388">
        <w:rPr>
          <w:lang w:val="fr-CH"/>
        </w:rPr>
        <w:tab/>
        <w:t>En conséquence, le taux des femmes bénéficiaires dudit programme a sensiblement augmenté. En 2006/2007, les femmes représentent 79,6</w:t>
      </w:r>
      <w:r w:rsidR="001973D8">
        <w:rPr>
          <w:lang w:val="fr-CH"/>
        </w:rPr>
        <w:t xml:space="preserve"> %</w:t>
      </w:r>
      <w:r w:rsidRPr="00961388">
        <w:rPr>
          <w:lang w:val="fr-CH"/>
        </w:rPr>
        <w:t xml:space="preserve"> de l</w:t>
      </w:r>
      <w:r w:rsidR="00961388">
        <w:rPr>
          <w:lang w:val="fr-CH"/>
        </w:rPr>
        <w:t>’</w:t>
      </w:r>
      <w:r w:rsidRPr="00961388">
        <w:rPr>
          <w:lang w:val="fr-CH"/>
        </w:rPr>
        <w:t>effectif total des apprenants. Ceci a contribué à une nette baisse du taux d</w:t>
      </w:r>
      <w:r w:rsidR="00961388">
        <w:rPr>
          <w:lang w:val="fr-CH"/>
        </w:rPr>
        <w:t>’</w:t>
      </w:r>
      <w:r w:rsidRPr="00961388">
        <w:rPr>
          <w:lang w:val="fr-CH"/>
        </w:rPr>
        <w:t>analphabétisme chez la femme passant de 36</w:t>
      </w:r>
      <w:r w:rsidR="00C11D78">
        <w:rPr>
          <w:lang w:val="fr-CH"/>
        </w:rPr>
        <w:t> </w:t>
      </w:r>
      <w:r w:rsidR="001973D8">
        <w:rPr>
          <w:lang w:val="fr-CH"/>
        </w:rPr>
        <w:t>%</w:t>
      </w:r>
      <w:r w:rsidRPr="00961388">
        <w:rPr>
          <w:lang w:val="fr-CH"/>
        </w:rPr>
        <w:t xml:space="preserve"> en 1999 à 28,7</w:t>
      </w:r>
      <w:r w:rsidR="001973D8">
        <w:rPr>
          <w:lang w:val="fr-CH"/>
        </w:rPr>
        <w:t xml:space="preserve"> %</w:t>
      </w:r>
      <w:r w:rsidRPr="00961388">
        <w:rPr>
          <w:lang w:val="fr-CH"/>
        </w:rPr>
        <w:t xml:space="preserve"> en 2006. </w:t>
      </w:r>
    </w:p>
    <w:p w:rsidR="00570B62" w:rsidRPr="00961388" w:rsidRDefault="00570B62" w:rsidP="00023EB3">
      <w:pPr>
        <w:pStyle w:val="SingleTxtG"/>
        <w:rPr>
          <w:lang w:val="fr-CH"/>
        </w:rPr>
      </w:pPr>
      <w:r w:rsidRPr="00961388">
        <w:rPr>
          <w:lang w:val="fr-CH"/>
        </w:rPr>
        <w:t>325.</w:t>
      </w:r>
      <w:r w:rsidRPr="00961388">
        <w:rPr>
          <w:lang w:val="fr-CH"/>
        </w:rPr>
        <w:tab/>
        <w:t>Cet état de fait a révélé qu</w:t>
      </w:r>
      <w:r w:rsidR="00961388">
        <w:rPr>
          <w:lang w:val="fr-CH"/>
        </w:rPr>
        <w:t>’</w:t>
      </w:r>
      <w:r w:rsidRPr="00961388">
        <w:rPr>
          <w:lang w:val="fr-CH"/>
        </w:rPr>
        <w:t>en effet, et selon une nouvelle enquête emploi de 2007 portant sur les taux d</w:t>
      </w:r>
      <w:r w:rsidR="00961388">
        <w:rPr>
          <w:lang w:val="fr-CH"/>
        </w:rPr>
        <w:t>’</w:t>
      </w:r>
      <w:r w:rsidRPr="00961388">
        <w:rPr>
          <w:lang w:val="fr-CH"/>
        </w:rPr>
        <w:t>activités féminines selon les niveaux d</w:t>
      </w:r>
      <w:r w:rsidR="00961388">
        <w:rPr>
          <w:lang w:val="fr-CH"/>
        </w:rPr>
        <w:t>’</w:t>
      </w:r>
      <w:r w:rsidRPr="00961388">
        <w:rPr>
          <w:lang w:val="fr-CH"/>
        </w:rPr>
        <w:t>instruction, plus le niveau d</w:t>
      </w:r>
      <w:r w:rsidR="00961388">
        <w:rPr>
          <w:lang w:val="fr-CH"/>
        </w:rPr>
        <w:t>’</w:t>
      </w:r>
      <w:r w:rsidRPr="00961388">
        <w:rPr>
          <w:lang w:val="fr-CH"/>
        </w:rPr>
        <w:t>instruction est élevé, plus le taux d</w:t>
      </w:r>
      <w:r w:rsidR="00961388">
        <w:rPr>
          <w:lang w:val="fr-CH"/>
        </w:rPr>
        <w:t>’</w:t>
      </w:r>
      <w:r w:rsidRPr="00961388">
        <w:rPr>
          <w:lang w:val="fr-CH"/>
        </w:rPr>
        <w:t>activité est en hausse. Ces taux se présentent en 2007 comme suit</w:t>
      </w:r>
      <w:r w:rsidR="00961388">
        <w:rPr>
          <w:lang w:val="fr-CH"/>
        </w:rPr>
        <w:t>:</w:t>
      </w:r>
    </w:p>
    <w:p w:rsidR="00570B62" w:rsidRPr="00023EB3" w:rsidRDefault="00570B62" w:rsidP="00023EB3">
      <w:pPr>
        <w:pStyle w:val="SingleTxtG"/>
        <w:rPr>
          <w:b/>
          <w:lang w:val="fr-CH"/>
        </w:rPr>
      </w:pPr>
      <w:r w:rsidRPr="00023EB3">
        <w:rPr>
          <w:b/>
          <w:lang w:val="fr-CH"/>
        </w:rPr>
        <w:t>Taux d</w:t>
      </w:r>
      <w:r w:rsidR="00961388" w:rsidRPr="00023EB3">
        <w:rPr>
          <w:b/>
          <w:lang w:val="fr-CH"/>
        </w:rPr>
        <w:t>’</w:t>
      </w:r>
      <w:r w:rsidRPr="00023EB3">
        <w:rPr>
          <w:b/>
          <w:lang w:val="fr-CH"/>
        </w:rPr>
        <w:t>activité féminin selon le niveau d</w:t>
      </w:r>
      <w:r w:rsidR="00961388" w:rsidRPr="00023EB3">
        <w:rPr>
          <w:b/>
          <w:lang w:val="fr-CH"/>
        </w:rPr>
        <w:t>’</w:t>
      </w:r>
      <w:r w:rsidRPr="00023EB3">
        <w:rPr>
          <w:b/>
          <w:lang w:val="fr-CH"/>
        </w:rPr>
        <w:t>instruction en 2007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067"/>
        <w:gridCol w:w="3303"/>
      </w:tblGrid>
      <w:tr w:rsidR="00570B62" w:rsidRPr="0080321A" w:rsidTr="0080321A">
        <w:trPr>
          <w:tblHeader/>
        </w:trPr>
        <w:tc>
          <w:tcPr>
            <w:tcW w:w="3143" w:type="dxa"/>
            <w:tcBorders>
              <w:top w:val="single" w:sz="4" w:space="0" w:color="auto"/>
              <w:bottom w:val="single" w:sz="12" w:space="0" w:color="auto"/>
            </w:tcBorders>
            <w:shd w:val="clear" w:color="auto" w:fill="auto"/>
            <w:vAlign w:val="bottom"/>
          </w:tcPr>
          <w:p w:rsidR="00570B62" w:rsidRPr="0080321A" w:rsidRDefault="00570B62" w:rsidP="0080321A">
            <w:pPr>
              <w:spacing w:before="80" w:after="80" w:line="200" w:lineRule="exact"/>
              <w:rPr>
                <w:i/>
                <w:iCs/>
                <w:sz w:val="16"/>
                <w:lang w:val="fr-CH"/>
              </w:rPr>
            </w:pPr>
          </w:p>
        </w:tc>
        <w:tc>
          <w:tcPr>
            <w:tcW w:w="2552" w:type="dxa"/>
            <w:tcBorders>
              <w:top w:val="single" w:sz="4" w:space="0" w:color="auto"/>
              <w:bottom w:val="single" w:sz="12" w:space="0" w:color="auto"/>
            </w:tcBorders>
            <w:shd w:val="clear" w:color="auto" w:fill="auto"/>
            <w:vAlign w:val="bottom"/>
          </w:tcPr>
          <w:p w:rsidR="00570B62" w:rsidRPr="0080321A" w:rsidRDefault="00570B62" w:rsidP="0080321A">
            <w:pPr>
              <w:spacing w:before="80" w:after="80" w:line="200" w:lineRule="exact"/>
              <w:jc w:val="right"/>
              <w:rPr>
                <w:i/>
                <w:sz w:val="16"/>
                <w:lang w:val="fr-CH"/>
              </w:rPr>
            </w:pPr>
            <w:r w:rsidRPr="0080321A">
              <w:rPr>
                <w:i/>
                <w:sz w:val="16"/>
                <w:lang w:val="fr-CH"/>
              </w:rPr>
              <w:t xml:space="preserve">2007 </w:t>
            </w:r>
          </w:p>
        </w:tc>
      </w:tr>
      <w:tr w:rsidR="00570B62" w:rsidRPr="0080321A" w:rsidTr="0080321A">
        <w:tc>
          <w:tcPr>
            <w:tcW w:w="3143" w:type="dxa"/>
            <w:tcBorders>
              <w:top w:val="single" w:sz="12" w:space="0" w:color="auto"/>
            </w:tcBorders>
            <w:shd w:val="clear" w:color="auto" w:fill="auto"/>
          </w:tcPr>
          <w:p w:rsidR="00570B62" w:rsidRPr="0080321A" w:rsidRDefault="00570B62" w:rsidP="0080321A">
            <w:pPr>
              <w:spacing w:before="40" w:after="40" w:line="220" w:lineRule="exact"/>
              <w:rPr>
                <w:sz w:val="18"/>
                <w:lang w:val="fr-CH"/>
              </w:rPr>
            </w:pPr>
            <w:r w:rsidRPr="0080321A">
              <w:rPr>
                <w:sz w:val="18"/>
                <w:lang w:val="fr-CH"/>
              </w:rPr>
              <w:t xml:space="preserve">Analphabète </w:t>
            </w:r>
          </w:p>
        </w:tc>
        <w:tc>
          <w:tcPr>
            <w:tcW w:w="2552" w:type="dxa"/>
            <w:tcBorders>
              <w:top w:val="single" w:sz="12" w:space="0" w:color="auto"/>
            </w:tcBorders>
            <w:shd w:val="clear" w:color="auto" w:fill="auto"/>
            <w:vAlign w:val="bottom"/>
          </w:tcPr>
          <w:p w:rsidR="00570B62" w:rsidRPr="0080321A" w:rsidRDefault="00570B62" w:rsidP="0080321A">
            <w:pPr>
              <w:spacing w:before="40" w:after="40" w:line="220" w:lineRule="exact"/>
              <w:jc w:val="right"/>
              <w:rPr>
                <w:sz w:val="18"/>
                <w:lang w:val="fr-CH"/>
              </w:rPr>
            </w:pPr>
            <w:r w:rsidRPr="0080321A">
              <w:rPr>
                <w:sz w:val="18"/>
                <w:lang w:val="fr-CH"/>
              </w:rPr>
              <w:t>12,6</w:t>
            </w:r>
          </w:p>
        </w:tc>
      </w:tr>
      <w:tr w:rsidR="00570B62" w:rsidRPr="0080321A" w:rsidTr="0080321A">
        <w:tc>
          <w:tcPr>
            <w:tcW w:w="3143" w:type="dxa"/>
            <w:shd w:val="clear" w:color="auto" w:fill="auto"/>
          </w:tcPr>
          <w:p w:rsidR="00570B62" w:rsidRPr="0080321A" w:rsidRDefault="00570B62" w:rsidP="0080321A">
            <w:pPr>
              <w:spacing w:before="40" w:after="40" w:line="220" w:lineRule="exact"/>
              <w:rPr>
                <w:sz w:val="18"/>
                <w:lang w:val="fr-CH"/>
              </w:rPr>
            </w:pPr>
            <w:r w:rsidRPr="0080321A">
              <w:rPr>
                <w:sz w:val="18"/>
                <w:lang w:val="fr-CH"/>
              </w:rPr>
              <w:t xml:space="preserve">Primaire </w:t>
            </w:r>
          </w:p>
        </w:tc>
        <w:tc>
          <w:tcPr>
            <w:tcW w:w="2552" w:type="dxa"/>
            <w:shd w:val="clear" w:color="auto" w:fill="auto"/>
            <w:vAlign w:val="bottom"/>
          </w:tcPr>
          <w:p w:rsidR="00570B62" w:rsidRPr="0080321A" w:rsidRDefault="00570B62" w:rsidP="0080321A">
            <w:pPr>
              <w:spacing w:before="40" w:after="40" w:line="220" w:lineRule="exact"/>
              <w:jc w:val="right"/>
              <w:rPr>
                <w:sz w:val="18"/>
                <w:lang w:val="fr-CH"/>
              </w:rPr>
            </w:pPr>
            <w:r w:rsidRPr="0080321A">
              <w:rPr>
                <w:sz w:val="18"/>
                <w:lang w:val="fr-CH"/>
              </w:rPr>
              <w:t>26,0</w:t>
            </w:r>
          </w:p>
        </w:tc>
      </w:tr>
      <w:tr w:rsidR="00570B62" w:rsidRPr="0080321A" w:rsidTr="0080321A">
        <w:tc>
          <w:tcPr>
            <w:tcW w:w="3143" w:type="dxa"/>
            <w:shd w:val="clear" w:color="auto" w:fill="auto"/>
          </w:tcPr>
          <w:p w:rsidR="00570B62" w:rsidRPr="0080321A" w:rsidRDefault="00570B62" w:rsidP="0080321A">
            <w:pPr>
              <w:spacing w:before="40" w:after="40" w:line="220" w:lineRule="exact"/>
              <w:rPr>
                <w:sz w:val="18"/>
                <w:lang w:val="fr-CH"/>
              </w:rPr>
            </w:pPr>
            <w:r w:rsidRPr="0080321A">
              <w:rPr>
                <w:sz w:val="18"/>
                <w:lang w:val="fr-CH"/>
              </w:rPr>
              <w:t>Secondaire</w:t>
            </w:r>
          </w:p>
        </w:tc>
        <w:tc>
          <w:tcPr>
            <w:tcW w:w="2552" w:type="dxa"/>
            <w:shd w:val="clear" w:color="auto" w:fill="auto"/>
            <w:vAlign w:val="bottom"/>
          </w:tcPr>
          <w:p w:rsidR="00570B62" w:rsidRPr="0080321A" w:rsidRDefault="00570B62" w:rsidP="0080321A">
            <w:pPr>
              <w:spacing w:before="40" w:after="40" w:line="220" w:lineRule="exact"/>
              <w:jc w:val="right"/>
              <w:rPr>
                <w:sz w:val="18"/>
                <w:lang w:val="fr-CH"/>
              </w:rPr>
            </w:pPr>
            <w:r w:rsidRPr="0080321A">
              <w:rPr>
                <w:sz w:val="18"/>
                <w:lang w:val="fr-CH"/>
              </w:rPr>
              <w:t>27,7</w:t>
            </w:r>
          </w:p>
        </w:tc>
      </w:tr>
      <w:tr w:rsidR="00570B62" w:rsidRPr="0080321A" w:rsidTr="0080321A">
        <w:tc>
          <w:tcPr>
            <w:tcW w:w="3143" w:type="dxa"/>
            <w:shd w:val="clear" w:color="auto" w:fill="auto"/>
          </w:tcPr>
          <w:p w:rsidR="00570B62" w:rsidRPr="0080321A" w:rsidRDefault="00570B62" w:rsidP="0080321A">
            <w:pPr>
              <w:spacing w:before="40" w:after="40" w:line="220" w:lineRule="exact"/>
              <w:rPr>
                <w:sz w:val="18"/>
                <w:lang w:val="fr-CH"/>
              </w:rPr>
            </w:pPr>
            <w:r w:rsidRPr="0080321A">
              <w:rPr>
                <w:sz w:val="18"/>
                <w:lang w:val="fr-CH"/>
              </w:rPr>
              <w:t>Supérieur</w:t>
            </w:r>
          </w:p>
        </w:tc>
        <w:tc>
          <w:tcPr>
            <w:tcW w:w="2552" w:type="dxa"/>
            <w:shd w:val="clear" w:color="auto" w:fill="auto"/>
            <w:vAlign w:val="bottom"/>
          </w:tcPr>
          <w:p w:rsidR="00570B62" w:rsidRPr="0080321A" w:rsidRDefault="00570B62" w:rsidP="0080321A">
            <w:pPr>
              <w:spacing w:before="40" w:after="40" w:line="220" w:lineRule="exact"/>
              <w:jc w:val="right"/>
              <w:rPr>
                <w:sz w:val="18"/>
                <w:lang w:val="fr-CH"/>
              </w:rPr>
            </w:pPr>
            <w:r w:rsidRPr="0080321A">
              <w:rPr>
                <w:sz w:val="18"/>
                <w:lang w:val="fr-CH"/>
              </w:rPr>
              <w:t>56,3</w:t>
            </w:r>
          </w:p>
        </w:tc>
      </w:tr>
    </w:tbl>
    <w:p w:rsidR="00570B62" w:rsidRPr="00961388" w:rsidRDefault="00570B62" w:rsidP="00023EB3">
      <w:pPr>
        <w:pStyle w:val="H1G"/>
        <w:rPr>
          <w:lang w:val="fr-CH"/>
        </w:rPr>
      </w:pPr>
      <w:r w:rsidRPr="00961388">
        <w:rPr>
          <w:lang w:val="fr-CH"/>
        </w:rPr>
        <w:tab/>
      </w:r>
      <w:r w:rsidRPr="00961388">
        <w:rPr>
          <w:lang w:val="fr-CH"/>
        </w:rPr>
        <w:tab/>
        <w:t>Santé</w:t>
      </w:r>
    </w:p>
    <w:p w:rsidR="00570B62" w:rsidRPr="00961388" w:rsidRDefault="00023EB3" w:rsidP="00023EB3">
      <w:pPr>
        <w:pStyle w:val="H23G"/>
        <w:rPr>
          <w:lang w:val="fr-CH"/>
        </w:rPr>
      </w:pPr>
      <w:r>
        <w:rPr>
          <w:lang w:val="fr-CH"/>
        </w:rPr>
        <w:tab/>
      </w:r>
      <w:r>
        <w:rPr>
          <w:lang w:val="fr-CH"/>
        </w:rPr>
        <w:tab/>
      </w:r>
      <w:r w:rsidR="00570B62" w:rsidRPr="00961388">
        <w:rPr>
          <w:lang w:val="fr-CH"/>
        </w:rPr>
        <w:t xml:space="preserve">Réponse au paragraphe 29 </w:t>
      </w:r>
      <w:r w:rsidR="00910D7D">
        <w:rPr>
          <w:lang w:val="fr-CH"/>
        </w:rPr>
        <w:t>de la liste de points à traiter</w:t>
      </w:r>
    </w:p>
    <w:p w:rsidR="00570B62" w:rsidRPr="00961388" w:rsidRDefault="00570B62" w:rsidP="00023EB3">
      <w:pPr>
        <w:pStyle w:val="SingleTxtG"/>
        <w:rPr>
          <w:lang w:val="fr-CH"/>
        </w:rPr>
      </w:pPr>
      <w:r w:rsidRPr="00961388">
        <w:rPr>
          <w:lang w:val="fr-CH"/>
        </w:rPr>
        <w:t>326.</w:t>
      </w:r>
      <w:r w:rsidRPr="00961388">
        <w:rPr>
          <w:lang w:val="fr-CH"/>
        </w:rPr>
        <w:tab/>
        <w:t>Dans sa politique de développement, la Tunisie a accordé une attention particulière au secteur de la santé et à l</w:t>
      </w:r>
      <w:r w:rsidR="00961388">
        <w:rPr>
          <w:lang w:val="fr-CH"/>
        </w:rPr>
        <w:t>’</w:t>
      </w:r>
      <w:r w:rsidRPr="00961388">
        <w:rPr>
          <w:lang w:val="fr-CH"/>
        </w:rPr>
        <w:t>amélioration de la santé de la population en général. Un intérêt particulier a été toutefois accordé à la politique de santé orientée vers la femme et notamment celle en âge de procréation.</w:t>
      </w:r>
    </w:p>
    <w:p w:rsidR="00570B62" w:rsidRPr="00961388" w:rsidRDefault="00570B62" w:rsidP="00023EB3">
      <w:pPr>
        <w:pStyle w:val="SingleTxtG"/>
        <w:rPr>
          <w:lang w:val="fr-CH"/>
        </w:rPr>
      </w:pPr>
      <w:r w:rsidRPr="00961388">
        <w:rPr>
          <w:lang w:val="fr-CH"/>
        </w:rPr>
        <w:t>327.</w:t>
      </w:r>
      <w:r w:rsidRPr="00961388">
        <w:rPr>
          <w:lang w:val="fr-CH"/>
        </w:rPr>
        <w:tab/>
        <w:t>Cette politique qui se basait sur le concept de planning familial a évolué vers le concept de santé maternelle et infantile pour s</w:t>
      </w:r>
      <w:r w:rsidR="00961388">
        <w:rPr>
          <w:lang w:val="fr-CH"/>
        </w:rPr>
        <w:t>’</w:t>
      </w:r>
      <w:r w:rsidRPr="00961388">
        <w:rPr>
          <w:lang w:val="fr-CH"/>
        </w:rPr>
        <w:t>inscrire actuellement dans une approche de santé reproductive s</w:t>
      </w:r>
      <w:r w:rsidR="00961388">
        <w:rPr>
          <w:lang w:val="fr-CH"/>
        </w:rPr>
        <w:t>’</w:t>
      </w:r>
      <w:r w:rsidRPr="00961388">
        <w:rPr>
          <w:lang w:val="fr-CH"/>
        </w:rPr>
        <w:t>articulant autour de la promotion, la prévention et la prise en charge de la santé spécifique des femmes en général, et de la mère, en particulier.</w:t>
      </w:r>
    </w:p>
    <w:p w:rsidR="00570B62" w:rsidRPr="00961388" w:rsidRDefault="00570B62" w:rsidP="00023EB3">
      <w:pPr>
        <w:pStyle w:val="SingleTxtG"/>
        <w:rPr>
          <w:lang w:val="fr-CH"/>
        </w:rPr>
      </w:pPr>
      <w:r w:rsidRPr="00961388">
        <w:rPr>
          <w:lang w:val="fr-CH"/>
        </w:rPr>
        <w:t>328.</w:t>
      </w:r>
      <w:r w:rsidRPr="00961388">
        <w:rPr>
          <w:lang w:val="fr-CH"/>
        </w:rPr>
        <w:tab/>
        <w:t>Dans ce cadre, et parallèlement à la consolidation des services spécialisés en infrastructure, en équipements de pointe et en personnel médical et paramédical spécialisé, il a été procédé à la généralisation de l</w:t>
      </w:r>
      <w:r w:rsidR="00961388">
        <w:rPr>
          <w:lang w:val="fr-CH"/>
        </w:rPr>
        <w:t>’</w:t>
      </w:r>
      <w:r w:rsidRPr="00961388">
        <w:rPr>
          <w:lang w:val="fr-CH"/>
        </w:rPr>
        <w:t>intégration des services de santé reproductive au sein des centres de santé de base, la mise en place d</w:t>
      </w:r>
      <w:r w:rsidR="00961388">
        <w:rPr>
          <w:lang w:val="fr-CH"/>
        </w:rPr>
        <w:t>’</w:t>
      </w:r>
      <w:r w:rsidRPr="00961388">
        <w:rPr>
          <w:lang w:val="fr-CH"/>
        </w:rPr>
        <w:t>un programme national de périnatalité et l</w:t>
      </w:r>
      <w:r w:rsidR="00961388">
        <w:rPr>
          <w:lang w:val="fr-CH"/>
        </w:rPr>
        <w:t>’</w:t>
      </w:r>
      <w:r w:rsidRPr="00961388">
        <w:rPr>
          <w:lang w:val="fr-CH"/>
        </w:rPr>
        <w:t>adoption d</w:t>
      </w:r>
      <w:r w:rsidR="00961388">
        <w:rPr>
          <w:lang w:val="fr-CH"/>
        </w:rPr>
        <w:t>’</w:t>
      </w:r>
      <w:r w:rsidRPr="00961388">
        <w:rPr>
          <w:lang w:val="fr-CH"/>
        </w:rPr>
        <w:t>un système de surveillance de la mortalité maternelle.</w:t>
      </w:r>
    </w:p>
    <w:p w:rsidR="00570B62" w:rsidRPr="00961388" w:rsidRDefault="00570B62" w:rsidP="00023EB3">
      <w:pPr>
        <w:pStyle w:val="SingleTxtG"/>
        <w:rPr>
          <w:lang w:val="fr-CH"/>
        </w:rPr>
      </w:pPr>
      <w:r w:rsidRPr="00961388">
        <w:rPr>
          <w:lang w:val="fr-CH"/>
        </w:rPr>
        <w:t>329.</w:t>
      </w:r>
      <w:r w:rsidRPr="00961388">
        <w:rPr>
          <w:lang w:val="fr-CH"/>
        </w:rPr>
        <w:tab/>
        <w:t>De nombreux progrès ont été réalisés grâce à cette approche comme l</w:t>
      </w:r>
      <w:r w:rsidR="00961388">
        <w:rPr>
          <w:lang w:val="fr-CH"/>
        </w:rPr>
        <w:t>’</w:t>
      </w:r>
      <w:r w:rsidRPr="00961388">
        <w:rPr>
          <w:lang w:val="fr-CH"/>
        </w:rPr>
        <w:t>atteste l</w:t>
      </w:r>
      <w:r w:rsidR="00961388">
        <w:rPr>
          <w:lang w:val="fr-CH"/>
        </w:rPr>
        <w:t>’</w:t>
      </w:r>
      <w:r w:rsidRPr="00961388">
        <w:rPr>
          <w:lang w:val="fr-CH"/>
        </w:rPr>
        <w:t>évolution de l</w:t>
      </w:r>
      <w:r w:rsidR="00961388">
        <w:rPr>
          <w:lang w:val="fr-CH"/>
        </w:rPr>
        <w:t>’</w:t>
      </w:r>
      <w:r w:rsidRPr="00961388">
        <w:rPr>
          <w:lang w:val="fr-CH"/>
        </w:rPr>
        <w:t>ensemble des indicateurs de santé reproductive et dont on peut citer</w:t>
      </w:r>
      <w:r w:rsidR="00961388">
        <w:rPr>
          <w:lang w:val="fr-CH"/>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543"/>
        <w:gridCol w:w="541"/>
        <w:gridCol w:w="541"/>
        <w:gridCol w:w="541"/>
        <w:gridCol w:w="1204"/>
      </w:tblGrid>
      <w:tr w:rsidR="0080321A" w:rsidRPr="0080321A" w:rsidTr="0080321A">
        <w:trPr>
          <w:trHeight w:val="499"/>
          <w:tblHeader/>
        </w:trPr>
        <w:tc>
          <w:tcPr>
            <w:tcW w:w="4543" w:type="dxa"/>
            <w:tcBorders>
              <w:top w:val="single" w:sz="4" w:space="0" w:color="auto"/>
              <w:bottom w:val="single" w:sz="12" w:space="0" w:color="auto"/>
            </w:tcBorders>
            <w:shd w:val="clear" w:color="auto" w:fill="auto"/>
            <w:noWrap/>
            <w:vAlign w:val="bottom"/>
          </w:tcPr>
          <w:p w:rsidR="00570B62" w:rsidRPr="0080321A" w:rsidRDefault="00570B62" w:rsidP="000316AC">
            <w:pPr>
              <w:keepNext/>
              <w:suppressAutoHyphens w:val="0"/>
              <w:spacing w:before="80" w:after="80" w:line="200" w:lineRule="exact"/>
              <w:ind w:right="113"/>
              <w:rPr>
                <w:bCs/>
                <w:i/>
                <w:iCs/>
                <w:sz w:val="16"/>
                <w:lang w:val="fr-CH"/>
              </w:rPr>
            </w:pPr>
          </w:p>
        </w:tc>
        <w:tc>
          <w:tcPr>
            <w:tcW w:w="541" w:type="dxa"/>
            <w:tcBorders>
              <w:top w:val="single" w:sz="4" w:space="0" w:color="auto"/>
              <w:bottom w:val="single" w:sz="12" w:space="0" w:color="auto"/>
            </w:tcBorders>
            <w:shd w:val="clear" w:color="auto" w:fill="auto"/>
            <w:noWrap/>
            <w:vAlign w:val="bottom"/>
          </w:tcPr>
          <w:p w:rsidR="00570B62" w:rsidRPr="0080321A" w:rsidRDefault="00570B62" w:rsidP="0080321A">
            <w:pPr>
              <w:spacing w:before="80" w:after="80" w:line="200" w:lineRule="exact"/>
              <w:jc w:val="right"/>
              <w:rPr>
                <w:i/>
                <w:sz w:val="16"/>
                <w:lang w:val="fr-CH"/>
              </w:rPr>
            </w:pPr>
            <w:r w:rsidRPr="0080321A">
              <w:rPr>
                <w:i/>
                <w:sz w:val="16"/>
                <w:lang w:val="fr-CH"/>
              </w:rPr>
              <w:t>2007</w:t>
            </w:r>
          </w:p>
        </w:tc>
        <w:tc>
          <w:tcPr>
            <w:tcW w:w="541" w:type="dxa"/>
            <w:tcBorders>
              <w:top w:val="single" w:sz="4" w:space="0" w:color="auto"/>
              <w:bottom w:val="single" w:sz="12" w:space="0" w:color="auto"/>
            </w:tcBorders>
            <w:shd w:val="clear" w:color="auto" w:fill="auto"/>
            <w:noWrap/>
            <w:vAlign w:val="bottom"/>
          </w:tcPr>
          <w:p w:rsidR="00570B62" w:rsidRPr="0080321A" w:rsidRDefault="00570B62" w:rsidP="0080321A">
            <w:pPr>
              <w:spacing w:before="80" w:after="80" w:line="200" w:lineRule="exact"/>
              <w:jc w:val="right"/>
              <w:rPr>
                <w:i/>
                <w:sz w:val="16"/>
                <w:lang w:val="fr-CH"/>
              </w:rPr>
            </w:pPr>
            <w:r w:rsidRPr="0080321A">
              <w:rPr>
                <w:i/>
                <w:sz w:val="16"/>
                <w:lang w:val="fr-CH"/>
              </w:rPr>
              <w:t>2008</w:t>
            </w:r>
          </w:p>
        </w:tc>
        <w:tc>
          <w:tcPr>
            <w:tcW w:w="541" w:type="dxa"/>
            <w:tcBorders>
              <w:top w:val="single" w:sz="4" w:space="0" w:color="auto"/>
              <w:bottom w:val="single" w:sz="12" w:space="0" w:color="auto"/>
            </w:tcBorders>
            <w:shd w:val="clear" w:color="auto" w:fill="auto"/>
            <w:noWrap/>
            <w:vAlign w:val="bottom"/>
          </w:tcPr>
          <w:p w:rsidR="00570B62" w:rsidRPr="0080321A" w:rsidRDefault="00570B62" w:rsidP="0080321A">
            <w:pPr>
              <w:spacing w:before="80" w:after="80" w:line="200" w:lineRule="exact"/>
              <w:jc w:val="right"/>
              <w:rPr>
                <w:i/>
                <w:sz w:val="16"/>
                <w:lang w:val="fr-CH"/>
              </w:rPr>
            </w:pPr>
            <w:r w:rsidRPr="0080321A">
              <w:rPr>
                <w:i/>
                <w:sz w:val="16"/>
                <w:lang w:val="fr-CH"/>
              </w:rPr>
              <w:t>2009</w:t>
            </w:r>
          </w:p>
        </w:tc>
        <w:tc>
          <w:tcPr>
            <w:tcW w:w="1204" w:type="dxa"/>
            <w:tcBorders>
              <w:top w:val="single" w:sz="4" w:space="0" w:color="auto"/>
              <w:bottom w:val="single" w:sz="12" w:space="0" w:color="auto"/>
            </w:tcBorders>
            <w:shd w:val="clear" w:color="auto" w:fill="auto"/>
            <w:noWrap/>
            <w:vAlign w:val="bottom"/>
          </w:tcPr>
          <w:p w:rsidR="00570B62" w:rsidRPr="0080321A" w:rsidRDefault="00570B62" w:rsidP="0080321A">
            <w:pPr>
              <w:spacing w:before="80" w:after="80" w:line="200" w:lineRule="exact"/>
              <w:jc w:val="right"/>
              <w:rPr>
                <w:i/>
                <w:sz w:val="16"/>
                <w:lang w:val="fr-CH"/>
              </w:rPr>
            </w:pPr>
            <w:r w:rsidRPr="0080321A">
              <w:rPr>
                <w:i/>
                <w:sz w:val="16"/>
                <w:lang w:val="fr-CH"/>
              </w:rPr>
              <w:t>Objectif 2011</w:t>
            </w:r>
          </w:p>
        </w:tc>
      </w:tr>
      <w:tr w:rsidR="0080321A" w:rsidRPr="0080321A" w:rsidTr="0080321A">
        <w:tc>
          <w:tcPr>
            <w:tcW w:w="4543" w:type="dxa"/>
            <w:tcBorders>
              <w:top w:val="single" w:sz="12" w:space="0" w:color="auto"/>
            </w:tcBorders>
            <w:shd w:val="clear" w:color="auto" w:fill="auto"/>
            <w:noWrap/>
          </w:tcPr>
          <w:p w:rsidR="00570B62" w:rsidRPr="0080321A" w:rsidRDefault="00570B62" w:rsidP="000316AC">
            <w:pPr>
              <w:keepNext/>
              <w:spacing w:before="40" w:after="40" w:line="220" w:lineRule="exact"/>
              <w:rPr>
                <w:sz w:val="18"/>
                <w:lang w:val="fr-CH"/>
              </w:rPr>
            </w:pPr>
            <w:r w:rsidRPr="0080321A">
              <w:rPr>
                <w:sz w:val="18"/>
                <w:lang w:val="fr-CH"/>
              </w:rPr>
              <w:t>Mortalité maternelle pour 100 milles naissances</w:t>
            </w:r>
          </w:p>
        </w:tc>
        <w:tc>
          <w:tcPr>
            <w:tcW w:w="541" w:type="dxa"/>
            <w:tcBorders>
              <w:top w:val="single" w:sz="12" w:space="0" w:color="auto"/>
            </w:tcBorders>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41,5</w:t>
            </w:r>
          </w:p>
        </w:tc>
        <w:tc>
          <w:tcPr>
            <w:tcW w:w="541" w:type="dxa"/>
            <w:tcBorders>
              <w:top w:val="single" w:sz="12" w:space="0" w:color="auto"/>
            </w:tcBorders>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39,8</w:t>
            </w:r>
          </w:p>
        </w:tc>
        <w:tc>
          <w:tcPr>
            <w:tcW w:w="541" w:type="dxa"/>
            <w:tcBorders>
              <w:top w:val="single" w:sz="12" w:space="0" w:color="auto"/>
            </w:tcBorders>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35,7</w:t>
            </w:r>
          </w:p>
        </w:tc>
        <w:tc>
          <w:tcPr>
            <w:tcW w:w="1204" w:type="dxa"/>
            <w:tcBorders>
              <w:top w:val="single" w:sz="12" w:space="0" w:color="auto"/>
            </w:tcBorders>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Moins de 35</w:t>
            </w:r>
          </w:p>
        </w:tc>
      </w:tr>
      <w:tr w:rsidR="0080321A" w:rsidRPr="0080321A" w:rsidTr="0080321A">
        <w:tc>
          <w:tcPr>
            <w:tcW w:w="4543" w:type="dxa"/>
            <w:shd w:val="clear" w:color="auto" w:fill="auto"/>
            <w:noWrap/>
          </w:tcPr>
          <w:p w:rsidR="00570B62" w:rsidRPr="0080321A" w:rsidRDefault="00570B62" w:rsidP="000316AC">
            <w:pPr>
              <w:keepNext/>
              <w:spacing w:before="40" w:after="40" w:line="220" w:lineRule="exact"/>
              <w:rPr>
                <w:sz w:val="18"/>
                <w:lang w:val="fr-CH"/>
              </w:rPr>
            </w:pPr>
            <w:r w:rsidRPr="0080321A">
              <w:rPr>
                <w:sz w:val="18"/>
                <w:lang w:val="fr-CH"/>
              </w:rPr>
              <w:t>Taux d</w:t>
            </w:r>
            <w:r w:rsidR="00961388" w:rsidRPr="0080321A">
              <w:rPr>
                <w:sz w:val="18"/>
                <w:lang w:val="fr-CH"/>
              </w:rPr>
              <w:t>’</w:t>
            </w:r>
            <w:r w:rsidRPr="0080321A">
              <w:rPr>
                <w:sz w:val="18"/>
                <w:lang w:val="fr-CH"/>
              </w:rPr>
              <w:t>accouchement en milieu assisté en</w:t>
            </w:r>
            <w:r w:rsidR="001973D8" w:rsidRPr="0080321A">
              <w:rPr>
                <w:sz w:val="18"/>
                <w:lang w:val="fr-CH"/>
              </w:rPr>
              <w:t xml:space="preserve"> %</w:t>
            </w: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94,7</w:t>
            </w: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95,4</w:t>
            </w: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96</w:t>
            </w:r>
          </w:p>
        </w:tc>
        <w:tc>
          <w:tcPr>
            <w:tcW w:w="1204"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100</w:t>
            </w:r>
          </w:p>
        </w:tc>
      </w:tr>
      <w:tr w:rsidR="0080321A" w:rsidRPr="0080321A" w:rsidTr="0080321A">
        <w:tc>
          <w:tcPr>
            <w:tcW w:w="4543" w:type="dxa"/>
            <w:shd w:val="clear" w:color="auto" w:fill="auto"/>
            <w:noWrap/>
          </w:tcPr>
          <w:p w:rsidR="00570B62" w:rsidRPr="0080321A" w:rsidRDefault="00570B62" w:rsidP="000316AC">
            <w:pPr>
              <w:keepNext/>
              <w:spacing w:before="40" w:after="40" w:line="220" w:lineRule="exact"/>
              <w:rPr>
                <w:sz w:val="18"/>
                <w:lang w:val="fr-CH"/>
              </w:rPr>
            </w:pPr>
            <w:r w:rsidRPr="0080321A">
              <w:rPr>
                <w:sz w:val="18"/>
                <w:lang w:val="fr-CH"/>
              </w:rPr>
              <w:t>Taux de mortalité infantile en ‰</w:t>
            </w: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18,7</w:t>
            </w: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18,4</w:t>
            </w: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18</w:t>
            </w:r>
          </w:p>
        </w:tc>
        <w:tc>
          <w:tcPr>
            <w:tcW w:w="1204"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15</w:t>
            </w:r>
          </w:p>
        </w:tc>
      </w:tr>
      <w:tr w:rsidR="0080321A" w:rsidRPr="0080321A" w:rsidTr="0080321A">
        <w:tc>
          <w:tcPr>
            <w:tcW w:w="4543" w:type="dxa"/>
            <w:shd w:val="clear" w:color="auto" w:fill="auto"/>
          </w:tcPr>
          <w:p w:rsidR="00570B62" w:rsidRPr="0080321A" w:rsidRDefault="00570B62" w:rsidP="000316AC">
            <w:pPr>
              <w:keepNext/>
              <w:spacing w:before="40" w:after="40" w:line="220" w:lineRule="exact"/>
              <w:rPr>
                <w:sz w:val="18"/>
                <w:lang w:val="fr-CH"/>
              </w:rPr>
            </w:pPr>
            <w:r w:rsidRPr="0080321A">
              <w:rPr>
                <w:sz w:val="18"/>
                <w:lang w:val="fr-CH"/>
              </w:rPr>
              <w:t>Couvertures de la grossesse par 4 consultations au moins en</w:t>
            </w:r>
            <w:r w:rsidR="001973D8" w:rsidRPr="0080321A">
              <w:rPr>
                <w:sz w:val="18"/>
                <w:lang w:val="fr-CH"/>
              </w:rPr>
              <w:t xml:space="preserve"> %</w:t>
            </w: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70,1</w:t>
            </w: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70,3</w:t>
            </w: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70,4</w:t>
            </w:r>
          </w:p>
        </w:tc>
        <w:tc>
          <w:tcPr>
            <w:tcW w:w="1204"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75</w:t>
            </w:r>
          </w:p>
        </w:tc>
      </w:tr>
      <w:tr w:rsidR="0080321A" w:rsidRPr="0080321A" w:rsidTr="0080321A">
        <w:tc>
          <w:tcPr>
            <w:tcW w:w="4543" w:type="dxa"/>
            <w:shd w:val="clear" w:color="auto" w:fill="auto"/>
          </w:tcPr>
          <w:p w:rsidR="00570B62" w:rsidRPr="0080321A" w:rsidRDefault="00570B62" w:rsidP="0080321A">
            <w:pPr>
              <w:spacing w:before="40" w:after="40" w:line="220" w:lineRule="exact"/>
              <w:rPr>
                <w:sz w:val="18"/>
                <w:lang w:val="fr-CH"/>
              </w:rPr>
            </w:pPr>
            <w:r w:rsidRPr="0080321A">
              <w:rPr>
                <w:sz w:val="18"/>
                <w:lang w:val="fr-CH"/>
              </w:rPr>
              <w:t>Taux de mortalité néo-natale</w:t>
            </w: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14,0</w:t>
            </w: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13,8</w:t>
            </w: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13,5</w:t>
            </w:r>
          </w:p>
        </w:tc>
        <w:tc>
          <w:tcPr>
            <w:tcW w:w="1204"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10,0</w:t>
            </w:r>
          </w:p>
        </w:tc>
      </w:tr>
      <w:tr w:rsidR="0080321A" w:rsidRPr="0080321A" w:rsidTr="0080321A">
        <w:trPr>
          <w:trHeight w:val="20"/>
        </w:trPr>
        <w:tc>
          <w:tcPr>
            <w:tcW w:w="4543" w:type="dxa"/>
            <w:shd w:val="clear" w:color="auto" w:fill="auto"/>
          </w:tcPr>
          <w:p w:rsidR="00570B62" w:rsidRPr="0080321A" w:rsidRDefault="00570B62" w:rsidP="0080321A">
            <w:pPr>
              <w:spacing w:before="40" w:after="40" w:line="220" w:lineRule="exact"/>
              <w:rPr>
                <w:sz w:val="18"/>
                <w:lang w:val="fr-CH"/>
              </w:rPr>
            </w:pPr>
            <w:r w:rsidRPr="0080321A">
              <w:rPr>
                <w:sz w:val="18"/>
                <w:lang w:val="fr-CH"/>
              </w:rPr>
              <w:t>Densité médicale</w:t>
            </w: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968</w:t>
            </w: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865</w:t>
            </w: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850</w:t>
            </w:r>
          </w:p>
        </w:tc>
        <w:tc>
          <w:tcPr>
            <w:tcW w:w="1204"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850</w:t>
            </w:r>
          </w:p>
        </w:tc>
      </w:tr>
      <w:tr w:rsidR="0080321A" w:rsidRPr="0080321A" w:rsidTr="0080321A">
        <w:trPr>
          <w:trHeight w:val="20"/>
        </w:trPr>
        <w:tc>
          <w:tcPr>
            <w:tcW w:w="4543" w:type="dxa"/>
            <w:shd w:val="clear" w:color="auto" w:fill="auto"/>
          </w:tcPr>
          <w:p w:rsidR="00570B62" w:rsidRPr="0080321A" w:rsidRDefault="00570B62" w:rsidP="0080321A">
            <w:pPr>
              <w:spacing w:before="40" w:after="40" w:line="220" w:lineRule="exact"/>
              <w:rPr>
                <w:sz w:val="18"/>
                <w:lang w:val="fr-CH"/>
              </w:rPr>
            </w:pPr>
            <w:r w:rsidRPr="0080321A">
              <w:rPr>
                <w:sz w:val="18"/>
                <w:lang w:val="fr-CH"/>
              </w:rPr>
              <w:t>Espérance de vie à la naissance</w:t>
            </w:r>
            <w:r w:rsidR="00961388" w:rsidRPr="0080321A">
              <w:rPr>
                <w:sz w:val="18"/>
                <w:lang w:val="fr-CH"/>
              </w:rPr>
              <w:t>:</w:t>
            </w: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p>
        </w:tc>
        <w:tc>
          <w:tcPr>
            <w:tcW w:w="1204" w:type="dxa"/>
            <w:shd w:val="clear" w:color="auto" w:fill="auto"/>
            <w:noWrap/>
            <w:vAlign w:val="bottom"/>
          </w:tcPr>
          <w:p w:rsidR="00570B62" w:rsidRPr="0080321A" w:rsidRDefault="00570B62" w:rsidP="0080321A">
            <w:pPr>
              <w:spacing w:before="40" w:after="40" w:line="220" w:lineRule="exact"/>
              <w:jc w:val="right"/>
              <w:rPr>
                <w:sz w:val="18"/>
                <w:lang w:val="fr-CH"/>
              </w:rPr>
            </w:pPr>
          </w:p>
        </w:tc>
      </w:tr>
      <w:tr w:rsidR="0080321A" w:rsidRPr="0080321A" w:rsidTr="0080321A">
        <w:trPr>
          <w:trHeight w:val="20"/>
        </w:trPr>
        <w:tc>
          <w:tcPr>
            <w:tcW w:w="4543" w:type="dxa"/>
            <w:shd w:val="clear" w:color="auto" w:fill="auto"/>
          </w:tcPr>
          <w:p w:rsidR="00570B62" w:rsidRPr="0080321A" w:rsidRDefault="00570B62" w:rsidP="00197607">
            <w:pPr>
              <w:numPr>
                <w:ilvl w:val="0"/>
                <w:numId w:val="3"/>
              </w:numPr>
              <w:tabs>
                <w:tab w:val="clear" w:pos="1815"/>
              </w:tabs>
              <w:spacing w:before="40" w:after="40" w:line="220" w:lineRule="exact"/>
              <w:ind w:left="366" w:hanging="200"/>
              <w:rPr>
                <w:sz w:val="18"/>
                <w:lang w:val="fr-CH"/>
              </w:rPr>
            </w:pPr>
            <w:r w:rsidRPr="0080321A">
              <w:rPr>
                <w:sz w:val="18"/>
                <w:lang w:val="fr-CH"/>
              </w:rPr>
              <w:t>Hommes</w:t>
            </w: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72,3</w:t>
            </w: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72,4</w:t>
            </w: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72,5</w:t>
            </w:r>
          </w:p>
        </w:tc>
        <w:tc>
          <w:tcPr>
            <w:tcW w:w="1204"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w:t>
            </w:r>
          </w:p>
        </w:tc>
      </w:tr>
      <w:tr w:rsidR="0080321A" w:rsidRPr="0080321A" w:rsidTr="0080321A">
        <w:trPr>
          <w:trHeight w:val="20"/>
        </w:trPr>
        <w:tc>
          <w:tcPr>
            <w:tcW w:w="4543" w:type="dxa"/>
            <w:shd w:val="clear" w:color="auto" w:fill="auto"/>
          </w:tcPr>
          <w:p w:rsidR="00570B62" w:rsidRPr="0080321A" w:rsidRDefault="00570B62" w:rsidP="00197607">
            <w:pPr>
              <w:numPr>
                <w:ilvl w:val="0"/>
                <w:numId w:val="3"/>
              </w:numPr>
              <w:tabs>
                <w:tab w:val="clear" w:pos="1815"/>
              </w:tabs>
              <w:spacing w:before="40" w:after="40" w:line="220" w:lineRule="exact"/>
              <w:ind w:left="366" w:hanging="200"/>
              <w:rPr>
                <w:sz w:val="18"/>
                <w:lang w:val="fr-CH"/>
              </w:rPr>
            </w:pPr>
            <w:r w:rsidRPr="0080321A">
              <w:rPr>
                <w:sz w:val="18"/>
                <w:lang w:val="fr-CH"/>
              </w:rPr>
              <w:t>Femmes</w:t>
            </w: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76,2</w:t>
            </w: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76,3</w:t>
            </w: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76,4</w:t>
            </w:r>
          </w:p>
        </w:tc>
        <w:tc>
          <w:tcPr>
            <w:tcW w:w="1204"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w:t>
            </w:r>
          </w:p>
        </w:tc>
      </w:tr>
      <w:tr w:rsidR="0080321A" w:rsidRPr="0080321A" w:rsidTr="0080321A">
        <w:trPr>
          <w:trHeight w:val="20"/>
        </w:trPr>
        <w:tc>
          <w:tcPr>
            <w:tcW w:w="4543" w:type="dxa"/>
            <w:shd w:val="clear" w:color="auto" w:fill="auto"/>
          </w:tcPr>
          <w:p w:rsidR="00570B62" w:rsidRPr="0080321A" w:rsidRDefault="00570B62" w:rsidP="00197607">
            <w:pPr>
              <w:numPr>
                <w:ilvl w:val="0"/>
                <w:numId w:val="3"/>
              </w:numPr>
              <w:tabs>
                <w:tab w:val="clear" w:pos="1815"/>
              </w:tabs>
              <w:spacing w:before="40" w:after="40" w:line="220" w:lineRule="exact"/>
              <w:ind w:left="366" w:hanging="200"/>
              <w:rPr>
                <w:sz w:val="18"/>
                <w:lang w:val="fr-CH"/>
              </w:rPr>
            </w:pPr>
            <w:r w:rsidRPr="0080321A">
              <w:rPr>
                <w:sz w:val="18"/>
                <w:lang w:val="fr-CH"/>
              </w:rPr>
              <w:t>Ensemble</w:t>
            </w: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74,2</w:t>
            </w: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74,3</w:t>
            </w:r>
          </w:p>
        </w:tc>
        <w:tc>
          <w:tcPr>
            <w:tcW w:w="541"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74,4</w:t>
            </w:r>
          </w:p>
        </w:tc>
        <w:tc>
          <w:tcPr>
            <w:tcW w:w="1204" w:type="dxa"/>
            <w:shd w:val="clear" w:color="auto" w:fill="auto"/>
            <w:noWrap/>
            <w:vAlign w:val="bottom"/>
          </w:tcPr>
          <w:p w:rsidR="00570B62" w:rsidRPr="0080321A" w:rsidRDefault="00570B62" w:rsidP="0080321A">
            <w:pPr>
              <w:spacing w:before="40" w:after="40" w:line="220" w:lineRule="exact"/>
              <w:jc w:val="right"/>
              <w:rPr>
                <w:sz w:val="18"/>
                <w:lang w:val="fr-CH"/>
              </w:rPr>
            </w:pPr>
            <w:r w:rsidRPr="0080321A">
              <w:rPr>
                <w:sz w:val="18"/>
                <w:lang w:val="fr-CH"/>
              </w:rPr>
              <w:t>76,5</w:t>
            </w:r>
          </w:p>
        </w:tc>
      </w:tr>
    </w:tbl>
    <w:p w:rsidR="00570B62" w:rsidRPr="00961388" w:rsidRDefault="00570B62" w:rsidP="00283379">
      <w:pPr>
        <w:pStyle w:val="SingleTxtG"/>
        <w:spacing w:before="240"/>
        <w:rPr>
          <w:lang w:val="fr-CH"/>
        </w:rPr>
      </w:pPr>
      <w:r w:rsidRPr="00961388">
        <w:rPr>
          <w:lang w:val="fr-CH"/>
        </w:rPr>
        <w:t>330.</w:t>
      </w:r>
      <w:r w:rsidRPr="00961388">
        <w:rPr>
          <w:lang w:val="fr-CH"/>
        </w:rPr>
        <w:tab/>
        <w:t>En Tunisie, 95</w:t>
      </w:r>
      <w:r w:rsidR="001973D8">
        <w:rPr>
          <w:lang w:val="fr-CH"/>
        </w:rPr>
        <w:t xml:space="preserve"> %</w:t>
      </w:r>
      <w:r w:rsidRPr="00961388">
        <w:rPr>
          <w:lang w:val="fr-CH"/>
        </w:rPr>
        <w:t xml:space="preserve"> de la population habitent à moins de 5 km d</w:t>
      </w:r>
      <w:r w:rsidR="00961388">
        <w:rPr>
          <w:lang w:val="fr-CH"/>
        </w:rPr>
        <w:t>’</w:t>
      </w:r>
      <w:r w:rsidRPr="00961388">
        <w:rPr>
          <w:lang w:val="fr-CH"/>
        </w:rPr>
        <w:t>une structure sanitaire en 2009 contre 90</w:t>
      </w:r>
      <w:r w:rsidR="001973D8">
        <w:rPr>
          <w:lang w:val="fr-CH"/>
        </w:rPr>
        <w:t xml:space="preserve"> %</w:t>
      </w:r>
      <w:r w:rsidRPr="00961388">
        <w:rPr>
          <w:lang w:val="fr-CH"/>
        </w:rPr>
        <w:t xml:space="preserve"> en 2006. L</w:t>
      </w:r>
      <w:r w:rsidR="00961388">
        <w:rPr>
          <w:lang w:val="fr-CH"/>
        </w:rPr>
        <w:t>’</w:t>
      </w:r>
      <w:r w:rsidRPr="00961388">
        <w:rPr>
          <w:lang w:val="fr-CH"/>
        </w:rPr>
        <w:t>amélioration de ce taux est le résultat de la consolidation des structures de première ligne, à savoir les hôpitaux de circonscription et essentiellement les centres de santé de base qui assurent des prestations sanitaires à caractère préventif et curatif ainsi que l</w:t>
      </w:r>
      <w:r w:rsidR="00961388">
        <w:rPr>
          <w:lang w:val="fr-CH"/>
        </w:rPr>
        <w:t>’</w:t>
      </w:r>
      <w:r w:rsidRPr="00961388">
        <w:rPr>
          <w:lang w:val="fr-CH"/>
        </w:rPr>
        <w:t xml:space="preserve">éducation sanitaire. </w:t>
      </w:r>
    </w:p>
    <w:p w:rsidR="00570B62" w:rsidRPr="00961388" w:rsidRDefault="00570B62" w:rsidP="00023EB3">
      <w:pPr>
        <w:pStyle w:val="SingleTxtG"/>
        <w:rPr>
          <w:lang w:val="fr-CH"/>
        </w:rPr>
      </w:pPr>
      <w:r w:rsidRPr="00961388">
        <w:rPr>
          <w:lang w:val="fr-CH"/>
        </w:rPr>
        <w:t>331.</w:t>
      </w:r>
      <w:r w:rsidRPr="00961388">
        <w:rPr>
          <w:lang w:val="fr-CH"/>
        </w:rPr>
        <w:tab/>
        <w:t>La densité des centres de santé de base dans chaque gouvernorat est tributaire du caractère rural ou non du gouvernorat ainsi que de sa spécificité en tant que côtier ou à l</w:t>
      </w:r>
      <w:r w:rsidR="00961388">
        <w:rPr>
          <w:lang w:val="fr-CH"/>
        </w:rPr>
        <w:t>’</w:t>
      </w:r>
      <w:r w:rsidRPr="00961388">
        <w:rPr>
          <w:lang w:val="fr-CH"/>
        </w:rPr>
        <w:t>intérieur du pays. En effet, plus le gouvernorat est à dominante urbaine, plus la densité du réseau des centres de santé de base est élevé.</w:t>
      </w:r>
    </w:p>
    <w:p w:rsidR="00570B62" w:rsidRPr="00961388" w:rsidRDefault="00570B62" w:rsidP="00023EB3">
      <w:pPr>
        <w:pStyle w:val="SingleTxtG"/>
        <w:rPr>
          <w:lang w:val="fr-CH"/>
        </w:rPr>
      </w:pPr>
      <w:r w:rsidRPr="00961388">
        <w:rPr>
          <w:lang w:val="fr-CH"/>
        </w:rPr>
        <w:t>332.</w:t>
      </w:r>
      <w:r w:rsidRPr="00961388">
        <w:rPr>
          <w:lang w:val="fr-CH"/>
        </w:rPr>
        <w:tab/>
        <w:t>L</w:t>
      </w:r>
      <w:r w:rsidR="00961388">
        <w:rPr>
          <w:lang w:val="fr-CH"/>
        </w:rPr>
        <w:t>’</w:t>
      </w:r>
      <w:r w:rsidRPr="00961388">
        <w:rPr>
          <w:lang w:val="fr-CH"/>
        </w:rPr>
        <w:t>intensification du réseau des centres de santé de base dans les gouvernorats à prédominance rurale vise donc à rapprocher davantage les soins des populations dont les habitations sont généralement dispersées et éloignées les unes des autres</w:t>
      </w:r>
      <w:r w:rsidR="00961388">
        <w:rPr>
          <w:lang w:val="fr-CH"/>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66"/>
        <w:gridCol w:w="2200"/>
        <w:gridCol w:w="1700"/>
        <w:gridCol w:w="1304"/>
      </w:tblGrid>
      <w:tr w:rsidR="00570B62" w:rsidRPr="00283379" w:rsidTr="008B7DE6">
        <w:trPr>
          <w:tblHeader/>
        </w:trPr>
        <w:tc>
          <w:tcPr>
            <w:tcW w:w="7370" w:type="dxa"/>
            <w:gridSpan w:val="4"/>
            <w:tcBorders>
              <w:top w:val="single" w:sz="4" w:space="0" w:color="auto"/>
              <w:bottom w:val="single" w:sz="4" w:space="0" w:color="auto"/>
            </w:tcBorders>
            <w:shd w:val="clear" w:color="auto" w:fill="auto"/>
            <w:vAlign w:val="bottom"/>
          </w:tcPr>
          <w:p w:rsidR="00570B62" w:rsidRPr="000E1FFB" w:rsidRDefault="00570B62" w:rsidP="000E1FFB">
            <w:pPr>
              <w:spacing w:before="80" w:after="80" w:line="200" w:lineRule="exact"/>
              <w:jc w:val="center"/>
              <w:rPr>
                <w:i/>
                <w:iCs/>
                <w:sz w:val="16"/>
                <w:lang w:val="fr-CH"/>
              </w:rPr>
            </w:pPr>
            <w:r w:rsidRPr="000E1FFB">
              <w:rPr>
                <w:i/>
                <w:sz w:val="16"/>
                <w:lang w:val="fr-CH"/>
              </w:rPr>
              <w:t>Répartition des centres de santé de base par gouvernorat</w:t>
            </w:r>
          </w:p>
        </w:tc>
      </w:tr>
      <w:tr w:rsidR="00283379" w:rsidRPr="00283379" w:rsidTr="008B7DE6">
        <w:trPr>
          <w:tblHeader/>
        </w:trPr>
        <w:tc>
          <w:tcPr>
            <w:tcW w:w="2166" w:type="dxa"/>
            <w:tcBorders>
              <w:top w:val="single" w:sz="4" w:space="0" w:color="auto"/>
              <w:bottom w:val="single" w:sz="12" w:space="0" w:color="auto"/>
            </w:tcBorders>
            <w:shd w:val="clear" w:color="auto" w:fill="auto"/>
          </w:tcPr>
          <w:p w:rsidR="00570B62" w:rsidRPr="008B7DE6" w:rsidRDefault="00570B62" w:rsidP="008B7DE6">
            <w:pPr>
              <w:spacing w:before="80" w:after="80" w:line="200" w:lineRule="exact"/>
              <w:rPr>
                <w:i/>
                <w:sz w:val="16"/>
                <w:lang w:val="fr-CH"/>
              </w:rPr>
            </w:pPr>
            <w:r w:rsidRPr="008B7DE6">
              <w:rPr>
                <w:i/>
                <w:sz w:val="16"/>
                <w:lang w:val="fr-CH"/>
              </w:rPr>
              <w:t>Gouvernorat</w:t>
            </w:r>
          </w:p>
        </w:tc>
        <w:tc>
          <w:tcPr>
            <w:tcW w:w="2200" w:type="dxa"/>
            <w:tcBorders>
              <w:top w:val="single" w:sz="4" w:space="0" w:color="auto"/>
              <w:bottom w:val="single" w:sz="12" w:space="0" w:color="auto"/>
            </w:tcBorders>
            <w:shd w:val="clear" w:color="auto" w:fill="auto"/>
          </w:tcPr>
          <w:p w:rsidR="00570B62" w:rsidRPr="000E1FFB" w:rsidRDefault="00570B62" w:rsidP="000E1FFB">
            <w:pPr>
              <w:spacing w:before="80" w:after="80" w:line="200" w:lineRule="exact"/>
              <w:jc w:val="right"/>
              <w:rPr>
                <w:i/>
                <w:sz w:val="16"/>
                <w:lang w:val="fr-CH"/>
              </w:rPr>
            </w:pPr>
            <w:r w:rsidRPr="000E1FFB">
              <w:rPr>
                <w:i/>
                <w:sz w:val="16"/>
                <w:lang w:val="fr-CH"/>
              </w:rPr>
              <w:t>Nombre de centres</w:t>
            </w:r>
          </w:p>
        </w:tc>
        <w:tc>
          <w:tcPr>
            <w:tcW w:w="1700" w:type="dxa"/>
            <w:tcBorders>
              <w:top w:val="single" w:sz="4" w:space="0" w:color="auto"/>
              <w:bottom w:val="single" w:sz="12" w:space="0" w:color="auto"/>
            </w:tcBorders>
            <w:shd w:val="clear" w:color="auto" w:fill="auto"/>
          </w:tcPr>
          <w:p w:rsidR="00570B62" w:rsidRPr="000E1FFB" w:rsidRDefault="00570B62" w:rsidP="000E1FFB">
            <w:pPr>
              <w:spacing w:before="80" w:after="80" w:line="200" w:lineRule="exact"/>
              <w:jc w:val="right"/>
              <w:rPr>
                <w:i/>
                <w:sz w:val="16"/>
                <w:lang w:val="fr-CH"/>
              </w:rPr>
            </w:pPr>
            <w:r w:rsidRPr="000E1FFB">
              <w:rPr>
                <w:i/>
                <w:sz w:val="16"/>
                <w:lang w:val="fr-CH"/>
              </w:rPr>
              <w:t>Nombre d</w:t>
            </w:r>
            <w:r w:rsidR="00961388" w:rsidRPr="000E1FFB">
              <w:rPr>
                <w:i/>
                <w:sz w:val="16"/>
                <w:lang w:val="fr-CH"/>
              </w:rPr>
              <w:t>’</w:t>
            </w:r>
            <w:r w:rsidRPr="000E1FFB">
              <w:rPr>
                <w:i/>
                <w:sz w:val="16"/>
                <w:lang w:val="fr-CH"/>
              </w:rPr>
              <w:t xml:space="preserve">habitants </w:t>
            </w:r>
            <w:r w:rsidR="008D3E9F">
              <w:rPr>
                <w:i/>
                <w:sz w:val="16"/>
                <w:lang w:val="fr-CH"/>
              </w:rPr>
              <w:br/>
            </w:r>
            <w:r w:rsidRPr="000E1FFB">
              <w:rPr>
                <w:i/>
                <w:sz w:val="16"/>
                <w:lang w:val="fr-CH"/>
              </w:rPr>
              <w:t>par centre</w:t>
            </w:r>
          </w:p>
        </w:tc>
        <w:tc>
          <w:tcPr>
            <w:tcW w:w="1304" w:type="dxa"/>
            <w:tcBorders>
              <w:top w:val="single" w:sz="4" w:space="0" w:color="auto"/>
              <w:bottom w:val="single" w:sz="12" w:space="0" w:color="auto"/>
            </w:tcBorders>
            <w:shd w:val="clear" w:color="auto" w:fill="auto"/>
          </w:tcPr>
          <w:p w:rsidR="00570B62" w:rsidRPr="000E1FFB" w:rsidRDefault="00570B62" w:rsidP="000E1FFB">
            <w:pPr>
              <w:spacing w:before="80" w:after="80" w:line="200" w:lineRule="exact"/>
              <w:jc w:val="right"/>
              <w:rPr>
                <w:i/>
                <w:sz w:val="16"/>
                <w:lang w:val="fr-CH"/>
              </w:rPr>
            </w:pPr>
            <w:r w:rsidRPr="000E1FFB">
              <w:rPr>
                <w:i/>
                <w:sz w:val="16"/>
                <w:lang w:val="fr-CH"/>
              </w:rPr>
              <w:t>Classement des gouvernorats</w:t>
            </w:r>
          </w:p>
        </w:tc>
      </w:tr>
      <w:tr w:rsidR="00570B62" w:rsidRPr="00283379" w:rsidTr="008D3E9F">
        <w:tc>
          <w:tcPr>
            <w:tcW w:w="7370" w:type="dxa"/>
            <w:gridSpan w:val="4"/>
            <w:tcBorders>
              <w:top w:val="single" w:sz="12" w:space="0" w:color="auto"/>
            </w:tcBorders>
            <w:shd w:val="clear" w:color="auto" w:fill="auto"/>
          </w:tcPr>
          <w:p w:rsidR="00570B62" w:rsidRPr="000E1FFB" w:rsidRDefault="00570B62" w:rsidP="000E1FFB">
            <w:pPr>
              <w:spacing w:before="40" w:after="40" w:line="220" w:lineRule="exact"/>
              <w:rPr>
                <w:i/>
                <w:iCs/>
                <w:sz w:val="18"/>
                <w:lang w:val="fr-CH"/>
              </w:rPr>
            </w:pPr>
            <w:r w:rsidRPr="000E1FFB">
              <w:rPr>
                <w:sz w:val="18"/>
                <w:lang w:val="fr-CH"/>
              </w:rPr>
              <w:t>Gouvernorats côtiers</w:t>
            </w:r>
          </w:p>
        </w:tc>
      </w:tr>
      <w:tr w:rsidR="00283379" w:rsidRPr="00283379" w:rsidTr="008D3E9F">
        <w:tc>
          <w:tcPr>
            <w:tcW w:w="2166" w:type="dxa"/>
            <w:shd w:val="clear" w:color="auto" w:fill="auto"/>
          </w:tcPr>
          <w:p w:rsidR="00570B62" w:rsidRPr="008D3E9F" w:rsidRDefault="00570B62" w:rsidP="008D3E9F">
            <w:pPr>
              <w:spacing w:before="40" w:after="40" w:line="220" w:lineRule="exact"/>
              <w:rPr>
                <w:sz w:val="18"/>
                <w:lang w:val="fr-CH"/>
              </w:rPr>
            </w:pPr>
            <w:r w:rsidRPr="008D3E9F">
              <w:rPr>
                <w:sz w:val="18"/>
                <w:lang w:val="fr-CH"/>
              </w:rPr>
              <w:t>Tunis</w:t>
            </w:r>
          </w:p>
        </w:tc>
        <w:tc>
          <w:tcPr>
            <w:tcW w:w="22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49</w:t>
            </w:r>
          </w:p>
        </w:tc>
        <w:tc>
          <w:tcPr>
            <w:tcW w:w="17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2.0265</w:t>
            </w:r>
          </w:p>
        </w:tc>
        <w:tc>
          <w:tcPr>
            <w:tcW w:w="1304"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24</w:t>
            </w:r>
          </w:p>
        </w:tc>
      </w:tr>
      <w:tr w:rsidR="00283379" w:rsidRPr="00283379" w:rsidTr="008D3E9F">
        <w:tc>
          <w:tcPr>
            <w:tcW w:w="2166" w:type="dxa"/>
            <w:shd w:val="clear" w:color="auto" w:fill="auto"/>
          </w:tcPr>
          <w:p w:rsidR="00570B62" w:rsidRPr="008D3E9F" w:rsidRDefault="00570B62" w:rsidP="008D3E9F">
            <w:pPr>
              <w:spacing w:before="40" w:after="40" w:line="220" w:lineRule="exact"/>
              <w:rPr>
                <w:sz w:val="18"/>
                <w:lang w:val="fr-CH"/>
              </w:rPr>
            </w:pPr>
            <w:r w:rsidRPr="008D3E9F">
              <w:rPr>
                <w:sz w:val="18"/>
                <w:lang w:val="fr-CH"/>
              </w:rPr>
              <w:t>Ariana</w:t>
            </w:r>
          </w:p>
        </w:tc>
        <w:tc>
          <w:tcPr>
            <w:tcW w:w="22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25</w:t>
            </w:r>
          </w:p>
        </w:tc>
        <w:tc>
          <w:tcPr>
            <w:tcW w:w="17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18.924</w:t>
            </w:r>
          </w:p>
        </w:tc>
        <w:tc>
          <w:tcPr>
            <w:tcW w:w="1304"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23</w:t>
            </w:r>
          </w:p>
        </w:tc>
      </w:tr>
      <w:tr w:rsidR="00283379" w:rsidRPr="00283379" w:rsidTr="008D3E9F">
        <w:tc>
          <w:tcPr>
            <w:tcW w:w="2166" w:type="dxa"/>
            <w:shd w:val="clear" w:color="auto" w:fill="auto"/>
          </w:tcPr>
          <w:p w:rsidR="00570B62" w:rsidRPr="008D3E9F" w:rsidRDefault="00570B62" w:rsidP="008D3E9F">
            <w:pPr>
              <w:spacing w:before="40" w:after="40" w:line="220" w:lineRule="exact"/>
              <w:rPr>
                <w:sz w:val="18"/>
                <w:lang w:val="fr-CH"/>
              </w:rPr>
            </w:pPr>
            <w:r w:rsidRPr="008D3E9F">
              <w:rPr>
                <w:sz w:val="18"/>
                <w:lang w:val="fr-CH"/>
              </w:rPr>
              <w:t>Ben arous</w:t>
            </w:r>
          </w:p>
        </w:tc>
        <w:tc>
          <w:tcPr>
            <w:tcW w:w="22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49</w:t>
            </w:r>
          </w:p>
        </w:tc>
        <w:tc>
          <w:tcPr>
            <w:tcW w:w="17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11.340</w:t>
            </w:r>
          </w:p>
        </w:tc>
        <w:tc>
          <w:tcPr>
            <w:tcW w:w="1304"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22</w:t>
            </w:r>
          </w:p>
        </w:tc>
      </w:tr>
      <w:tr w:rsidR="00283379" w:rsidRPr="00283379" w:rsidTr="008D3E9F">
        <w:tc>
          <w:tcPr>
            <w:tcW w:w="2166" w:type="dxa"/>
            <w:shd w:val="clear" w:color="auto" w:fill="auto"/>
          </w:tcPr>
          <w:p w:rsidR="00570B62" w:rsidRPr="008D3E9F" w:rsidRDefault="00570B62" w:rsidP="008D3E9F">
            <w:pPr>
              <w:spacing w:before="40" w:after="40" w:line="220" w:lineRule="exact"/>
              <w:rPr>
                <w:sz w:val="18"/>
                <w:lang w:val="fr-CH"/>
              </w:rPr>
            </w:pPr>
            <w:r w:rsidRPr="008D3E9F">
              <w:rPr>
                <w:sz w:val="18"/>
                <w:lang w:val="fr-CH"/>
              </w:rPr>
              <w:t>Manouba</w:t>
            </w:r>
          </w:p>
        </w:tc>
        <w:tc>
          <w:tcPr>
            <w:tcW w:w="22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40</w:t>
            </w:r>
          </w:p>
        </w:tc>
        <w:tc>
          <w:tcPr>
            <w:tcW w:w="17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8.967</w:t>
            </w:r>
          </w:p>
        </w:tc>
        <w:tc>
          <w:tcPr>
            <w:tcW w:w="1304"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21</w:t>
            </w:r>
          </w:p>
        </w:tc>
      </w:tr>
      <w:tr w:rsidR="00283379" w:rsidRPr="00283379" w:rsidTr="008D3E9F">
        <w:tc>
          <w:tcPr>
            <w:tcW w:w="2166" w:type="dxa"/>
            <w:shd w:val="clear" w:color="auto" w:fill="auto"/>
          </w:tcPr>
          <w:p w:rsidR="00570B62" w:rsidRPr="008D3E9F" w:rsidRDefault="00570B62" w:rsidP="008D3E9F">
            <w:pPr>
              <w:spacing w:before="40" w:after="40" w:line="220" w:lineRule="exact"/>
              <w:rPr>
                <w:sz w:val="18"/>
                <w:lang w:val="fr-CH"/>
              </w:rPr>
            </w:pPr>
            <w:r w:rsidRPr="008D3E9F">
              <w:rPr>
                <w:sz w:val="18"/>
                <w:lang w:val="fr-CH"/>
              </w:rPr>
              <w:t>Sousse</w:t>
            </w:r>
          </w:p>
        </w:tc>
        <w:tc>
          <w:tcPr>
            <w:tcW w:w="22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97</w:t>
            </w:r>
          </w:p>
        </w:tc>
        <w:tc>
          <w:tcPr>
            <w:tcW w:w="17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6.086</w:t>
            </w:r>
          </w:p>
        </w:tc>
        <w:tc>
          <w:tcPr>
            <w:tcW w:w="1304"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20</w:t>
            </w:r>
          </w:p>
        </w:tc>
      </w:tr>
      <w:tr w:rsidR="00283379" w:rsidRPr="00283379" w:rsidTr="008D3E9F">
        <w:tc>
          <w:tcPr>
            <w:tcW w:w="2166" w:type="dxa"/>
            <w:shd w:val="clear" w:color="auto" w:fill="auto"/>
          </w:tcPr>
          <w:p w:rsidR="00570B62" w:rsidRPr="008D3E9F" w:rsidRDefault="00570B62" w:rsidP="008D3E9F">
            <w:pPr>
              <w:spacing w:before="40" w:after="40" w:line="220" w:lineRule="exact"/>
              <w:rPr>
                <w:sz w:val="18"/>
                <w:lang w:val="fr-CH"/>
              </w:rPr>
            </w:pPr>
            <w:r w:rsidRPr="008D3E9F">
              <w:rPr>
                <w:sz w:val="18"/>
                <w:lang w:val="fr-CH"/>
              </w:rPr>
              <w:t>Bizerte</w:t>
            </w:r>
          </w:p>
        </w:tc>
        <w:tc>
          <w:tcPr>
            <w:tcW w:w="22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90</w:t>
            </w:r>
          </w:p>
        </w:tc>
        <w:tc>
          <w:tcPr>
            <w:tcW w:w="17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5.987</w:t>
            </w:r>
          </w:p>
        </w:tc>
        <w:tc>
          <w:tcPr>
            <w:tcW w:w="1304"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19</w:t>
            </w:r>
          </w:p>
        </w:tc>
      </w:tr>
      <w:tr w:rsidR="00283379" w:rsidRPr="00283379" w:rsidTr="008D3E9F">
        <w:tc>
          <w:tcPr>
            <w:tcW w:w="2166" w:type="dxa"/>
            <w:shd w:val="clear" w:color="auto" w:fill="auto"/>
          </w:tcPr>
          <w:p w:rsidR="00570B62" w:rsidRPr="008D3E9F" w:rsidRDefault="00570B62" w:rsidP="008D3E9F">
            <w:pPr>
              <w:spacing w:before="40" w:after="40" w:line="220" w:lineRule="exact"/>
              <w:rPr>
                <w:sz w:val="18"/>
                <w:lang w:val="fr-CH"/>
              </w:rPr>
            </w:pPr>
            <w:r w:rsidRPr="008D3E9F">
              <w:rPr>
                <w:sz w:val="18"/>
                <w:lang w:val="fr-CH"/>
              </w:rPr>
              <w:t>Nabeul</w:t>
            </w:r>
          </w:p>
        </w:tc>
        <w:tc>
          <w:tcPr>
            <w:tcW w:w="22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125</w:t>
            </w:r>
          </w:p>
        </w:tc>
        <w:tc>
          <w:tcPr>
            <w:tcW w:w="17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5.868</w:t>
            </w:r>
          </w:p>
        </w:tc>
        <w:tc>
          <w:tcPr>
            <w:tcW w:w="1304"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18</w:t>
            </w:r>
          </w:p>
        </w:tc>
      </w:tr>
      <w:tr w:rsidR="00283379" w:rsidRPr="00283379" w:rsidTr="008D3E9F">
        <w:tc>
          <w:tcPr>
            <w:tcW w:w="2166" w:type="dxa"/>
            <w:shd w:val="clear" w:color="auto" w:fill="auto"/>
          </w:tcPr>
          <w:p w:rsidR="00570B62" w:rsidRPr="008D3E9F" w:rsidRDefault="00570B62" w:rsidP="008D3E9F">
            <w:pPr>
              <w:spacing w:before="40" w:after="40" w:line="220" w:lineRule="exact"/>
              <w:rPr>
                <w:sz w:val="18"/>
                <w:lang w:val="fr-CH"/>
              </w:rPr>
            </w:pPr>
            <w:r w:rsidRPr="008D3E9F">
              <w:rPr>
                <w:sz w:val="18"/>
                <w:lang w:val="fr-CH"/>
              </w:rPr>
              <w:t>Sfax</w:t>
            </w:r>
          </w:p>
        </w:tc>
        <w:tc>
          <w:tcPr>
            <w:tcW w:w="22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156</w:t>
            </w:r>
          </w:p>
        </w:tc>
        <w:tc>
          <w:tcPr>
            <w:tcW w:w="17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5.800</w:t>
            </w:r>
          </w:p>
        </w:tc>
        <w:tc>
          <w:tcPr>
            <w:tcW w:w="1304"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17</w:t>
            </w:r>
          </w:p>
        </w:tc>
      </w:tr>
      <w:tr w:rsidR="00283379" w:rsidRPr="00283379" w:rsidTr="008D3E9F">
        <w:tc>
          <w:tcPr>
            <w:tcW w:w="2166" w:type="dxa"/>
            <w:shd w:val="clear" w:color="auto" w:fill="auto"/>
          </w:tcPr>
          <w:p w:rsidR="00570B62" w:rsidRPr="008D3E9F" w:rsidRDefault="00570B62" w:rsidP="008D3E9F">
            <w:pPr>
              <w:spacing w:before="40" w:after="40" w:line="220" w:lineRule="exact"/>
              <w:rPr>
                <w:sz w:val="18"/>
                <w:lang w:val="fr-CH"/>
              </w:rPr>
            </w:pPr>
            <w:r w:rsidRPr="008D3E9F">
              <w:rPr>
                <w:sz w:val="18"/>
                <w:lang w:val="fr-CH"/>
              </w:rPr>
              <w:t>Monastir</w:t>
            </w:r>
          </w:p>
        </w:tc>
        <w:tc>
          <w:tcPr>
            <w:tcW w:w="22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101</w:t>
            </w:r>
          </w:p>
        </w:tc>
        <w:tc>
          <w:tcPr>
            <w:tcW w:w="17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4.900</w:t>
            </w:r>
          </w:p>
        </w:tc>
        <w:tc>
          <w:tcPr>
            <w:tcW w:w="1304"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16</w:t>
            </w:r>
          </w:p>
        </w:tc>
      </w:tr>
      <w:tr w:rsidR="00283379" w:rsidRPr="00283379" w:rsidTr="008D3E9F">
        <w:tc>
          <w:tcPr>
            <w:tcW w:w="2166" w:type="dxa"/>
            <w:shd w:val="clear" w:color="auto" w:fill="auto"/>
          </w:tcPr>
          <w:p w:rsidR="00570B62" w:rsidRPr="008D3E9F" w:rsidRDefault="00570B62" w:rsidP="008D3E9F">
            <w:pPr>
              <w:spacing w:before="40" w:after="40" w:line="220" w:lineRule="exact"/>
              <w:rPr>
                <w:sz w:val="18"/>
                <w:lang w:val="fr-CH"/>
              </w:rPr>
            </w:pPr>
            <w:r w:rsidRPr="008D3E9F">
              <w:rPr>
                <w:sz w:val="18"/>
                <w:lang w:val="fr-CH"/>
              </w:rPr>
              <w:t>Gabes</w:t>
            </w:r>
          </w:p>
        </w:tc>
        <w:tc>
          <w:tcPr>
            <w:tcW w:w="22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86</w:t>
            </w:r>
          </w:p>
        </w:tc>
        <w:tc>
          <w:tcPr>
            <w:tcW w:w="17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4.122</w:t>
            </w:r>
          </w:p>
        </w:tc>
        <w:tc>
          <w:tcPr>
            <w:tcW w:w="1304"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14</w:t>
            </w:r>
          </w:p>
        </w:tc>
      </w:tr>
      <w:tr w:rsidR="00283379" w:rsidRPr="00283379" w:rsidTr="000316AC">
        <w:tc>
          <w:tcPr>
            <w:tcW w:w="2166" w:type="dxa"/>
            <w:tcBorders>
              <w:bottom w:val="nil"/>
            </w:tcBorders>
            <w:shd w:val="clear" w:color="auto" w:fill="auto"/>
          </w:tcPr>
          <w:p w:rsidR="00570B62" w:rsidRPr="008D3E9F" w:rsidRDefault="00570B62" w:rsidP="008D3E9F">
            <w:pPr>
              <w:spacing w:before="40" w:after="40" w:line="220" w:lineRule="exact"/>
              <w:rPr>
                <w:sz w:val="18"/>
                <w:lang w:val="fr-CH"/>
              </w:rPr>
            </w:pPr>
            <w:r w:rsidRPr="008D3E9F">
              <w:rPr>
                <w:sz w:val="18"/>
                <w:lang w:val="fr-CH"/>
              </w:rPr>
              <w:t>Mednine</w:t>
            </w:r>
          </w:p>
        </w:tc>
        <w:tc>
          <w:tcPr>
            <w:tcW w:w="2200" w:type="dxa"/>
            <w:tcBorders>
              <w:bottom w:val="nil"/>
            </w:tcBorders>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112</w:t>
            </w:r>
          </w:p>
        </w:tc>
        <w:tc>
          <w:tcPr>
            <w:tcW w:w="1700" w:type="dxa"/>
            <w:tcBorders>
              <w:bottom w:val="nil"/>
            </w:tcBorders>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3.995</w:t>
            </w:r>
          </w:p>
        </w:tc>
        <w:tc>
          <w:tcPr>
            <w:tcW w:w="1304" w:type="dxa"/>
            <w:tcBorders>
              <w:bottom w:val="nil"/>
            </w:tcBorders>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13</w:t>
            </w:r>
          </w:p>
        </w:tc>
      </w:tr>
      <w:tr w:rsidR="00283379" w:rsidRPr="00283379" w:rsidTr="000316AC">
        <w:tc>
          <w:tcPr>
            <w:tcW w:w="2166" w:type="dxa"/>
            <w:tcBorders>
              <w:top w:val="nil"/>
              <w:bottom w:val="nil"/>
            </w:tcBorders>
            <w:shd w:val="clear" w:color="auto" w:fill="auto"/>
          </w:tcPr>
          <w:p w:rsidR="00570B62" w:rsidRPr="008D3E9F" w:rsidRDefault="00570B62" w:rsidP="008D3E9F">
            <w:pPr>
              <w:spacing w:before="40" w:after="40" w:line="220" w:lineRule="exact"/>
              <w:rPr>
                <w:sz w:val="18"/>
                <w:lang w:val="fr-CH"/>
              </w:rPr>
            </w:pPr>
            <w:r w:rsidRPr="008D3E9F">
              <w:rPr>
                <w:sz w:val="18"/>
                <w:lang w:val="fr-CH"/>
              </w:rPr>
              <w:t>Mahdia</w:t>
            </w:r>
          </w:p>
        </w:tc>
        <w:tc>
          <w:tcPr>
            <w:tcW w:w="2200" w:type="dxa"/>
            <w:tcBorders>
              <w:top w:val="nil"/>
              <w:bottom w:val="nil"/>
            </w:tcBorders>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113</w:t>
            </w:r>
          </w:p>
        </w:tc>
        <w:tc>
          <w:tcPr>
            <w:tcW w:w="1700" w:type="dxa"/>
            <w:tcBorders>
              <w:top w:val="nil"/>
              <w:bottom w:val="nil"/>
            </w:tcBorders>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3.450</w:t>
            </w:r>
          </w:p>
        </w:tc>
        <w:tc>
          <w:tcPr>
            <w:tcW w:w="1304" w:type="dxa"/>
            <w:tcBorders>
              <w:top w:val="nil"/>
              <w:bottom w:val="nil"/>
            </w:tcBorders>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8</w:t>
            </w:r>
          </w:p>
        </w:tc>
      </w:tr>
      <w:tr w:rsidR="00570B62" w:rsidRPr="00283379" w:rsidTr="000316AC">
        <w:tc>
          <w:tcPr>
            <w:tcW w:w="7370" w:type="dxa"/>
            <w:gridSpan w:val="4"/>
            <w:tcBorders>
              <w:top w:val="nil"/>
            </w:tcBorders>
            <w:shd w:val="clear" w:color="auto" w:fill="auto"/>
          </w:tcPr>
          <w:p w:rsidR="00570B62" w:rsidRPr="008D3E9F" w:rsidRDefault="00570B62" w:rsidP="000316AC">
            <w:pPr>
              <w:keepNext/>
              <w:spacing w:before="40" w:after="40" w:line="220" w:lineRule="exact"/>
              <w:rPr>
                <w:bCs/>
                <w:i/>
                <w:iCs/>
                <w:sz w:val="18"/>
                <w:lang w:val="fr-CH"/>
              </w:rPr>
            </w:pPr>
            <w:r w:rsidRPr="008D3E9F">
              <w:rPr>
                <w:sz w:val="18"/>
                <w:lang w:val="fr-CH"/>
              </w:rPr>
              <w:t>Gouvernorats de l</w:t>
            </w:r>
            <w:r w:rsidR="00961388" w:rsidRPr="008D3E9F">
              <w:rPr>
                <w:sz w:val="18"/>
                <w:lang w:val="fr-CH"/>
              </w:rPr>
              <w:t>’</w:t>
            </w:r>
            <w:r w:rsidRPr="008D3E9F">
              <w:rPr>
                <w:sz w:val="18"/>
                <w:lang w:val="fr-CH"/>
              </w:rPr>
              <w:t>intérieur</w:t>
            </w:r>
          </w:p>
        </w:tc>
      </w:tr>
      <w:tr w:rsidR="00283379" w:rsidRPr="00283379" w:rsidTr="008B7DE6">
        <w:tc>
          <w:tcPr>
            <w:tcW w:w="2166" w:type="dxa"/>
            <w:shd w:val="clear" w:color="auto" w:fill="auto"/>
          </w:tcPr>
          <w:p w:rsidR="00570B62" w:rsidRPr="008D3E9F" w:rsidRDefault="00570B62" w:rsidP="000316AC">
            <w:pPr>
              <w:keepNext/>
              <w:spacing w:before="40" w:after="40" w:line="220" w:lineRule="exact"/>
              <w:rPr>
                <w:sz w:val="18"/>
                <w:lang w:val="fr-CH"/>
              </w:rPr>
            </w:pPr>
            <w:r w:rsidRPr="008D3E9F">
              <w:rPr>
                <w:sz w:val="18"/>
                <w:lang w:val="fr-CH"/>
              </w:rPr>
              <w:t>Kairouan</w:t>
            </w:r>
          </w:p>
        </w:tc>
        <w:tc>
          <w:tcPr>
            <w:tcW w:w="22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130</w:t>
            </w:r>
          </w:p>
        </w:tc>
        <w:tc>
          <w:tcPr>
            <w:tcW w:w="17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4.260</w:t>
            </w:r>
          </w:p>
        </w:tc>
        <w:tc>
          <w:tcPr>
            <w:tcW w:w="1304"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15</w:t>
            </w:r>
          </w:p>
        </w:tc>
      </w:tr>
      <w:tr w:rsidR="00283379" w:rsidRPr="00283379" w:rsidTr="008B7DE6">
        <w:tc>
          <w:tcPr>
            <w:tcW w:w="2166" w:type="dxa"/>
            <w:shd w:val="clear" w:color="auto" w:fill="auto"/>
          </w:tcPr>
          <w:p w:rsidR="00570B62" w:rsidRPr="008D3E9F" w:rsidRDefault="00570B62" w:rsidP="000316AC">
            <w:pPr>
              <w:keepNext/>
              <w:spacing w:before="40" w:after="40" w:line="220" w:lineRule="exact"/>
              <w:rPr>
                <w:sz w:val="18"/>
                <w:lang w:val="fr-CH"/>
              </w:rPr>
            </w:pPr>
            <w:r w:rsidRPr="008D3E9F">
              <w:rPr>
                <w:sz w:val="18"/>
                <w:lang w:val="fr-CH"/>
              </w:rPr>
              <w:t>Jendouba</w:t>
            </w:r>
          </w:p>
        </w:tc>
        <w:tc>
          <w:tcPr>
            <w:tcW w:w="22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114</w:t>
            </w:r>
          </w:p>
        </w:tc>
        <w:tc>
          <w:tcPr>
            <w:tcW w:w="17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3.688</w:t>
            </w:r>
          </w:p>
        </w:tc>
        <w:tc>
          <w:tcPr>
            <w:tcW w:w="1304"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12</w:t>
            </w:r>
          </w:p>
        </w:tc>
      </w:tr>
      <w:tr w:rsidR="00283379" w:rsidRPr="00283379" w:rsidTr="008B7DE6">
        <w:tc>
          <w:tcPr>
            <w:tcW w:w="2166" w:type="dxa"/>
            <w:shd w:val="clear" w:color="auto" w:fill="auto"/>
          </w:tcPr>
          <w:p w:rsidR="00570B62" w:rsidRPr="008D3E9F" w:rsidRDefault="00570B62" w:rsidP="008D3E9F">
            <w:pPr>
              <w:spacing w:before="40" w:after="40" w:line="220" w:lineRule="exact"/>
              <w:rPr>
                <w:sz w:val="18"/>
                <w:lang w:val="fr-CH"/>
              </w:rPr>
            </w:pPr>
            <w:r w:rsidRPr="008D3E9F">
              <w:rPr>
                <w:sz w:val="18"/>
                <w:lang w:val="fr-CH"/>
              </w:rPr>
              <w:t>Sidi bou Zid</w:t>
            </w:r>
          </w:p>
        </w:tc>
        <w:tc>
          <w:tcPr>
            <w:tcW w:w="22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111</w:t>
            </w:r>
          </w:p>
        </w:tc>
        <w:tc>
          <w:tcPr>
            <w:tcW w:w="17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3.666</w:t>
            </w:r>
          </w:p>
        </w:tc>
        <w:tc>
          <w:tcPr>
            <w:tcW w:w="1304"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11</w:t>
            </w:r>
          </w:p>
        </w:tc>
      </w:tr>
      <w:tr w:rsidR="00283379" w:rsidRPr="00283379" w:rsidTr="008B7DE6">
        <w:tc>
          <w:tcPr>
            <w:tcW w:w="2166" w:type="dxa"/>
            <w:shd w:val="clear" w:color="auto" w:fill="auto"/>
          </w:tcPr>
          <w:p w:rsidR="00570B62" w:rsidRPr="008D3E9F" w:rsidRDefault="00570B62" w:rsidP="008D3E9F">
            <w:pPr>
              <w:spacing w:before="40" w:after="40" w:line="220" w:lineRule="exact"/>
              <w:rPr>
                <w:sz w:val="18"/>
                <w:lang w:val="fr-CH"/>
              </w:rPr>
            </w:pPr>
            <w:r w:rsidRPr="008D3E9F">
              <w:rPr>
                <w:sz w:val="18"/>
                <w:lang w:val="fr-CH"/>
              </w:rPr>
              <w:t>Gafsa</w:t>
            </w:r>
          </w:p>
        </w:tc>
        <w:tc>
          <w:tcPr>
            <w:tcW w:w="22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92</w:t>
            </w:r>
          </w:p>
        </w:tc>
        <w:tc>
          <w:tcPr>
            <w:tcW w:w="17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3.653</w:t>
            </w:r>
          </w:p>
        </w:tc>
        <w:tc>
          <w:tcPr>
            <w:tcW w:w="1304"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10</w:t>
            </w:r>
          </w:p>
        </w:tc>
      </w:tr>
      <w:tr w:rsidR="00283379" w:rsidRPr="00283379" w:rsidTr="008B7DE6">
        <w:tc>
          <w:tcPr>
            <w:tcW w:w="2166" w:type="dxa"/>
            <w:tcBorders>
              <w:bottom w:val="nil"/>
            </w:tcBorders>
            <w:shd w:val="clear" w:color="auto" w:fill="auto"/>
          </w:tcPr>
          <w:p w:rsidR="00570B62" w:rsidRPr="008D3E9F" w:rsidRDefault="00570B62" w:rsidP="008D3E9F">
            <w:pPr>
              <w:spacing w:before="40" w:after="40" w:line="220" w:lineRule="exact"/>
              <w:rPr>
                <w:sz w:val="18"/>
                <w:lang w:val="fr-CH"/>
              </w:rPr>
            </w:pPr>
            <w:r w:rsidRPr="008D3E9F">
              <w:rPr>
                <w:sz w:val="18"/>
                <w:lang w:val="fr-CH"/>
              </w:rPr>
              <w:t>Kasserine</w:t>
            </w:r>
          </w:p>
        </w:tc>
        <w:tc>
          <w:tcPr>
            <w:tcW w:w="2200" w:type="dxa"/>
            <w:tcBorders>
              <w:bottom w:val="nil"/>
            </w:tcBorders>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118</w:t>
            </w:r>
          </w:p>
        </w:tc>
        <w:tc>
          <w:tcPr>
            <w:tcW w:w="1700" w:type="dxa"/>
            <w:tcBorders>
              <w:bottom w:val="nil"/>
            </w:tcBorders>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3.601</w:t>
            </w:r>
          </w:p>
        </w:tc>
        <w:tc>
          <w:tcPr>
            <w:tcW w:w="1304" w:type="dxa"/>
            <w:tcBorders>
              <w:bottom w:val="nil"/>
            </w:tcBorders>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9</w:t>
            </w:r>
          </w:p>
        </w:tc>
      </w:tr>
      <w:tr w:rsidR="00283379" w:rsidRPr="00283379" w:rsidTr="008B7DE6">
        <w:tc>
          <w:tcPr>
            <w:tcW w:w="2166" w:type="dxa"/>
            <w:tcBorders>
              <w:top w:val="nil"/>
              <w:bottom w:val="nil"/>
            </w:tcBorders>
            <w:shd w:val="clear" w:color="auto" w:fill="auto"/>
          </w:tcPr>
          <w:p w:rsidR="00570B62" w:rsidRPr="008D3E9F" w:rsidRDefault="00570B62" w:rsidP="00243DA0">
            <w:pPr>
              <w:keepNext/>
              <w:spacing w:before="40" w:after="40" w:line="220" w:lineRule="exact"/>
              <w:rPr>
                <w:sz w:val="18"/>
                <w:lang w:val="fr-CH"/>
              </w:rPr>
            </w:pPr>
            <w:r w:rsidRPr="008D3E9F">
              <w:rPr>
                <w:sz w:val="18"/>
                <w:lang w:val="fr-CH"/>
              </w:rPr>
              <w:t>Zaghouan</w:t>
            </w:r>
          </w:p>
        </w:tc>
        <w:tc>
          <w:tcPr>
            <w:tcW w:w="2200" w:type="dxa"/>
            <w:tcBorders>
              <w:top w:val="nil"/>
              <w:bottom w:val="nil"/>
            </w:tcBorders>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49</w:t>
            </w:r>
          </w:p>
        </w:tc>
        <w:tc>
          <w:tcPr>
            <w:tcW w:w="1700" w:type="dxa"/>
            <w:tcBorders>
              <w:top w:val="nil"/>
              <w:bottom w:val="nil"/>
            </w:tcBorders>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3.410</w:t>
            </w:r>
          </w:p>
        </w:tc>
        <w:tc>
          <w:tcPr>
            <w:tcW w:w="1304" w:type="dxa"/>
            <w:tcBorders>
              <w:top w:val="nil"/>
              <w:bottom w:val="nil"/>
            </w:tcBorders>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7</w:t>
            </w:r>
          </w:p>
        </w:tc>
      </w:tr>
      <w:tr w:rsidR="00283379" w:rsidRPr="00283379" w:rsidTr="008B7DE6">
        <w:tc>
          <w:tcPr>
            <w:tcW w:w="2166" w:type="dxa"/>
            <w:tcBorders>
              <w:top w:val="nil"/>
            </w:tcBorders>
            <w:shd w:val="clear" w:color="auto" w:fill="auto"/>
          </w:tcPr>
          <w:p w:rsidR="00570B62" w:rsidRPr="008D3E9F" w:rsidRDefault="00570B62" w:rsidP="008D3E9F">
            <w:pPr>
              <w:spacing w:before="40" w:after="40" w:line="220" w:lineRule="exact"/>
              <w:rPr>
                <w:sz w:val="18"/>
                <w:lang w:val="fr-CH"/>
              </w:rPr>
            </w:pPr>
            <w:r w:rsidRPr="008D3E9F">
              <w:rPr>
                <w:sz w:val="18"/>
                <w:lang w:val="fr-CH"/>
              </w:rPr>
              <w:t>Beja</w:t>
            </w:r>
          </w:p>
        </w:tc>
        <w:tc>
          <w:tcPr>
            <w:tcW w:w="2200" w:type="dxa"/>
            <w:tcBorders>
              <w:top w:val="nil"/>
            </w:tcBorders>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94</w:t>
            </w:r>
          </w:p>
        </w:tc>
        <w:tc>
          <w:tcPr>
            <w:tcW w:w="1700" w:type="dxa"/>
            <w:tcBorders>
              <w:top w:val="nil"/>
            </w:tcBorders>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3.237</w:t>
            </w:r>
          </w:p>
        </w:tc>
        <w:tc>
          <w:tcPr>
            <w:tcW w:w="1304" w:type="dxa"/>
            <w:tcBorders>
              <w:top w:val="nil"/>
            </w:tcBorders>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6</w:t>
            </w:r>
          </w:p>
        </w:tc>
      </w:tr>
      <w:tr w:rsidR="00283379" w:rsidRPr="00283379" w:rsidTr="008B7DE6">
        <w:tc>
          <w:tcPr>
            <w:tcW w:w="2166" w:type="dxa"/>
            <w:shd w:val="clear" w:color="auto" w:fill="auto"/>
          </w:tcPr>
          <w:p w:rsidR="00570B62" w:rsidRPr="008D3E9F" w:rsidRDefault="00570B62" w:rsidP="008D3E9F">
            <w:pPr>
              <w:spacing w:before="40" w:after="40" w:line="220" w:lineRule="exact"/>
              <w:rPr>
                <w:sz w:val="18"/>
                <w:lang w:val="fr-CH"/>
              </w:rPr>
            </w:pPr>
            <w:r w:rsidRPr="008D3E9F">
              <w:rPr>
                <w:sz w:val="18"/>
                <w:lang w:val="fr-CH"/>
              </w:rPr>
              <w:t>Tozeur</w:t>
            </w:r>
          </w:p>
        </w:tc>
        <w:tc>
          <w:tcPr>
            <w:tcW w:w="22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32</w:t>
            </w:r>
          </w:p>
        </w:tc>
        <w:tc>
          <w:tcPr>
            <w:tcW w:w="17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3.165</w:t>
            </w:r>
          </w:p>
        </w:tc>
        <w:tc>
          <w:tcPr>
            <w:tcW w:w="1304"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5</w:t>
            </w:r>
          </w:p>
        </w:tc>
      </w:tr>
      <w:tr w:rsidR="00283379" w:rsidRPr="00283379" w:rsidTr="008B7DE6">
        <w:tc>
          <w:tcPr>
            <w:tcW w:w="2166" w:type="dxa"/>
            <w:shd w:val="clear" w:color="auto" w:fill="auto"/>
          </w:tcPr>
          <w:p w:rsidR="00570B62" w:rsidRPr="008D3E9F" w:rsidRDefault="00570B62" w:rsidP="008D3E9F">
            <w:pPr>
              <w:spacing w:before="40" w:after="40" w:line="220" w:lineRule="exact"/>
              <w:rPr>
                <w:sz w:val="18"/>
                <w:lang w:val="fr-CH"/>
              </w:rPr>
            </w:pPr>
            <w:r w:rsidRPr="008D3E9F">
              <w:rPr>
                <w:sz w:val="18"/>
                <w:lang w:val="fr-CH"/>
              </w:rPr>
              <w:t>Le Kef</w:t>
            </w:r>
          </w:p>
        </w:tc>
        <w:tc>
          <w:tcPr>
            <w:tcW w:w="22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94</w:t>
            </w:r>
          </w:p>
        </w:tc>
        <w:tc>
          <w:tcPr>
            <w:tcW w:w="17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2.730</w:t>
            </w:r>
          </w:p>
        </w:tc>
        <w:tc>
          <w:tcPr>
            <w:tcW w:w="1304"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4</w:t>
            </w:r>
          </w:p>
        </w:tc>
      </w:tr>
      <w:tr w:rsidR="00283379" w:rsidRPr="00283379" w:rsidTr="008B7DE6">
        <w:tc>
          <w:tcPr>
            <w:tcW w:w="2166" w:type="dxa"/>
            <w:shd w:val="clear" w:color="auto" w:fill="auto"/>
          </w:tcPr>
          <w:p w:rsidR="00570B62" w:rsidRPr="008D3E9F" w:rsidRDefault="00570B62" w:rsidP="008D3E9F">
            <w:pPr>
              <w:spacing w:before="40" w:after="40" w:line="220" w:lineRule="exact"/>
              <w:rPr>
                <w:sz w:val="18"/>
                <w:lang w:val="fr-CH"/>
              </w:rPr>
            </w:pPr>
            <w:r w:rsidRPr="008D3E9F">
              <w:rPr>
                <w:sz w:val="18"/>
                <w:lang w:val="fr-CH"/>
              </w:rPr>
              <w:t>Seliana</w:t>
            </w:r>
          </w:p>
        </w:tc>
        <w:tc>
          <w:tcPr>
            <w:tcW w:w="22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88</w:t>
            </w:r>
          </w:p>
        </w:tc>
        <w:tc>
          <w:tcPr>
            <w:tcW w:w="1700"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2.650</w:t>
            </w:r>
          </w:p>
        </w:tc>
        <w:tc>
          <w:tcPr>
            <w:tcW w:w="1304" w:type="dxa"/>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3</w:t>
            </w:r>
          </w:p>
        </w:tc>
      </w:tr>
      <w:tr w:rsidR="00283379" w:rsidRPr="00283379" w:rsidTr="0056142F">
        <w:tc>
          <w:tcPr>
            <w:tcW w:w="2166" w:type="dxa"/>
            <w:tcBorders>
              <w:bottom w:val="nil"/>
            </w:tcBorders>
            <w:shd w:val="clear" w:color="auto" w:fill="auto"/>
          </w:tcPr>
          <w:p w:rsidR="00570B62" w:rsidRPr="008D3E9F" w:rsidRDefault="00570B62" w:rsidP="008D3E9F">
            <w:pPr>
              <w:spacing w:before="40" w:after="40" w:line="220" w:lineRule="exact"/>
              <w:rPr>
                <w:sz w:val="18"/>
                <w:lang w:val="fr-CH"/>
              </w:rPr>
            </w:pPr>
            <w:r w:rsidRPr="008D3E9F">
              <w:rPr>
                <w:sz w:val="18"/>
                <w:lang w:val="fr-CH"/>
              </w:rPr>
              <w:t>Kebili</w:t>
            </w:r>
          </w:p>
        </w:tc>
        <w:tc>
          <w:tcPr>
            <w:tcW w:w="2200" w:type="dxa"/>
            <w:tcBorders>
              <w:bottom w:val="nil"/>
            </w:tcBorders>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57</w:t>
            </w:r>
          </w:p>
        </w:tc>
        <w:tc>
          <w:tcPr>
            <w:tcW w:w="1700" w:type="dxa"/>
            <w:tcBorders>
              <w:bottom w:val="nil"/>
            </w:tcBorders>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2.593</w:t>
            </w:r>
          </w:p>
        </w:tc>
        <w:tc>
          <w:tcPr>
            <w:tcW w:w="1304" w:type="dxa"/>
            <w:tcBorders>
              <w:bottom w:val="nil"/>
            </w:tcBorders>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2</w:t>
            </w:r>
          </w:p>
        </w:tc>
      </w:tr>
      <w:tr w:rsidR="00283379" w:rsidRPr="00283379" w:rsidTr="0056142F">
        <w:tc>
          <w:tcPr>
            <w:tcW w:w="2166" w:type="dxa"/>
            <w:tcBorders>
              <w:top w:val="nil"/>
              <w:bottom w:val="single" w:sz="12" w:space="0" w:color="auto"/>
            </w:tcBorders>
            <w:shd w:val="clear" w:color="auto" w:fill="auto"/>
          </w:tcPr>
          <w:p w:rsidR="00570B62" w:rsidRPr="008D3E9F" w:rsidRDefault="00570B62" w:rsidP="008D3E9F">
            <w:pPr>
              <w:spacing w:before="40" w:after="40" w:line="220" w:lineRule="exact"/>
              <w:rPr>
                <w:sz w:val="18"/>
                <w:lang w:val="fr-CH"/>
              </w:rPr>
            </w:pPr>
            <w:r w:rsidRPr="008D3E9F">
              <w:rPr>
                <w:sz w:val="18"/>
                <w:lang w:val="fr-CH"/>
              </w:rPr>
              <w:t>Tataouine</w:t>
            </w:r>
          </w:p>
        </w:tc>
        <w:tc>
          <w:tcPr>
            <w:tcW w:w="2200" w:type="dxa"/>
            <w:tcBorders>
              <w:top w:val="nil"/>
              <w:bottom w:val="single" w:sz="12" w:space="0" w:color="auto"/>
            </w:tcBorders>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62</w:t>
            </w:r>
          </w:p>
        </w:tc>
        <w:tc>
          <w:tcPr>
            <w:tcW w:w="1700" w:type="dxa"/>
            <w:tcBorders>
              <w:top w:val="nil"/>
              <w:bottom w:val="single" w:sz="12" w:space="0" w:color="auto"/>
            </w:tcBorders>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2.334</w:t>
            </w:r>
          </w:p>
        </w:tc>
        <w:tc>
          <w:tcPr>
            <w:tcW w:w="1304" w:type="dxa"/>
            <w:tcBorders>
              <w:top w:val="nil"/>
              <w:bottom w:val="single" w:sz="12" w:space="0" w:color="auto"/>
            </w:tcBorders>
            <w:shd w:val="clear" w:color="auto" w:fill="auto"/>
          </w:tcPr>
          <w:p w:rsidR="00570B62" w:rsidRPr="008D3E9F" w:rsidRDefault="00570B62" w:rsidP="008D3E9F">
            <w:pPr>
              <w:spacing w:before="40" w:after="40" w:line="220" w:lineRule="exact"/>
              <w:jc w:val="right"/>
              <w:rPr>
                <w:sz w:val="18"/>
                <w:lang w:val="fr-CH"/>
              </w:rPr>
            </w:pPr>
            <w:r w:rsidRPr="008D3E9F">
              <w:rPr>
                <w:sz w:val="18"/>
                <w:lang w:val="fr-CH"/>
              </w:rPr>
              <w:t>1</w:t>
            </w:r>
          </w:p>
        </w:tc>
      </w:tr>
    </w:tbl>
    <w:p w:rsidR="00570B62" w:rsidRPr="00961388" w:rsidRDefault="00570B62" w:rsidP="008D3E9F">
      <w:pPr>
        <w:pStyle w:val="SingleTxtG"/>
        <w:spacing w:before="240"/>
        <w:rPr>
          <w:lang w:val="fr-CH"/>
        </w:rPr>
      </w:pPr>
      <w:r w:rsidRPr="00961388">
        <w:rPr>
          <w:lang w:val="fr-CH"/>
        </w:rPr>
        <w:t>333.</w:t>
      </w:r>
      <w:r w:rsidRPr="00961388">
        <w:rPr>
          <w:lang w:val="fr-CH"/>
        </w:rPr>
        <w:tab/>
        <w:t>Les orientations et les objectifs visant la promotion de la santé des femmes en général et la santé de la reproduction en particulier ont toujours figuré parmi les priorités de santé publique aussi bien dans les plans de développement que dans les programmes présidentiels.</w:t>
      </w:r>
    </w:p>
    <w:p w:rsidR="00023EB3" w:rsidRDefault="00570B62" w:rsidP="00023EB3">
      <w:pPr>
        <w:pStyle w:val="SingleTxtG"/>
        <w:rPr>
          <w:lang w:val="fr-CH"/>
        </w:rPr>
      </w:pPr>
      <w:r w:rsidRPr="00961388">
        <w:rPr>
          <w:lang w:val="fr-CH"/>
        </w:rPr>
        <w:t>334.</w:t>
      </w:r>
      <w:r w:rsidRPr="00961388">
        <w:rPr>
          <w:lang w:val="fr-CH"/>
        </w:rPr>
        <w:tab/>
        <w:t>Pour le plan quinquennal 2007-</w:t>
      </w:r>
      <w:r w:rsidR="0056142F">
        <w:rPr>
          <w:lang w:val="fr-CH"/>
        </w:rPr>
        <w:t>2</w:t>
      </w:r>
      <w:r w:rsidRPr="00961388">
        <w:rPr>
          <w:lang w:val="fr-CH"/>
        </w:rPr>
        <w:t>011, les objectifs tracés étaient de</w:t>
      </w:r>
      <w:r w:rsidR="00961388">
        <w:rPr>
          <w:lang w:val="fr-CH"/>
        </w:rPr>
        <w:t>:</w:t>
      </w:r>
    </w:p>
    <w:p w:rsidR="00023EB3" w:rsidRDefault="00570B62" w:rsidP="00023EB3">
      <w:pPr>
        <w:pStyle w:val="Bullet1G"/>
        <w:rPr>
          <w:lang w:val="fr-CH"/>
        </w:rPr>
      </w:pPr>
      <w:r w:rsidRPr="00961388">
        <w:rPr>
          <w:lang w:val="fr-CH"/>
        </w:rPr>
        <w:t>Réduire la mortalité maternelle à moins de 35 /100000NV</w:t>
      </w:r>
      <w:r w:rsidR="00961388">
        <w:rPr>
          <w:lang w:val="fr-CH"/>
        </w:rPr>
        <w:t>;</w:t>
      </w:r>
    </w:p>
    <w:p w:rsidR="00023EB3" w:rsidRDefault="00570B62" w:rsidP="00023EB3">
      <w:pPr>
        <w:pStyle w:val="Bullet1G"/>
        <w:rPr>
          <w:lang w:val="fr-CH"/>
        </w:rPr>
      </w:pPr>
      <w:r w:rsidRPr="00961388">
        <w:rPr>
          <w:lang w:val="fr-CH"/>
        </w:rPr>
        <w:t>Améliorer la couverture par les services de périnatalité pour réaliser des</w:t>
      </w:r>
      <w:r w:rsidR="00961388">
        <w:rPr>
          <w:lang w:val="fr-CH"/>
        </w:rPr>
        <w:t>:</w:t>
      </w:r>
    </w:p>
    <w:p w:rsidR="00023EB3" w:rsidRDefault="00570B62" w:rsidP="00023EB3">
      <w:pPr>
        <w:pStyle w:val="Bullet2G"/>
        <w:rPr>
          <w:lang w:val="fr-CH"/>
        </w:rPr>
      </w:pPr>
      <w:r w:rsidRPr="00961388">
        <w:rPr>
          <w:lang w:val="fr-CH"/>
        </w:rPr>
        <w:t>Taux de couverture par au moins une consultation prénatale supérieur à 90</w:t>
      </w:r>
      <w:r w:rsidR="00FC7BA3">
        <w:rPr>
          <w:lang w:val="fr-CH"/>
        </w:rPr>
        <w:t> </w:t>
      </w:r>
      <w:r w:rsidR="001973D8">
        <w:rPr>
          <w:lang w:val="fr-CH"/>
        </w:rPr>
        <w:t>%</w:t>
      </w:r>
      <w:r w:rsidR="00FC7BA3">
        <w:rPr>
          <w:lang w:val="fr-CH"/>
        </w:rPr>
        <w:t>;</w:t>
      </w:r>
    </w:p>
    <w:p w:rsidR="00023EB3" w:rsidRDefault="00570B62" w:rsidP="00023EB3">
      <w:pPr>
        <w:pStyle w:val="Bullet2G"/>
        <w:rPr>
          <w:lang w:val="fr-CH"/>
        </w:rPr>
      </w:pPr>
      <w:r w:rsidRPr="00961388">
        <w:rPr>
          <w:lang w:val="fr-CH"/>
        </w:rPr>
        <w:t>Taux de couverture par au moins quatre consultations prénatales supérieur à 80</w:t>
      </w:r>
      <w:r w:rsidR="001973D8">
        <w:rPr>
          <w:lang w:val="fr-CH"/>
        </w:rPr>
        <w:t xml:space="preserve"> %</w:t>
      </w:r>
      <w:r w:rsidR="00FC7BA3">
        <w:rPr>
          <w:lang w:val="fr-CH"/>
        </w:rPr>
        <w:t>;</w:t>
      </w:r>
    </w:p>
    <w:p w:rsidR="00023EB3" w:rsidRDefault="00570B62" w:rsidP="00023EB3">
      <w:pPr>
        <w:pStyle w:val="Bullet2G"/>
        <w:rPr>
          <w:lang w:val="fr-CH"/>
        </w:rPr>
      </w:pPr>
      <w:r w:rsidRPr="00961388">
        <w:rPr>
          <w:lang w:val="fr-CH"/>
        </w:rPr>
        <w:t>Taux de couverture post natale supérieur à 70</w:t>
      </w:r>
      <w:r w:rsidR="001973D8">
        <w:rPr>
          <w:lang w:val="fr-CH"/>
        </w:rPr>
        <w:t xml:space="preserve"> %</w:t>
      </w:r>
      <w:r w:rsidR="00FC7BA3">
        <w:rPr>
          <w:lang w:val="fr-CH"/>
        </w:rPr>
        <w:t>;</w:t>
      </w:r>
    </w:p>
    <w:p w:rsidR="00570B62" w:rsidRPr="00961388" w:rsidRDefault="00570B62" w:rsidP="00023EB3">
      <w:pPr>
        <w:pStyle w:val="Bullet2G"/>
        <w:rPr>
          <w:lang w:val="fr-CH"/>
        </w:rPr>
      </w:pPr>
      <w:r w:rsidRPr="00961388">
        <w:rPr>
          <w:lang w:val="fr-CH"/>
        </w:rPr>
        <w:t>Taux d</w:t>
      </w:r>
      <w:r w:rsidR="00961388">
        <w:rPr>
          <w:lang w:val="fr-CH"/>
        </w:rPr>
        <w:t>’</w:t>
      </w:r>
      <w:r w:rsidRPr="00961388">
        <w:rPr>
          <w:lang w:val="fr-CH"/>
        </w:rPr>
        <w:t>accouchement en milieu assisté de 100</w:t>
      </w:r>
      <w:r w:rsidR="001973D8">
        <w:rPr>
          <w:lang w:val="fr-CH"/>
        </w:rPr>
        <w:t xml:space="preserve"> %</w:t>
      </w:r>
      <w:r w:rsidRPr="00961388">
        <w:rPr>
          <w:lang w:val="fr-CH"/>
        </w:rPr>
        <w:t>.</w:t>
      </w:r>
    </w:p>
    <w:p w:rsidR="00023EB3" w:rsidRDefault="00570B62" w:rsidP="00023EB3">
      <w:pPr>
        <w:pStyle w:val="SingleTxtG"/>
        <w:rPr>
          <w:lang w:val="fr-CH"/>
        </w:rPr>
      </w:pPr>
      <w:r w:rsidRPr="00961388">
        <w:rPr>
          <w:lang w:val="fr-CH"/>
        </w:rPr>
        <w:t>335.</w:t>
      </w:r>
      <w:r w:rsidRPr="00961388">
        <w:rPr>
          <w:lang w:val="fr-CH"/>
        </w:rPr>
        <w:tab/>
        <w:t>Se basant sur l</w:t>
      </w:r>
      <w:r w:rsidR="00961388">
        <w:rPr>
          <w:lang w:val="fr-CH"/>
        </w:rPr>
        <w:t>’</w:t>
      </w:r>
      <w:r w:rsidRPr="00961388">
        <w:rPr>
          <w:lang w:val="fr-CH"/>
        </w:rPr>
        <w:t>enquête MICS3 (</w:t>
      </w:r>
      <w:r w:rsidRPr="00961388">
        <w:rPr>
          <w:i/>
          <w:iCs/>
          <w:lang w:val="fr-CH"/>
        </w:rPr>
        <w:t>Multiple Indicator Cluster Surveys</w:t>
      </w:r>
      <w:r w:rsidRPr="00961388">
        <w:rPr>
          <w:lang w:val="fr-CH"/>
        </w:rPr>
        <w:t>) menée en 2006, l</w:t>
      </w:r>
      <w:r w:rsidR="00961388">
        <w:rPr>
          <w:lang w:val="fr-CH"/>
        </w:rPr>
        <w:t>’</w:t>
      </w:r>
      <w:r w:rsidRPr="00961388">
        <w:rPr>
          <w:lang w:val="fr-CH"/>
        </w:rPr>
        <w:t>évaluation à mi-parcours des progrès enregistrés pour atteindre ces objectifs fait dégager les résultats suivants</w:t>
      </w:r>
      <w:r w:rsidR="00961388">
        <w:rPr>
          <w:lang w:val="fr-CH"/>
        </w:rPr>
        <w:t>:</w:t>
      </w:r>
    </w:p>
    <w:p w:rsidR="00023EB3" w:rsidRDefault="00570B62" w:rsidP="00023EB3">
      <w:pPr>
        <w:pStyle w:val="Bullet1G"/>
        <w:rPr>
          <w:lang w:val="fr-CH"/>
        </w:rPr>
      </w:pPr>
      <w:r w:rsidRPr="00961388">
        <w:rPr>
          <w:lang w:val="fr-CH"/>
        </w:rPr>
        <w:t>Le taux de couverture par au moins une consultation prénatale a dépassé l</w:t>
      </w:r>
      <w:r w:rsidR="00961388">
        <w:rPr>
          <w:lang w:val="fr-CH"/>
        </w:rPr>
        <w:t>’</w:t>
      </w:r>
      <w:r w:rsidRPr="00961388">
        <w:rPr>
          <w:lang w:val="fr-CH"/>
        </w:rPr>
        <w:t>objectif tracé pour atteindre 96</w:t>
      </w:r>
      <w:r w:rsidR="001973D8">
        <w:rPr>
          <w:lang w:val="fr-CH"/>
        </w:rPr>
        <w:t xml:space="preserve"> %</w:t>
      </w:r>
      <w:r w:rsidRPr="00961388">
        <w:rPr>
          <w:lang w:val="fr-CH"/>
        </w:rPr>
        <w:t>. Ce taux varie de 99,6</w:t>
      </w:r>
      <w:r w:rsidR="001973D8">
        <w:rPr>
          <w:lang w:val="fr-CH"/>
        </w:rPr>
        <w:t xml:space="preserve"> %</w:t>
      </w:r>
      <w:r w:rsidRPr="00961388">
        <w:rPr>
          <w:lang w:val="fr-CH"/>
        </w:rPr>
        <w:t xml:space="preserve"> dans le gouvernorat de Nabeul à 84</w:t>
      </w:r>
      <w:r w:rsidR="001973D8">
        <w:rPr>
          <w:lang w:val="fr-CH"/>
        </w:rPr>
        <w:t xml:space="preserve"> %</w:t>
      </w:r>
      <w:r w:rsidRPr="00961388">
        <w:rPr>
          <w:lang w:val="fr-CH"/>
        </w:rPr>
        <w:t xml:space="preserve"> dans le gouvernorat de Kasserine</w:t>
      </w:r>
      <w:r w:rsidR="00961388">
        <w:rPr>
          <w:lang w:val="fr-CH"/>
        </w:rPr>
        <w:t>;</w:t>
      </w:r>
    </w:p>
    <w:p w:rsidR="00023EB3" w:rsidRDefault="00570B62" w:rsidP="00023EB3">
      <w:pPr>
        <w:pStyle w:val="Bullet1G"/>
        <w:rPr>
          <w:lang w:val="fr-CH"/>
        </w:rPr>
      </w:pPr>
      <w:r w:rsidRPr="00961388">
        <w:rPr>
          <w:lang w:val="fr-CH"/>
        </w:rPr>
        <w:t>Le taux de couverture par au moins quatre consultations prénatales a atteint 67,5</w:t>
      </w:r>
      <w:r w:rsidR="001973D8">
        <w:rPr>
          <w:lang w:val="fr-CH"/>
        </w:rPr>
        <w:t xml:space="preserve"> %</w:t>
      </w:r>
      <w:r w:rsidRPr="00961388">
        <w:rPr>
          <w:lang w:val="fr-CH"/>
        </w:rPr>
        <w:t xml:space="preserve"> contre 28,30</w:t>
      </w:r>
      <w:r w:rsidR="001973D8">
        <w:rPr>
          <w:lang w:val="fr-CH"/>
        </w:rPr>
        <w:t xml:space="preserve"> %</w:t>
      </w:r>
      <w:r w:rsidRPr="00961388">
        <w:rPr>
          <w:lang w:val="fr-CH"/>
        </w:rPr>
        <w:t xml:space="preserve"> en 1989</w:t>
      </w:r>
      <w:r w:rsidR="00961388">
        <w:rPr>
          <w:lang w:val="fr-CH"/>
        </w:rPr>
        <w:t>;</w:t>
      </w:r>
    </w:p>
    <w:p w:rsidR="00023EB3" w:rsidRDefault="00570B62" w:rsidP="00023EB3">
      <w:pPr>
        <w:pStyle w:val="Bullet1G"/>
        <w:rPr>
          <w:lang w:val="fr-CH"/>
        </w:rPr>
      </w:pPr>
      <w:r w:rsidRPr="00961388">
        <w:rPr>
          <w:lang w:val="fr-CH"/>
        </w:rPr>
        <w:t>Le taux de couverture postnatale qui était de 39,3</w:t>
      </w:r>
      <w:r w:rsidR="001973D8">
        <w:rPr>
          <w:lang w:val="fr-CH"/>
        </w:rPr>
        <w:t xml:space="preserve"> %</w:t>
      </w:r>
      <w:r w:rsidRPr="00961388">
        <w:rPr>
          <w:lang w:val="fr-CH"/>
        </w:rPr>
        <w:t xml:space="preserve"> en 1989 a pu atteindre le taux de 51,3</w:t>
      </w:r>
      <w:r w:rsidR="001973D8">
        <w:rPr>
          <w:lang w:val="fr-CH"/>
        </w:rPr>
        <w:t xml:space="preserve"> %</w:t>
      </w:r>
      <w:r w:rsidR="00961388">
        <w:rPr>
          <w:lang w:val="fr-CH"/>
        </w:rPr>
        <w:t>;</w:t>
      </w:r>
    </w:p>
    <w:p w:rsidR="00570B62" w:rsidRPr="00961388" w:rsidRDefault="00570B62" w:rsidP="00023EB3">
      <w:pPr>
        <w:pStyle w:val="Bullet1G"/>
        <w:rPr>
          <w:lang w:val="fr-CH"/>
        </w:rPr>
      </w:pPr>
      <w:r w:rsidRPr="00961388">
        <w:rPr>
          <w:lang w:val="fr-CH"/>
        </w:rPr>
        <w:t>Le taux d</w:t>
      </w:r>
      <w:r w:rsidR="00961388">
        <w:rPr>
          <w:lang w:val="fr-CH"/>
        </w:rPr>
        <w:t>’</w:t>
      </w:r>
      <w:r w:rsidRPr="00961388">
        <w:rPr>
          <w:lang w:val="fr-CH"/>
        </w:rPr>
        <w:t>accouchement en milieu assisté a augmenté de 23</w:t>
      </w:r>
      <w:r w:rsidR="001973D8">
        <w:rPr>
          <w:lang w:val="fr-CH"/>
        </w:rPr>
        <w:t xml:space="preserve"> %</w:t>
      </w:r>
      <w:r w:rsidRPr="00961388">
        <w:rPr>
          <w:lang w:val="fr-CH"/>
        </w:rPr>
        <w:t xml:space="preserve"> passant de 71,3</w:t>
      </w:r>
      <w:r w:rsidR="001973D8">
        <w:rPr>
          <w:lang w:val="fr-CH"/>
        </w:rPr>
        <w:t xml:space="preserve"> %</w:t>
      </w:r>
      <w:r w:rsidRPr="00961388">
        <w:rPr>
          <w:lang w:val="fr-CH"/>
        </w:rPr>
        <w:t xml:space="preserve"> en 1989 à 94,5</w:t>
      </w:r>
      <w:r w:rsidR="001973D8">
        <w:rPr>
          <w:lang w:val="fr-CH"/>
        </w:rPr>
        <w:t xml:space="preserve"> %</w:t>
      </w:r>
      <w:r w:rsidRPr="00961388">
        <w:rPr>
          <w:lang w:val="fr-CH"/>
        </w:rPr>
        <w:t>.</w:t>
      </w:r>
    </w:p>
    <w:p w:rsidR="00570B62" w:rsidRPr="00961388" w:rsidRDefault="00570B62" w:rsidP="000316AC">
      <w:pPr>
        <w:pStyle w:val="SingleTxtG"/>
        <w:keepNext/>
        <w:keepLines/>
        <w:rPr>
          <w:lang w:val="fr-CH"/>
        </w:rPr>
      </w:pPr>
      <w:r w:rsidRPr="00961388">
        <w:rPr>
          <w:lang w:val="fr-CH"/>
        </w:rPr>
        <w:t>336.</w:t>
      </w:r>
      <w:r w:rsidRPr="00961388">
        <w:rPr>
          <w:lang w:val="fr-CH"/>
        </w:rPr>
        <w:tab/>
        <w:t>Dans ce cadre, un expert international recruté pour la réalisation d</w:t>
      </w:r>
      <w:r w:rsidR="00961388">
        <w:rPr>
          <w:lang w:val="fr-CH"/>
        </w:rPr>
        <w:t>’</w:t>
      </w:r>
      <w:r w:rsidRPr="00961388">
        <w:rPr>
          <w:lang w:val="fr-CH"/>
        </w:rPr>
        <w:t>une étude sur la prévalence de la mortalité maternelle a conclu à une estimation qui se rapproche des données fournies (36, 5 pour 100 000 NV en 2006) à travers les résultats d</w:t>
      </w:r>
      <w:r w:rsidR="00961388">
        <w:rPr>
          <w:lang w:val="fr-CH"/>
        </w:rPr>
        <w:t>’</w:t>
      </w:r>
      <w:r w:rsidRPr="00961388">
        <w:rPr>
          <w:lang w:val="fr-CH"/>
        </w:rPr>
        <w:t xml:space="preserve">une étude menée dans 181 pays et publiée par le journal britannique </w:t>
      </w:r>
      <w:r w:rsidR="00961388">
        <w:rPr>
          <w:lang w:val="fr-CH"/>
        </w:rPr>
        <w:t>«</w:t>
      </w:r>
      <w:r w:rsidRPr="00961388">
        <w:rPr>
          <w:i/>
          <w:iCs/>
          <w:lang w:val="fr-CH"/>
        </w:rPr>
        <w:t>The Lancet</w:t>
      </w:r>
      <w:r w:rsidR="00961388">
        <w:rPr>
          <w:lang w:val="fr-CH"/>
        </w:rPr>
        <w:t>»</w:t>
      </w:r>
      <w:r w:rsidRPr="00961388">
        <w:rPr>
          <w:lang w:val="fr-CH"/>
        </w:rPr>
        <w:t xml:space="preserve"> qui avance le taux de 36 pour 100.000 NV pour 1a Tunisie.</w:t>
      </w:r>
    </w:p>
    <w:p w:rsidR="00570B62" w:rsidRPr="00961388" w:rsidRDefault="00570B62" w:rsidP="00023EB3">
      <w:pPr>
        <w:pStyle w:val="SingleTxtG"/>
        <w:rPr>
          <w:lang w:val="fr-CH"/>
        </w:rPr>
      </w:pPr>
      <w:r w:rsidRPr="00961388">
        <w:rPr>
          <w:lang w:val="fr-CH"/>
        </w:rPr>
        <w:t>337.</w:t>
      </w:r>
      <w:r w:rsidRPr="00961388">
        <w:rPr>
          <w:lang w:val="fr-CH"/>
        </w:rPr>
        <w:tab/>
        <w:t>Dans le cadre des programmes de santé reproductive, 7 régions ont été classées prioritaires et continuent de bénéficier d</w:t>
      </w:r>
      <w:r w:rsidR="00961388">
        <w:rPr>
          <w:lang w:val="fr-CH"/>
        </w:rPr>
        <w:t>’</w:t>
      </w:r>
      <w:r w:rsidRPr="00961388">
        <w:rPr>
          <w:lang w:val="fr-CH"/>
        </w:rPr>
        <w:t>interventions spécifiques en vue d</w:t>
      </w:r>
      <w:r w:rsidR="00961388">
        <w:rPr>
          <w:lang w:val="fr-CH"/>
        </w:rPr>
        <w:t>’</w:t>
      </w:r>
      <w:r w:rsidRPr="00961388">
        <w:rPr>
          <w:lang w:val="fr-CH"/>
        </w:rPr>
        <w:t>améliorer les indicateurs de santé maternelle et infantile et de réduire les taux de la mortalité maternelle et infantile.</w:t>
      </w:r>
    </w:p>
    <w:p w:rsidR="00023EB3" w:rsidRDefault="00570B62" w:rsidP="008D3E9F">
      <w:pPr>
        <w:pStyle w:val="SingleTxtG"/>
        <w:keepNext/>
        <w:rPr>
          <w:lang w:val="fr-CH"/>
        </w:rPr>
      </w:pPr>
      <w:r w:rsidRPr="00961388">
        <w:rPr>
          <w:lang w:val="fr-CH"/>
        </w:rPr>
        <w:t>338.</w:t>
      </w:r>
      <w:r w:rsidRPr="00961388">
        <w:rPr>
          <w:lang w:val="fr-CH"/>
        </w:rPr>
        <w:tab/>
        <w:t>À cet effet, les actions suivantes ont été entreprises</w:t>
      </w:r>
      <w:r w:rsidR="00961388">
        <w:rPr>
          <w:lang w:val="fr-CH"/>
        </w:rPr>
        <w:t>:</w:t>
      </w:r>
    </w:p>
    <w:p w:rsidR="00023EB3" w:rsidRDefault="00570B62" w:rsidP="00023EB3">
      <w:pPr>
        <w:pStyle w:val="Bullet1G"/>
        <w:rPr>
          <w:lang w:val="fr-CH"/>
        </w:rPr>
      </w:pPr>
      <w:r w:rsidRPr="00961388">
        <w:rPr>
          <w:lang w:val="fr-CH"/>
        </w:rPr>
        <w:t>La mise en place d</w:t>
      </w:r>
      <w:r w:rsidR="00961388">
        <w:rPr>
          <w:lang w:val="fr-CH"/>
        </w:rPr>
        <w:t>’</w:t>
      </w:r>
      <w:r w:rsidRPr="00961388">
        <w:rPr>
          <w:lang w:val="fr-CH"/>
        </w:rPr>
        <w:t>un comité technique présidé par le Ministre de la Santé Publique pour l</w:t>
      </w:r>
      <w:r w:rsidR="00961388">
        <w:rPr>
          <w:lang w:val="fr-CH"/>
        </w:rPr>
        <w:t>’</w:t>
      </w:r>
      <w:r w:rsidRPr="00961388">
        <w:rPr>
          <w:lang w:val="fr-CH"/>
        </w:rPr>
        <w:t>étude de la situation et l</w:t>
      </w:r>
      <w:r w:rsidR="00961388">
        <w:rPr>
          <w:lang w:val="fr-CH"/>
        </w:rPr>
        <w:t>’</w:t>
      </w:r>
      <w:r w:rsidRPr="00961388">
        <w:rPr>
          <w:lang w:val="fr-CH"/>
        </w:rPr>
        <w:t>adoption d</w:t>
      </w:r>
      <w:r w:rsidR="00961388">
        <w:rPr>
          <w:lang w:val="fr-CH"/>
        </w:rPr>
        <w:t>’</w:t>
      </w:r>
      <w:r w:rsidRPr="00961388">
        <w:rPr>
          <w:lang w:val="fr-CH"/>
        </w:rPr>
        <w:t>initiatives et de propositions adaptées pour réduire les taux de mortalité maternelle et infantile</w:t>
      </w:r>
      <w:r w:rsidR="00961388">
        <w:rPr>
          <w:lang w:val="fr-CH"/>
        </w:rPr>
        <w:t>;</w:t>
      </w:r>
    </w:p>
    <w:p w:rsidR="00023EB3" w:rsidRDefault="00570B62" w:rsidP="00023EB3">
      <w:pPr>
        <w:pStyle w:val="Bullet1G"/>
        <w:rPr>
          <w:lang w:val="fr-CH"/>
        </w:rPr>
      </w:pPr>
      <w:r w:rsidRPr="00961388">
        <w:rPr>
          <w:lang w:val="fr-CH"/>
        </w:rPr>
        <w:t>L</w:t>
      </w:r>
      <w:r w:rsidR="00961388">
        <w:rPr>
          <w:lang w:val="fr-CH"/>
        </w:rPr>
        <w:t>’</w:t>
      </w:r>
      <w:r w:rsidRPr="00961388">
        <w:rPr>
          <w:lang w:val="fr-CH"/>
        </w:rPr>
        <w:t>élaboration en collaboration avec l</w:t>
      </w:r>
      <w:r w:rsidR="00961388">
        <w:rPr>
          <w:lang w:val="fr-CH"/>
        </w:rPr>
        <w:t>’</w:t>
      </w:r>
      <w:r w:rsidRPr="00961388">
        <w:rPr>
          <w:lang w:val="fr-CH"/>
        </w:rPr>
        <w:t>UNICEF, d</w:t>
      </w:r>
      <w:r w:rsidR="00961388">
        <w:rPr>
          <w:lang w:val="fr-CH"/>
        </w:rPr>
        <w:t>’</w:t>
      </w:r>
      <w:r w:rsidRPr="00961388">
        <w:rPr>
          <w:lang w:val="fr-CH"/>
        </w:rPr>
        <w:t>un plan de formation des médecins et sages femmes de première ligne sur les facteurs de risque en matière de mortalité maternelle</w:t>
      </w:r>
      <w:r w:rsidR="00961388">
        <w:rPr>
          <w:lang w:val="fr-CH"/>
        </w:rPr>
        <w:t>;</w:t>
      </w:r>
    </w:p>
    <w:p w:rsidR="00023EB3" w:rsidRDefault="00570B62" w:rsidP="00023EB3">
      <w:pPr>
        <w:pStyle w:val="Bullet1G"/>
        <w:rPr>
          <w:lang w:val="fr-CH"/>
        </w:rPr>
      </w:pPr>
      <w:r w:rsidRPr="00961388">
        <w:rPr>
          <w:lang w:val="fr-CH"/>
        </w:rPr>
        <w:t>La prévention de l</w:t>
      </w:r>
      <w:r w:rsidR="00961388">
        <w:rPr>
          <w:lang w:val="fr-CH"/>
        </w:rPr>
        <w:t>’</w:t>
      </w:r>
      <w:r w:rsidRPr="00961388">
        <w:rPr>
          <w:lang w:val="fr-CH"/>
        </w:rPr>
        <w:t>anémie chez les femmes enceintes et allaitantes les plus exposées en facilitant l</w:t>
      </w:r>
      <w:r w:rsidR="00961388">
        <w:rPr>
          <w:lang w:val="fr-CH"/>
        </w:rPr>
        <w:t>’</w:t>
      </w:r>
      <w:r w:rsidRPr="00961388">
        <w:rPr>
          <w:lang w:val="fr-CH"/>
        </w:rPr>
        <w:t>accès aux médicaments et aux moyens de dépistage</w:t>
      </w:r>
      <w:r w:rsidR="00961388">
        <w:rPr>
          <w:lang w:val="fr-CH"/>
        </w:rPr>
        <w:t>;</w:t>
      </w:r>
    </w:p>
    <w:p w:rsidR="00023EB3" w:rsidRDefault="00570B62" w:rsidP="00023EB3">
      <w:pPr>
        <w:pStyle w:val="Bullet1G"/>
        <w:rPr>
          <w:lang w:val="fr-CH"/>
        </w:rPr>
      </w:pPr>
      <w:r w:rsidRPr="00961388">
        <w:rPr>
          <w:lang w:val="fr-CH"/>
        </w:rPr>
        <w:t>La création, le réaménagement et la modernisation de quelques maternités et centres de santé de base, de différents niveaux surtout dans les régions de Kasserine, Kairouan, Bizerte, Le Kef, Sousse et Tataouine</w:t>
      </w:r>
      <w:r w:rsidR="00961388">
        <w:rPr>
          <w:lang w:val="fr-CH"/>
        </w:rPr>
        <w:t>;</w:t>
      </w:r>
      <w:r w:rsidRPr="00961388">
        <w:rPr>
          <w:lang w:val="fr-CH"/>
        </w:rPr>
        <w:t xml:space="preserve"> </w:t>
      </w:r>
    </w:p>
    <w:p w:rsidR="00023EB3" w:rsidRDefault="00570B62" w:rsidP="00023EB3">
      <w:pPr>
        <w:pStyle w:val="Bullet1G"/>
        <w:rPr>
          <w:lang w:val="fr-CH"/>
        </w:rPr>
      </w:pPr>
      <w:r w:rsidRPr="00961388">
        <w:rPr>
          <w:lang w:val="fr-CH"/>
        </w:rPr>
        <w:t>La consolidation des structures sanitaires en équipements et moyens appropriés (Échographes, Ambulances..) pour les services de santé maternelle et infantile dans quelques régions et le lancement de la mise en œuvre d</w:t>
      </w:r>
      <w:r w:rsidR="00961388">
        <w:rPr>
          <w:lang w:val="fr-CH"/>
        </w:rPr>
        <w:t>’</w:t>
      </w:r>
      <w:r w:rsidRPr="00961388">
        <w:rPr>
          <w:lang w:val="fr-CH"/>
        </w:rPr>
        <w:t>un plan de nivellement des maternités</w:t>
      </w:r>
      <w:r w:rsidR="00961388">
        <w:rPr>
          <w:lang w:val="fr-CH"/>
        </w:rPr>
        <w:t>;</w:t>
      </w:r>
    </w:p>
    <w:p w:rsidR="00023EB3" w:rsidRDefault="00570B62" w:rsidP="00023EB3">
      <w:pPr>
        <w:pStyle w:val="Bullet1G"/>
        <w:rPr>
          <w:lang w:val="fr-CH"/>
        </w:rPr>
      </w:pPr>
      <w:r w:rsidRPr="00961388">
        <w:rPr>
          <w:lang w:val="fr-CH"/>
        </w:rPr>
        <w:t>La mise en place d</w:t>
      </w:r>
      <w:r w:rsidR="00961388">
        <w:rPr>
          <w:lang w:val="fr-CH"/>
        </w:rPr>
        <w:t>’</w:t>
      </w:r>
      <w:r w:rsidRPr="00961388">
        <w:rPr>
          <w:lang w:val="fr-CH"/>
        </w:rPr>
        <w:t>un plan de supervision pour le suivi et l</w:t>
      </w:r>
      <w:r w:rsidR="00961388">
        <w:rPr>
          <w:lang w:val="fr-CH"/>
        </w:rPr>
        <w:t>’</w:t>
      </w:r>
      <w:r w:rsidRPr="00961388">
        <w:rPr>
          <w:lang w:val="fr-CH"/>
        </w:rPr>
        <w:t>évaluation et l</w:t>
      </w:r>
      <w:r w:rsidR="00961388">
        <w:rPr>
          <w:lang w:val="fr-CH"/>
        </w:rPr>
        <w:t>’</w:t>
      </w:r>
      <w:r w:rsidRPr="00961388">
        <w:rPr>
          <w:lang w:val="fr-CH"/>
        </w:rPr>
        <w:t>état d</w:t>
      </w:r>
      <w:r w:rsidR="00961388">
        <w:rPr>
          <w:lang w:val="fr-CH"/>
        </w:rPr>
        <w:t>’</w:t>
      </w:r>
      <w:r w:rsidRPr="00961388">
        <w:rPr>
          <w:lang w:val="fr-CH"/>
        </w:rPr>
        <w:t>avancement des objectifs fixés</w:t>
      </w:r>
      <w:r w:rsidR="00961388">
        <w:rPr>
          <w:lang w:val="fr-CH"/>
        </w:rPr>
        <w:t>;</w:t>
      </w:r>
    </w:p>
    <w:p w:rsidR="00023EB3" w:rsidRDefault="00570B62" w:rsidP="00023EB3">
      <w:pPr>
        <w:pStyle w:val="Bullet1G"/>
        <w:rPr>
          <w:lang w:val="fr-CH"/>
        </w:rPr>
      </w:pPr>
      <w:r w:rsidRPr="00961388">
        <w:rPr>
          <w:lang w:val="fr-CH"/>
        </w:rPr>
        <w:t>La consolidation des actions de sensibilisation et d</w:t>
      </w:r>
      <w:r w:rsidR="00961388">
        <w:rPr>
          <w:lang w:val="fr-CH"/>
        </w:rPr>
        <w:t>’</w:t>
      </w:r>
      <w:r w:rsidRPr="00961388">
        <w:rPr>
          <w:lang w:val="fr-CH"/>
        </w:rPr>
        <w:t>éducation pour la promotion des consultations pré et post natales et l</w:t>
      </w:r>
      <w:r w:rsidR="00961388">
        <w:rPr>
          <w:lang w:val="fr-CH"/>
        </w:rPr>
        <w:t>’</w:t>
      </w:r>
      <w:r w:rsidRPr="00961388">
        <w:rPr>
          <w:lang w:val="fr-CH"/>
        </w:rPr>
        <w:t>accouchement médicalement assisté qui ont ciblé les femmes notamment dans les zones prioritaires. Un grand travail de redéploiement et de recyclage des animatrices et des équipes mobiles a été préalablement entrepris</w:t>
      </w:r>
      <w:r w:rsidR="00961388">
        <w:rPr>
          <w:lang w:val="fr-CH"/>
        </w:rPr>
        <w:t>;</w:t>
      </w:r>
    </w:p>
    <w:p w:rsidR="00023EB3" w:rsidRDefault="00570B62" w:rsidP="00023EB3">
      <w:pPr>
        <w:pStyle w:val="Bullet1G"/>
        <w:rPr>
          <w:lang w:val="fr-CH"/>
        </w:rPr>
      </w:pPr>
      <w:r w:rsidRPr="00961388">
        <w:rPr>
          <w:lang w:val="fr-CH"/>
        </w:rPr>
        <w:t>Dans ce domaine, des progrès remarquables ont été enregistrés durant l</w:t>
      </w:r>
      <w:r w:rsidR="00961388">
        <w:rPr>
          <w:lang w:val="fr-CH"/>
        </w:rPr>
        <w:t>’</w:t>
      </w:r>
      <w:r w:rsidRPr="00961388">
        <w:rPr>
          <w:lang w:val="fr-CH"/>
        </w:rPr>
        <w:t>année 2009 au niveau de la couverture par des services de maternité sans risques, grâce à la mise en place d</w:t>
      </w:r>
      <w:r w:rsidR="00961388">
        <w:rPr>
          <w:lang w:val="fr-CH"/>
        </w:rPr>
        <w:t>’</w:t>
      </w:r>
      <w:r w:rsidRPr="00961388">
        <w:rPr>
          <w:lang w:val="fr-CH"/>
        </w:rPr>
        <w:t>une équipe d</w:t>
      </w:r>
      <w:r w:rsidR="00961388">
        <w:rPr>
          <w:lang w:val="fr-CH"/>
        </w:rPr>
        <w:t>’</w:t>
      </w:r>
      <w:r w:rsidRPr="00961388">
        <w:rPr>
          <w:lang w:val="fr-CH"/>
        </w:rPr>
        <w:t>éducation mobile et la réintégration de nouveaux centres surtout dans les gouvernorats de Kairouan, Tataouine et Gafsa</w:t>
      </w:r>
      <w:r w:rsidR="00961388">
        <w:rPr>
          <w:lang w:val="fr-CH"/>
        </w:rPr>
        <w:t>;</w:t>
      </w:r>
    </w:p>
    <w:p w:rsidR="00570B62" w:rsidRPr="00961388" w:rsidRDefault="00570B62" w:rsidP="00023EB3">
      <w:pPr>
        <w:pStyle w:val="Bullet1G"/>
        <w:rPr>
          <w:lang w:val="fr-CH"/>
        </w:rPr>
      </w:pPr>
      <w:r w:rsidRPr="00961388">
        <w:rPr>
          <w:lang w:val="fr-CH"/>
        </w:rPr>
        <w:t>Par ailleurs, il est à signaler la gratuité des différents services de diagnostic et de prise en charge. L</w:t>
      </w:r>
      <w:r w:rsidR="00961388">
        <w:rPr>
          <w:lang w:val="fr-CH"/>
        </w:rPr>
        <w:t>’</w:t>
      </w:r>
      <w:r w:rsidRPr="00961388">
        <w:rPr>
          <w:lang w:val="fr-CH"/>
        </w:rPr>
        <w:t>accès aux médicaments nécessaires est accordé dans la plupart des structures publiques relevant surtout des centres de l</w:t>
      </w:r>
      <w:r w:rsidR="00961388">
        <w:rPr>
          <w:lang w:val="fr-CH"/>
        </w:rPr>
        <w:t>’</w:t>
      </w:r>
      <w:r w:rsidRPr="00961388">
        <w:rPr>
          <w:lang w:val="fr-CH"/>
        </w:rPr>
        <w:t>ONFP et des centres de soins de première ligne.</w:t>
      </w:r>
    </w:p>
    <w:p w:rsidR="00570B62" w:rsidRPr="00961388" w:rsidRDefault="00570B62" w:rsidP="00023EB3">
      <w:pPr>
        <w:pStyle w:val="SingleTxtG"/>
        <w:rPr>
          <w:lang w:val="fr-CH"/>
        </w:rPr>
      </w:pPr>
      <w:r w:rsidRPr="00961388">
        <w:rPr>
          <w:lang w:val="fr-CH"/>
        </w:rPr>
        <w:t>339.</w:t>
      </w:r>
      <w:r w:rsidRPr="00961388">
        <w:rPr>
          <w:lang w:val="fr-CH"/>
        </w:rPr>
        <w:tab/>
        <w:t>En outre, la planification familiale et la santé de la reproduction, inscrites depuis la Conférence mondiale sur la population et le développement tenue au Caire de 1994, dans une approche de santé de la reproduction ciblant les individus des deux sexes et les couples, accordent une place de choix aux interventions et programmes visant l</w:t>
      </w:r>
      <w:r w:rsidR="00961388">
        <w:rPr>
          <w:lang w:val="fr-CH"/>
        </w:rPr>
        <w:t>’</w:t>
      </w:r>
      <w:r w:rsidRPr="00961388">
        <w:rPr>
          <w:lang w:val="fr-CH"/>
        </w:rPr>
        <w:t>amélioration de la qualité de vie des femmes tout au long de leur cycle de vie afin de leur permettre de jouir d</w:t>
      </w:r>
      <w:r w:rsidR="00961388">
        <w:rPr>
          <w:lang w:val="fr-CH"/>
        </w:rPr>
        <w:t>’</w:t>
      </w:r>
      <w:r w:rsidRPr="00961388">
        <w:rPr>
          <w:lang w:val="fr-CH"/>
        </w:rPr>
        <w:t>une espérance de vie en bonne santé.</w:t>
      </w:r>
    </w:p>
    <w:p w:rsidR="00570B62" w:rsidRPr="00961388" w:rsidRDefault="00570B62" w:rsidP="00023EB3">
      <w:pPr>
        <w:pStyle w:val="SingleTxtG"/>
        <w:rPr>
          <w:lang w:val="fr-CH"/>
        </w:rPr>
      </w:pPr>
      <w:r w:rsidRPr="00961388">
        <w:rPr>
          <w:lang w:val="fr-CH"/>
        </w:rPr>
        <w:t>340.</w:t>
      </w:r>
      <w:r w:rsidRPr="00961388">
        <w:rPr>
          <w:lang w:val="fr-CH"/>
        </w:rPr>
        <w:tab/>
      </w:r>
      <w:r w:rsidR="008B7DE6">
        <w:rPr>
          <w:lang w:val="fr-CH"/>
        </w:rPr>
        <w:t>À</w:t>
      </w:r>
      <w:r w:rsidRPr="00961388">
        <w:rPr>
          <w:lang w:val="fr-CH"/>
        </w:rPr>
        <w:t xml:space="preserve"> cet effet et à côté des prestations de planning familial (PF), de nombreuses autres prestations de santé de la reproduction (SR) ont été intégrées tels que le dépistage et le traitement des infections sexuellement transmissibles, des cancers du col de l</w:t>
      </w:r>
      <w:r w:rsidR="00961388">
        <w:rPr>
          <w:lang w:val="fr-CH"/>
        </w:rPr>
        <w:t>’</w:t>
      </w:r>
      <w:r w:rsidRPr="00961388">
        <w:rPr>
          <w:lang w:val="fr-CH"/>
        </w:rPr>
        <w:t>utérus et du sein, l</w:t>
      </w:r>
      <w:r w:rsidR="00961388">
        <w:rPr>
          <w:lang w:val="fr-CH"/>
        </w:rPr>
        <w:t>’</w:t>
      </w:r>
      <w:r w:rsidRPr="00961388">
        <w:rPr>
          <w:lang w:val="fr-CH"/>
        </w:rPr>
        <w:t>infertilité, la périnatalité, le suivi de la ménopause ainsi que la prévention de la violence dans les sphères publiques et privées. C</w:t>
      </w:r>
      <w:r w:rsidR="00961388">
        <w:rPr>
          <w:lang w:val="fr-CH"/>
        </w:rPr>
        <w:t>’</w:t>
      </w:r>
      <w:r w:rsidRPr="00961388">
        <w:rPr>
          <w:lang w:val="fr-CH"/>
        </w:rPr>
        <w:t>est ainsi que le taux de prévalence des méthodes contraceptives se situe autour de 60,2</w:t>
      </w:r>
      <w:r w:rsidR="001973D8">
        <w:rPr>
          <w:lang w:val="fr-CH"/>
        </w:rPr>
        <w:t xml:space="preserve"> %</w:t>
      </w:r>
      <w:r w:rsidRPr="00961388">
        <w:rPr>
          <w:lang w:val="fr-CH"/>
        </w:rPr>
        <w:t xml:space="preserve"> chez les femmes en âge de procréer. </w:t>
      </w:r>
    </w:p>
    <w:p w:rsidR="00570B62" w:rsidRPr="00961388" w:rsidRDefault="00570B62" w:rsidP="00B92269">
      <w:pPr>
        <w:pStyle w:val="SingleTxtG"/>
        <w:rPr>
          <w:lang w:val="fr-CH"/>
        </w:rPr>
      </w:pPr>
      <w:r w:rsidRPr="00961388">
        <w:rPr>
          <w:lang w:val="fr-CH"/>
        </w:rPr>
        <w:t>341.</w:t>
      </w:r>
      <w:r w:rsidRPr="00961388">
        <w:rPr>
          <w:lang w:val="fr-CH"/>
        </w:rPr>
        <w:tab/>
        <w:t>Par ailleurs, Une attention particulière a été accordée ces dernières années à la santé sexuelle et reproductive des adolescents et des jeunes ainsi qu</w:t>
      </w:r>
      <w:r w:rsidR="00961388">
        <w:rPr>
          <w:lang w:val="fr-CH"/>
        </w:rPr>
        <w:t>’</w:t>
      </w:r>
      <w:r w:rsidRPr="00961388">
        <w:rPr>
          <w:lang w:val="fr-CH"/>
        </w:rPr>
        <w:t>à la santé des femmes victimes de violence. Des stratégies et des activités pour les jeunes des deux sexes et des programmes spécifiques d</w:t>
      </w:r>
      <w:r w:rsidR="00961388">
        <w:rPr>
          <w:lang w:val="fr-CH"/>
        </w:rPr>
        <w:t>’</w:t>
      </w:r>
      <w:r w:rsidRPr="00961388">
        <w:rPr>
          <w:lang w:val="fr-CH"/>
        </w:rPr>
        <w:t>IEC et de services de santé sexuelle et de reproduction ont été conçus et réalisés dans le cadre d</w:t>
      </w:r>
      <w:r w:rsidR="00961388">
        <w:rPr>
          <w:lang w:val="fr-CH"/>
        </w:rPr>
        <w:t>’</w:t>
      </w:r>
      <w:r w:rsidRPr="00961388">
        <w:rPr>
          <w:lang w:val="fr-CH"/>
        </w:rPr>
        <w:t>un partenariat avec les associations de jeunes dans différents milieux en impliquant divers secteurs concernés.</w:t>
      </w:r>
    </w:p>
    <w:p w:rsidR="00570B62" w:rsidRPr="00961388" w:rsidRDefault="00B92269" w:rsidP="00B92269">
      <w:pPr>
        <w:pStyle w:val="SingleTxtG"/>
        <w:rPr>
          <w:rtl/>
          <w:lang w:val="fr-CH"/>
        </w:rPr>
      </w:pPr>
      <w:r>
        <w:rPr>
          <w:lang w:val="fr-CH"/>
        </w:rPr>
        <w:t>342.</w:t>
      </w:r>
      <w:r>
        <w:rPr>
          <w:lang w:val="fr-CH"/>
        </w:rPr>
        <w:tab/>
      </w:r>
      <w:r w:rsidR="00570B62" w:rsidRPr="00961388">
        <w:rPr>
          <w:lang w:val="fr-CH"/>
        </w:rPr>
        <w:t>Par ailleurs et dans le cadre du projet de coopération Tuniso-Espagnole pour la promotion de l</w:t>
      </w:r>
      <w:r w:rsidR="00961388">
        <w:rPr>
          <w:lang w:val="fr-CH"/>
        </w:rPr>
        <w:t>’</w:t>
      </w:r>
      <w:r w:rsidR="00570B62" w:rsidRPr="00961388">
        <w:rPr>
          <w:lang w:val="fr-CH"/>
        </w:rPr>
        <w:t>équité de genre et prévention de la violence à l</w:t>
      </w:r>
      <w:r w:rsidR="00961388">
        <w:rPr>
          <w:lang w:val="fr-CH"/>
        </w:rPr>
        <w:t>’</w:t>
      </w:r>
      <w:r w:rsidR="00570B62" w:rsidRPr="00961388">
        <w:rPr>
          <w:lang w:val="fr-CH"/>
        </w:rPr>
        <w:t>égard des femmes</w:t>
      </w:r>
      <w:r w:rsidR="00961388">
        <w:rPr>
          <w:lang w:val="fr-CH"/>
        </w:rPr>
        <w:t>»</w:t>
      </w:r>
      <w:r w:rsidR="00570B62" w:rsidRPr="00961388">
        <w:rPr>
          <w:lang w:val="fr-CH"/>
        </w:rPr>
        <w:t>, plusieurs actions de recherche, de formation, de sensibilisation et de plaidoyer ont été menées auprès des intervenants</w:t>
      </w:r>
      <w:r w:rsidR="00961388">
        <w:rPr>
          <w:lang w:val="fr-CH"/>
        </w:rPr>
        <w:t>:</w:t>
      </w:r>
      <w:r w:rsidR="00570B62" w:rsidRPr="00961388">
        <w:rPr>
          <w:lang w:val="fr-CH"/>
        </w:rPr>
        <w:t xml:space="preserve"> personnel médical et paramédical, délégués, psychologues, éducateurs, élus locaux, prédicateurs</w:t>
      </w:r>
      <w:r>
        <w:rPr>
          <w:lang w:val="fr-CH"/>
        </w:rPr>
        <w:t>, e</w:t>
      </w:r>
      <w:r w:rsidR="00570B62" w:rsidRPr="00961388">
        <w:rPr>
          <w:lang w:val="fr-CH"/>
        </w:rPr>
        <w:t>tc.</w:t>
      </w:r>
    </w:p>
    <w:p w:rsidR="00570B62" w:rsidRPr="00961388" w:rsidRDefault="00023EB3" w:rsidP="00023EB3">
      <w:pPr>
        <w:pStyle w:val="H23G"/>
        <w:rPr>
          <w:lang w:val="fr-CH"/>
        </w:rPr>
      </w:pPr>
      <w:r>
        <w:rPr>
          <w:lang w:val="fr-CH"/>
        </w:rPr>
        <w:tab/>
      </w:r>
      <w:r>
        <w:rPr>
          <w:lang w:val="fr-CH"/>
        </w:rPr>
        <w:tab/>
      </w:r>
      <w:r w:rsidR="00570B62" w:rsidRPr="00961388">
        <w:rPr>
          <w:lang w:val="fr-CH"/>
        </w:rPr>
        <w:t xml:space="preserve">Réponse au paragraphe 30 </w:t>
      </w:r>
      <w:r w:rsidR="00910D7D">
        <w:rPr>
          <w:lang w:val="fr-CH"/>
        </w:rPr>
        <w:t>de la liste de points à traiter</w:t>
      </w:r>
    </w:p>
    <w:p w:rsidR="00570B62" w:rsidRPr="00961388" w:rsidRDefault="00570B62" w:rsidP="00023EB3">
      <w:pPr>
        <w:pStyle w:val="SingleTxtG"/>
        <w:rPr>
          <w:lang w:val="fr-CH"/>
        </w:rPr>
      </w:pPr>
      <w:r w:rsidRPr="00961388">
        <w:rPr>
          <w:lang w:val="fr-CH"/>
        </w:rPr>
        <w:t>343.</w:t>
      </w:r>
      <w:r w:rsidRPr="00961388">
        <w:rPr>
          <w:lang w:val="fr-CH"/>
        </w:rPr>
        <w:tab/>
        <w:t>La réponse gouvernementale en Tunisie face à la menace du VIH</w:t>
      </w:r>
      <w:r w:rsidR="004775B9">
        <w:rPr>
          <w:lang w:val="fr-CH"/>
        </w:rPr>
        <w:t>/sida</w:t>
      </w:r>
      <w:r w:rsidRPr="00961388">
        <w:rPr>
          <w:lang w:val="fr-CH"/>
        </w:rPr>
        <w:t>, s</w:t>
      </w:r>
      <w:r w:rsidR="00961388">
        <w:rPr>
          <w:lang w:val="fr-CH"/>
        </w:rPr>
        <w:t>’</w:t>
      </w:r>
      <w:r w:rsidRPr="00961388">
        <w:rPr>
          <w:lang w:val="fr-CH"/>
        </w:rPr>
        <w:t>est manifestée rapidement après l</w:t>
      </w:r>
      <w:r w:rsidR="00961388">
        <w:rPr>
          <w:lang w:val="fr-CH"/>
        </w:rPr>
        <w:t>’</w:t>
      </w:r>
      <w:r w:rsidRPr="00961388">
        <w:rPr>
          <w:lang w:val="fr-CH"/>
        </w:rPr>
        <w:t>apparition des premiers cas de contamination au milieu des années 80. Un programme national de lutte contre le sida a été mis en place en 1987 et a bénéficié d</w:t>
      </w:r>
      <w:r w:rsidR="00961388">
        <w:rPr>
          <w:lang w:val="fr-CH"/>
        </w:rPr>
        <w:t>’</w:t>
      </w:r>
      <w:r w:rsidRPr="00961388">
        <w:rPr>
          <w:lang w:val="fr-CH"/>
        </w:rPr>
        <w:t>un renforcement constant lui permettant d</w:t>
      </w:r>
      <w:r w:rsidR="00961388">
        <w:rPr>
          <w:lang w:val="fr-CH"/>
        </w:rPr>
        <w:t>’</w:t>
      </w:r>
      <w:r w:rsidRPr="00961388">
        <w:rPr>
          <w:lang w:val="fr-CH"/>
        </w:rPr>
        <w:t>enregistrer des progrès remarquables tant au niveau de la sensibilisation et de la prévention du VIH</w:t>
      </w:r>
      <w:r w:rsidR="004775B9">
        <w:rPr>
          <w:lang w:val="fr-CH"/>
        </w:rPr>
        <w:t>/sida</w:t>
      </w:r>
      <w:r w:rsidRPr="00961388">
        <w:rPr>
          <w:lang w:val="fr-CH"/>
        </w:rPr>
        <w:t xml:space="preserve"> qu</w:t>
      </w:r>
      <w:r w:rsidR="00961388">
        <w:rPr>
          <w:lang w:val="fr-CH"/>
        </w:rPr>
        <w:t>’</w:t>
      </w:r>
      <w:r w:rsidRPr="00961388">
        <w:rPr>
          <w:lang w:val="fr-CH"/>
        </w:rPr>
        <w:t>au niveau de la prise en charge psychosociale et médicale des personnes vivant avec le VIH et celles à haut risque, sans distinction de genre, d</w:t>
      </w:r>
      <w:r w:rsidR="00961388">
        <w:rPr>
          <w:lang w:val="fr-CH"/>
        </w:rPr>
        <w:t>’</w:t>
      </w:r>
      <w:r w:rsidRPr="00961388">
        <w:rPr>
          <w:lang w:val="fr-CH"/>
        </w:rPr>
        <w:t>âge ou d</w:t>
      </w:r>
      <w:r w:rsidR="00961388">
        <w:rPr>
          <w:lang w:val="fr-CH"/>
        </w:rPr>
        <w:t>’</w:t>
      </w:r>
      <w:r w:rsidRPr="00961388">
        <w:rPr>
          <w:lang w:val="fr-CH"/>
        </w:rPr>
        <w:t>appartenance socioéconomique ou autres.</w:t>
      </w:r>
    </w:p>
    <w:p w:rsidR="00570B62" w:rsidRPr="00961388" w:rsidRDefault="00570B62" w:rsidP="00023EB3">
      <w:pPr>
        <w:pStyle w:val="SingleTxtG"/>
        <w:rPr>
          <w:lang w:val="fr-CH"/>
        </w:rPr>
      </w:pPr>
      <w:r w:rsidRPr="00961388">
        <w:rPr>
          <w:lang w:val="fr-CH"/>
        </w:rPr>
        <w:t>344.</w:t>
      </w:r>
      <w:r w:rsidRPr="00961388">
        <w:rPr>
          <w:lang w:val="fr-CH"/>
        </w:rPr>
        <w:tab/>
        <w:t>C</w:t>
      </w:r>
      <w:r w:rsidR="00961388">
        <w:rPr>
          <w:lang w:val="fr-CH"/>
        </w:rPr>
        <w:t>’</w:t>
      </w:r>
      <w:r w:rsidRPr="00961388">
        <w:rPr>
          <w:lang w:val="fr-CH"/>
        </w:rPr>
        <w:t>est ainsi que parallèlement aux actions de sensibilisation et d</w:t>
      </w:r>
      <w:r w:rsidR="00961388">
        <w:rPr>
          <w:lang w:val="fr-CH"/>
        </w:rPr>
        <w:t>’</w:t>
      </w:r>
      <w:r w:rsidRPr="00961388">
        <w:rPr>
          <w:lang w:val="fr-CH"/>
        </w:rPr>
        <w:t>éducation dans les différents milieux, des efforts considérables ont été alloués aux services curatifs et ont été couronnés en 2001 par la généralisation de la gratuité de la trithérapie notamment, en faveur des femmes de groupes à haut risque telles que les femmes migrantes et les prostituées.</w:t>
      </w:r>
    </w:p>
    <w:p w:rsidR="00570B62" w:rsidRPr="00961388" w:rsidRDefault="00570B62" w:rsidP="00023EB3">
      <w:pPr>
        <w:pStyle w:val="SingleTxtG"/>
        <w:rPr>
          <w:lang w:val="fr-CH"/>
        </w:rPr>
      </w:pPr>
      <w:r w:rsidRPr="00961388">
        <w:rPr>
          <w:lang w:val="fr-CH"/>
        </w:rPr>
        <w:t>345.</w:t>
      </w:r>
      <w:r w:rsidRPr="00961388">
        <w:rPr>
          <w:lang w:val="fr-CH"/>
        </w:rPr>
        <w:tab/>
        <w:t>Une riposte, précoce et multidisciplinaire a permis à la Tunisie de maîtriser jusque là la situation épidémiologique caractérisée par une stabilité et une faible prévalence même au sein des groupes à risques.</w:t>
      </w:r>
    </w:p>
    <w:p w:rsidR="00570B62" w:rsidRPr="00961388" w:rsidRDefault="00570B62" w:rsidP="00023EB3">
      <w:pPr>
        <w:pStyle w:val="SingleTxtG"/>
        <w:rPr>
          <w:lang w:val="fr-CH"/>
        </w:rPr>
      </w:pPr>
      <w:r w:rsidRPr="00961388">
        <w:rPr>
          <w:lang w:val="fr-CH"/>
        </w:rPr>
        <w:t>346.</w:t>
      </w:r>
      <w:r w:rsidRPr="00961388">
        <w:rPr>
          <w:lang w:val="fr-CH"/>
        </w:rPr>
        <w:tab/>
        <w:t>En effet, le nombre de nouveaux cas par an n</w:t>
      </w:r>
      <w:r w:rsidR="00961388">
        <w:rPr>
          <w:lang w:val="fr-CH"/>
        </w:rPr>
        <w:t>’</w:t>
      </w:r>
      <w:r w:rsidRPr="00961388">
        <w:rPr>
          <w:lang w:val="fr-CH"/>
        </w:rPr>
        <w:t>a pas dépassé les 70 depuis plus d</w:t>
      </w:r>
      <w:r w:rsidR="00961388">
        <w:rPr>
          <w:lang w:val="fr-CH"/>
        </w:rPr>
        <w:t>’</w:t>
      </w:r>
      <w:r w:rsidRPr="00961388">
        <w:rPr>
          <w:lang w:val="fr-CH"/>
        </w:rPr>
        <w:t>une décennie.</w:t>
      </w:r>
    </w:p>
    <w:p w:rsidR="00570B62" w:rsidRPr="00961388" w:rsidRDefault="00570B62" w:rsidP="00023EB3">
      <w:pPr>
        <w:pStyle w:val="SingleTxtG"/>
        <w:rPr>
          <w:lang w:val="fr-CH"/>
        </w:rPr>
      </w:pPr>
      <w:r w:rsidRPr="00961388">
        <w:rPr>
          <w:lang w:val="fr-CH"/>
        </w:rPr>
        <w:t>347.</w:t>
      </w:r>
      <w:r w:rsidRPr="00961388">
        <w:rPr>
          <w:lang w:val="fr-CH"/>
        </w:rPr>
        <w:tab/>
        <w:t>La prévalence du VIH dans la population générale est estimée à 1 pour dix mille habitants (10.000). La répartition par sexe montre une prédominance du sexe masculin (60</w:t>
      </w:r>
      <w:r w:rsidR="008B7DE6">
        <w:rPr>
          <w:lang w:val="fr-CH"/>
        </w:rPr>
        <w:t> </w:t>
      </w:r>
      <w:r w:rsidR="001973D8">
        <w:rPr>
          <w:lang w:val="fr-CH"/>
        </w:rPr>
        <w:t>%</w:t>
      </w:r>
      <w:r w:rsidR="00023EB3">
        <w:rPr>
          <w:lang w:val="fr-CH"/>
        </w:rPr>
        <w:t xml:space="preserve"> </w:t>
      </w:r>
      <w:r w:rsidRPr="00961388">
        <w:rPr>
          <w:lang w:val="fr-CH"/>
        </w:rPr>
        <w:t>H et 40</w:t>
      </w:r>
      <w:r w:rsidR="001973D8">
        <w:rPr>
          <w:lang w:val="fr-CH"/>
        </w:rPr>
        <w:t xml:space="preserve"> %</w:t>
      </w:r>
      <w:r w:rsidRPr="00961388">
        <w:rPr>
          <w:lang w:val="fr-CH"/>
        </w:rPr>
        <w:t xml:space="preserve"> F).</w:t>
      </w:r>
    </w:p>
    <w:p w:rsidR="00570B62" w:rsidRPr="00961388" w:rsidRDefault="00570B62" w:rsidP="00023EB3">
      <w:pPr>
        <w:pStyle w:val="SingleTxtG"/>
        <w:rPr>
          <w:lang w:val="fr-CH"/>
        </w:rPr>
      </w:pPr>
      <w:r w:rsidRPr="00961388">
        <w:rPr>
          <w:lang w:val="fr-CH"/>
        </w:rPr>
        <w:t>348.</w:t>
      </w:r>
      <w:r w:rsidRPr="00961388">
        <w:rPr>
          <w:lang w:val="fr-CH"/>
        </w:rPr>
        <w:tab/>
        <w:t>Malgré cette situation qui n</w:t>
      </w:r>
      <w:r w:rsidR="00961388">
        <w:rPr>
          <w:lang w:val="fr-CH"/>
        </w:rPr>
        <w:t>’</w:t>
      </w:r>
      <w:r w:rsidRPr="00961388">
        <w:rPr>
          <w:lang w:val="fr-CH"/>
        </w:rPr>
        <w:t>est pas alarmante, un grand travail de plaidoyer a été mené auprès du Fonds mondial de lutte contre le sida, la tuberculose et le malaria (GFATM) et a été couronné par la signature d</w:t>
      </w:r>
      <w:r w:rsidR="00961388">
        <w:rPr>
          <w:lang w:val="fr-CH"/>
        </w:rPr>
        <w:t>’</w:t>
      </w:r>
      <w:r w:rsidRPr="00961388">
        <w:rPr>
          <w:lang w:val="fr-CH"/>
        </w:rPr>
        <w:t xml:space="preserve">une convention de coopération entre la Tunisie et le GFATM portant sur le lancement du programme </w:t>
      </w:r>
      <w:r w:rsidR="00961388">
        <w:rPr>
          <w:lang w:val="fr-CH"/>
        </w:rPr>
        <w:t>«</w:t>
      </w:r>
      <w:r w:rsidRPr="00961388">
        <w:rPr>
          <w:lang w:val="fr-CH"/>
        </w:rPr>
        <w:t>Appui au partenariat et au renforcement de la riposte à la menace d</w:t>
      </w:r>
      <w:r w:rsidR="00961388">
        <w:rPr>
          <w:lang w:val="fr-CH"/>
        </w:rPr>
        <w:t>’</w:t>
      </w:r>
      <w:r w:rsidRPr="00961388">
        <w:rPr>
          <w:lang w:val="fr-CH"/>
        </w:rPr>
        <w:t>extension du VIH</w:t>
      </w:r>
      <w:r w:rsidR="004775B9">
        <w:rPr>
          <w:lang w:val="fr-CH"/>
        </w:rPr>
        <w:t>/sida</w:t>
      </w:r>
      <w:r w:rsidRPr="00961388">
        <w:rPr>
          <w:lang w:val="fr-CH"/>
        </w:rPr>
        <w:t xml:space="preserve"> en Tunisie</w:t>
      </w:r>
      <w:r w:rsidR="00961388">
        <w:rPr>
          <w:lang w:val="fr-CH"/>
        </w:rPr>
        <w:t>»</w:t>
      </w:r>
      <w:r w:rsidRPr="00961388">
        <w:rPr>
          <w:lang w:val="fr-CH"/>
        </w:rPr>
        <w:t>.</w:t>
      </w:r>
    </w:p>
    <w:p w:rsidR="00570B62" w:rsidRPr="00961388" w:rsidRDefault="00570B62" w:rsidP="00023EB3">
      <w:pPr>
        <w:pStyle w:val="SingleTxtG"/>
        <w:rPr>
          <w:lang w:val="fr-CH"/>
        </w:rPr>
      </w:pPr>
      <w:r w:rsidRPr="00961388">
        <w:rPr>
          <w:lang w:val="fr-CH"/>
        </w:rPr>
        <w:t>349.</w:t>
      </w:r>
      <w:r w:rsidRPr="00961388">
        <w:rPr>
          <w:lang w:val="fr-CH"/>
        </w:rPr>
        <w:tab/>
        <w:t>Ce projet qui porte sur la période 2007-2012, s</w:t>
      </w:r>
      <w:r w:rsidR="00961388">
        <w:rPr>
          <w:lang w:val="fr-CH"/>
        </w:rPr>
        <w:t>’</w:t>
      </w:r>
      <w:r w:rsidRPr="00961388">
        <w:rPr>
          <w:lang w:val="fr-CH"/>
        </w:rPr>
        <w:t>inscrit en même temps dans le cadre du Plan Stratégique National 2006-2010 de lutte contre l</w:t>
      </w:r>
      <w:r w:rsidR="00961388">
        <w:rPr>
          <w:lang w:val="fr-CH"/>
        </w:rPr>
        <w:t>’</w:t>
      </w:r>
      <w:r w:rsidRPr="00961388">
        <w:rPr>
          <w:lang w:val="fr-CH"/>
        </w:rPr>
        <w:t>infection au VIH</w:t>
      </w:r>
      <w:r w:rsidR="004775B9">
        <w:rPr>
          <w:lang w:val="fr-CH"/>
        </w:rPr>
        <w:t>/sida</w:t>
      </w:r>
      <w:r w:rsidRPr="00961388">
        <w:rPr>
          <w:lang w:val="fr-CH"/>
        </w:rPr>
        <w:t xml:space="preserve"> et les IST, et se veut une réponse à dominante préventive</w:t>
      </w:r>
      <w:r w:rsidR="00961388">
        <w:rPr>
          <w:lang w:val="fr-CH"/>
        </w:rPr>
        <w:t>:</w:t>
      </w:r>
      <w:r w:rsidRPr="00961388">
        <w:rPr>
          <w:lang w:val="fr-CH"/>
        </w:rPr>
        <w:t xml:space="preserve"> dépistage, trait</w:t>
      </w:r>
      <w:r w:rsidR="000316AC">
        <w:rPr>
          <w:lang w:val="fr-CH"/>
        </w:rPr>
        <w:t>ement et prise en charge socio</w:t>
      </w:r>
      <w:r w:rsidRPr="00961388">
        <w:rPr>
          <w:lang w:val="fr-CH"/>
        </w:rPr>
        <w:t xml:space="preserve">psychologique et prévention de la toxicomanie et des relations sexuelles non protégées. </w:t>
      </w:r>
    </w:p>
    <w:p w:rsidR="00570B62" w:rsidRPr="00961388" w:rsidRDefault="00570B62" w:rsidP="00023EB3">
      <w:pPr>
        <w:pStyle w:val="SingleTxtG"/>
        <w:rPr>
          <w:lang w:val="fr-CH"/>
        </w:rPr>
      </w:pPr>
      <w:r w:rsidRPr="00961388">
        <w:rPr>
          <w:lang w:val="fr-CH"/>
        </w:rPr>
        <w:t>350.</w:t>
      </w:r>
      <w:r w:rsidRPr="00961388">
        <w:rPr>
          <w:lang w:val="fr-CH"/>
        </w:rPr>
        <w:tab/>
        <w:t>Ce programme vient aussi soutenir, les efforts de lutte et de contrôle de l</w:t>
      </w:r>
      <w:r w:rsidR="00961388">
        <w:rPr>
          <w:lang w:val="fr-CH"/>
        </w:rPr>
        <w:t>’</w:t>
      </w:r>
      <w:r w:rsidRPr="00961388">
        <w:rPr>
          <w:lang w:val="fr-CH"/>
        </w:rPr>
        <w:t>épidémie et réduire l</w:t>
      </w:r>
      <w:r w:rsidR="00961388">
        <w:rPr>
          <w:lang w:val="fr-CH"/>
        </w:rPr>
        <w:t>’</w:t>
      </w:r>
      <w:r w:rsidRPr="00961388">
        <w:rPr>
          <w:lang w:val="fr-CH"/>
        </w:rPr>
        <w:t>incidence, l</w:t>
      </w:r>
      <w:r w:rsidR="00961388">
        <w:rPr>
          <w:lang w:val="fr-CH"/>
        </w:rPr>
        <w:t>’</w:t>
      </w:r>
      <w:r w:rsidRPr="00961388">
        <w:rPr>
          <w:lang w:val="fr-CH"/>
        </w:rPr>
        <w:t>extension et l</w:t>
      </w:r>
      <w:r w:rsidR="00961388">
        <w:rPr>
          <w:lang w:val="fr-CH"/>
        </w:rPr>
        <w:t>’</w:t>
      </w:r>
      <w:r w:rsidRPr="00961388">
        <w:rPr>
          <w:lang w:val="fr-CH"/>
        </w:rPr>
        <w:t>impact de l</w:t>
      </w:r>
      <w:r w:rsidR="00961388">
        <w:rPr>
          <w:lang w:val="fr-CH"/>
        </w:rPr>
        <w:t>’</w:t>
      </w:r>
      <w:r w:rsidRPr="00961388">
        <w:rPr>
          <w:lang w:val="fr-CH"/>
        </w:rPr>
        <w:t>infection au VIH, par l</w:t>
      </w:r>
      <w:r w:rsidR="00961388">
        <w:rPr>
          <w:lang w:val="fr-CH"/>
        </w:rPr>
        <w:t>’</w:t>
      </w:r>
      <w:r w:rsidRPr="00961388">
        <w:rPr>
          <w:lang w:val="fr-CH"/>
        </w:rPr>
        <w:t>amélioration de la qualité de vie des personnes vivant avec le VIH (PVVIH) et de leur famille, un meilleur accès à une prise en charge globale et adaptée ainsi que la mise en place d</w:t>
      </w:r>
      <w:r w:rsidR="00961388">
        <w:rPr>
          <w:lang w:val="fr-CH"/>
        </w:rPr>
        <w:t>’</w:t>
      </w:r>
      <w:r w:rsidRPr="00961388">
        <w:rPr>
          <w:lang w:val="fr-CH"/>
        </w:rPr>
        <w:t>un système national de suivi et d</w:t>
      </w:r>
      <w:r w:rsidR="00961388">
        <w:rPr>
          <w:lang w:val="fr-CH"/>
        </w:rPr>
        <w:t>’</w:t>
      </w:r>
      <w:r w:rsidRPr="00961388">
        <w:rPr>
          <w:lang w:val="fr-CH"/>
        </w:rPr>
        <w:t>évaluation pour les IST et VIH</w:t>
      </w:r>
      <w:r w:rsidR="004775B9">
        <w:rPr>
          <w:lang w:val="fr-CH"/>
        </w:rPr>
        <w:t>/sida</w:t>
      </w:r>
      <w:r w:rsidRPr="00961388">
        <w:rPr>
          <w:lang w:val="fr-CH"/>
        </w:rPr>
        <w:t>.</w:t>
      </w:r>
    </w:p>
    <w:p w:rsidR="00023EB3" w:rsidRDefault="00570B62" w:rsidP="00023EB3">
      <w:pPr>
        <w:pStyle w:val="SingleTxtG"/>
        <w:rPr>
          <w:lang w:val="fr-CH"/>
        </w:rPr>
      </w:pPr>
      <w:r w:rsidRPr="00961388">
        <w:rPr>
          <w:lang w:val="fr-CH"/>
        </w:rPr>
        <w:t>351.</w:t>
      </w:r>
      <w:r w:rsidRPr="00961388">
        <w:rPr>
          <w:lang w:val="fr-CH"/>
        </w:rPr>
        <w:tab/>
        <w:t>Ce programme a essentiellement les objectifs spécifiques</w:t>
      </w:r>
      <w:r w:rsidR="00996735">
        <w:rPr>
          <w:lang w:val="fr-CH"/>
        </w:rPr>
        <w:t xml:space="preserve"> </w:t>
      </w:r>
      <w:r w:rsidRPr="00961388">
        <w:rPr>
          <w:lang w:val="fr-CH"/>
        </w:rPr>
        <w:t>suivants</w:t>
      </w:r>
      <w:r w:rsidR="00961388">
        <w:rPr>
          <w:lang w:val="fr-CH"/>
        </w:rPr>
        <w:t>:</w:t>
      </w:r>
    </w:p>
    <w:p w:rsidR="00996735" w:rsidRDefault="00570B62" w:rsidP="00996735">
      <w:pPr>
        <w:pStyle w:val="Bullet1G"/>
        <w:rPr>
          <w:lang w:val="fr-CH"/>
        </w:rPr>
      </w:pPr>
      <w:r w:rsidRPr="00961388">
        <w:rPr>
          <w:lang w:val="fr-CH"/>
        </w:rPr>
        <w:t>Améliorer l</w:t>
      </w:r>
      <w:r w:rsidR="00961388">
        <w:rPr>
          <w:lang w:val="fr-CH"/>
        </w:rPr>
        <w:t>’</w:t>
      </w:r>
      <w:r w:rsidRPr="00961388">
        <w:rPr>
          <w:lang w:val="fr-CH"/>
        </w:rPr>
        <w:t>accès à des services adaptés, de prévention pour les groupes à comportements à haut risque</w:t>
      </w:r>
      <w:r w:rsidR="00961388">
        <w:rPr>
          <w:lang w:val="fr-CH"/>
        </w:rPr>
        <w:t>;</w:t>
      </w:r>
    </w:p>
    <w:p w:rsidR="00996735" w:rsidRDefault="00570B62" w:rsidP="00996735">
      <w:pPr>
        <w:pStyle w:val="Bullet1G"/>
        <w:rPr>
          <w:lang w:val="fr-CH"/>
        </w:rPr>
      </w:pPr>
      <w:r w:rsidRPr="00961388">
        <w:rPr>
          <w:lang w:val="fr-CH"/>
        </w:rPr>
        <w:t>Renforcer les capacités d</w:t>
      </w:r>
      <w:r w:rsidR="00961388">
        <w:rPr>
          <w:lang w:val="fr-CH"/>
        </w:rPr>
        <w:t>’</w:t>
      </w:r>
      <w:r w:rsidRPr="00961388">
        <w:rPr>
          <w:lang w:val="fr-CH"/>
        </w:rPr>
        <w:t>intervention des organisations non gouvernementales (ONG) en tant qu</w:t>
      </w:r>
      <w:r w:rsidR="00961388">
        <w:rPr>
          <w:lang w:val="fr-CH"/>
        </w:rPr>
        <w:t>’</w:t>
      </w:r>
      <w:r w:rsidRPr="00961388">
        <w:rPr>
          <w:lang w:val="fr-CH"/>
        </w:rPr>
        <w:t>acteurs de la prévention auprès des groupes à comportements à haut risque</w:t>
      </w:r>
      <w:r w:rsidR="00961388">
        <w:rPr>
          <w:lang w:val="fr-CH"/>
        </w:rPr>
        <w:t>;</w:t>
      </w:r>
      <w:r w:rsidR="001973D8">
        <w:rPr>
          <w:lang w:val="fr-CH"/>
        </w:rPr>
        <w:t xml:space="preserve"> </w:t>
      </w:r>
    </w:p>
    <w:p w:rsidR="00996735" w:rsidRDefault="00570B62" w:rsidP="00996735">
      <w:pPr>
        <w:pStyle w:val="Bullet1G"/>
        <w:rPr>
          <w:lang w:val="fr-CH"/>
        </w:rPr>
      </w:pPr>
      <w:r w:rsidRPr="00961388">
        <w:rPr>
          <w:lang w:val="fr-CH"/>
        </w:rPr>
        <w:t xml:space="preserve">Réduire la prévalence des comportements exposant au risque de transmission </w:t>
      </w:r>
      <w:r w:rsidR="00996735">
        <w:rPr>
          <w:lang w:val="fr-CH"/>
        </w:rPr>
        <w:t>des IST/</w:t>
      </w:r>
      <w:r w:rsidRPr="00961388">
        <w:rPr>
          <w:lang w:val="fr-CH"/>
        </w:rPr>
        <w:t>VIH, chez les groupes vulnérables</w:t>
      </w:r>
      <w:r w:rsidR="00961388">
        <w:rPr>
          <w:lang w:val="fr-CH"/>
        </w:rPr>
        <w:t>;</w:t>
      </w:r>
    </w:p>
    <w:p w:rsidR="00996735" w:rsidRDefault="00570B62" w:rsidP="00996735">
      <w:pPr>
        <w:pStyle w:val="Bullet1G"/>
        <w:rPr>
          <w:lang w:val="fr-CH"/>
        </w:rPr>
      </w:pPr>
      <w:r w:rsidRPr="00961388">
        <w:rPr>
          <w:lang w:val="fr-CH"/>
        </w:rPr>
        <w:t>Améliorer le recours à la prise en charge des IST chez les groupes vulnérables</w:t>
      </w:r>
      <w:r w:rsidR="00961388">
        <w:rPr>
          <w:lang w:val="fr-CH"/>
        </w:rPr>
        <w:t>;</w:t>
      </w:r>
    </w:p>
    <w:p w:rsidR="00996735" w:rsidRDefault="00570B62" w:rsidP="00996735">
      <w:pPr>
        <w:pStyle w:val="Bullet1G"/>
        <w:rPr>
          <w:lang w:val="fr-CH"/>
        </w:rPr>
      </w:pPr>
      <w:r w:rsidRPr="00961388">
        <w:rPr>
          <w:lang w:val="fr-CH"/>
        </w:rPr>
        <w:t>Améliorer l</w:t>
      </w:r>
      <w:r w:rsidR="00961388">
        <w:rPr>
          <w:lang w:val="fr-CH"/>
        </w:rPr>
        <w:t>’</w:t>
      </w:r>
      <w:r w:rsidRPr="00961388">
        <w:rPr>
          <w:lang w:val="fr-CH"/>
        </w:rPr>
        <w:t>accessibilité à des services de prise en charge de qualité</w:t>
      </w:r>
      <w:r w:rsidR="00961388">
        <w:rPr>
          <w:lang w:val="fr-CH"/>
        </w:rPr>
        <w:t>;</w:t>
      </w:r>
    </w:p>
    <w:p w:rsidR="00996735" w:rsidRDefault="00570B62" w:rsidP="00996735">
      <w:pPr>
        <w:pStyle w:val="Bullet1G"/>
        <w:rPr>
          <w:lang w:val="fr-CH"/>
        </w:rPr>
      </w:pPr>
      <w:r w:rsidRPr="00961388">
        <w:rPr>
          <w:lang w:val="fr-CH"/>
        </w:rPr>
        <w:t>Améliorer la qualité de vie des (PVVIH) et de leur famille par une prise en charge psychosociale optimale</w:t>
      </w:r>
      <w:r w:rsidR="00961388">
        <w:rPr>
          <w:lang w:val="fr-CH"/>
        </w:rPr>
        <w:t>;</w:t>
      </w:r>
    </w:p>
    <w:p w:rsidR="00996735" w:rsidRDefault="00570B62" w:rsidP="00996735">
      <w:pPr>
        <w:pStyle w:val="Bullet1G"/>
        <w:rPr>
          <w:lang w:val="fr-CH"/>
        </w:rPr>
      </w:pPr>
      <w:r w:rsidRPr="00961388">
        <w:rPr>
          <w:lang w:val="fr-CH"/>
        </w:rPr>
        <w:t>Réduire la transmission du VIH, de la mère à l</w:t>
      </w:r>
      <w:r w:rsidR="00961388">
        <w:rPr>
          <w:lang w:val="fr-CH"/>
        </w:rPr>
        <w:t>’</w:t>
      </w:r>
      <w:r w:rsidRPr="00961388">
        <w:rPr>
          <w:lang w:val="fr-CH"/>
        </w:rPr>
        <w:t>enfant</w:t>
      </w:r>
      <w:r w:rsidR="00961388">
        <w:rPr>
          <w:lang w:val="fr-CH"/>
        </w:rPr>
        <w:t>;</w:t>
      </w:r>
    </w:p>
    <w:p w:rsidR="00996735" w:rsidRDefault="00570B62" w:rsidP="00996735">
      <w:pPr>
        <w:pStyle w:val="Bullet1G"/>
        <w:rPr>
          <w:lang w:val="fr-CH"/>
        </w:rPr>
      </w:pPr>
      <w:r w:rsidRPr="00961388">
        <w:rPr>
          <w:lang w:val="fr-CH"/>
        </w:rPr>
        <w:t>Améliorer la surveillance épidémiologique des IST/VIH</w:t>
      </w:r>
      <w:r w:rsidR="004775B9">
        <w:rPr>
          <w:lang w:val="fr-CH"/>
        </w:rPr>
        <w:t>/sida</w:t>
      </w:r>
      <w:r w:rsidRPr="00961388">
        <w:rPr>
          <w:lang w:val="fr-CH"/>
        </w:rPr>
        <w:t xml:space="preserve"> par la mise en place d</w:t>
      </w:r>
      <w:r w:rsidR="00961388">
        <w:rPr>
          <w:lang w:val="fr-CH"/>
        </w:rPr>
        <w:t>’</w:t>
      </w:r>
      <w:r w:rsidRPr="00961388">
        <w:rPr>
          <w:lang w:val="fr-CH"/>
        </w:rPr>
        <w:t xml:space="preserve">un système de surveillance de </w:t>
      </w:r>
      <w:r w:rsidR="008B7DE6">
        <w:rPr>
          <w:lang w:val="fr-CH"/>
        </w:rPr>
        <w:t>deuxième</w:t>
      </w:r>
      <w:r w:rsidRPr="00961388">
        <w:rPr>
          <w:lang w:val="fr-CH"/>
        </w:rPr>
        <w:t xml:space="preserve"> génération</w:t>
      </w:r>
      <w:r w:rsidR="00961388">
        <w:rPr>
          <w:lang w:val="fr-CH"/>
        </w:rPr>
        <w:t>;</w:t>
      </w:r>
    </w:p>
    <w:p w:rsidR="00996735" w:rsidRDefault="00570B62" w:rsidP="00996735">
      <w:pPr>
        <w:pStyle w:val="Bullet1G"/>
        <w:rPr>
          <w:lang w:val="fr-CH"/>
        </w:rPr>
      </w:pPr>
      <w:r w:rsidRPr="00961388">
        <w:rPr>
          <w:lang w:val="fr-CH"/>
        </w:rPr>
        <w:t>Développer des capacités nationales en matière de suivi et d</w:t>
      </w:r>
      <w:r w:rsidR="00961388">
        <w:rPr>
          <w:lang w:val="fr-CH"/>
        </w:rPr>
        <w:t>’</w:t>
      </w:r>
      <w:r w:rsidRPr="00961388">
        <w:rPr>
          <w:lang w:val="fr-CH"/>
        </w:rPr>
        <w:t>évaluation du VIH</w:t>
      </w:r>
      <w:r w:rsidR="004775B9">
        <w:rPr>
          <w:lang w:val="fr-CH"/>
        </w:rPr>
        <w:t>/sida</w:t>
      </w:r>
      <w:r w:rsidR="00961388">
        <w:rPr>
          <w:lang w:val="fr-CH"/>
        </w:rPr>
        <w:t>;</w:t>
      </w:r>
    </w:p>
    <w:p w:rsidR="00570B62" w:rsidRPr="00961388" w:rsidRDefault="00570B62" w:rsidP="00996735">
      <w:pPr>
        <w:pStyle w:val="Bullet1G"/>
        <w:rPr>
          <w:lang w:val="fr-CH"/>
        </w:rPr>
      </w:pPr>
      <w:r w:rsidRPr="00961388">
        <w:rPr>
          <w:lang w:val="fr-CH"/>
        </w:rPr>
        <w:t>Identifier les déterminants psychosociaux de la transmission du VIH, à travers des recherches opérationnelles.</w:t>
      </w:r>
    </w:p>
    <w:p w:rsidR="00570B62" w:rsidRPr="00961388" w:rsidRDefault="00243DA0" w:rsidP="00243DA0">
      <w:pPr>
        <w:pStyle w:val="H4G"/>
        <w:rPr>
          <w:lang w:val="fr-CH"/>
        </w:rPr>
      </w:pPr>
      <w:r>
        <w:rPr>
          <w:lang w:val="fr-CH"/>
        </w:rPr>
        <w:tab/>
      </w:r>
      <w:r>
        <w:rPr>
          <w:lang w:val="fr-CH"/>
        </w:rPr>
        <w:tab/>
      </w:r>
      <w:r w:rsidR="00570B62" w:rsidRPr="00961388">
        <w:rPr>
          <w:lang w:val="fr-CH"/>
        </w:rPr>
        <w:t xml:space="preserve">Les acquis de la première phase du projet GFATM </w:t>
      </w:r>
      <w:r w:rsidR="00996735" w:rsidRPr="00961388">
        <w:rPr>
          <w:lang w:val="fr-CH"/>
        </w:rPr>
        <w:t>(2007</w:t>
      </w:r>
      <w:r w:rsidR="00570B62" w:rsidRPr="00961388">
        <w:rPr>
          <w:lang w:val="fr-CH"/>
        </w:rPr>
        <w:t>/2009)</w:t>
      </w:r>
    </w:p>
    <w:p w:rsidR="00570B62" w:rsidRPr="00961388" w:rsidRDefault="00570B62" w:rsidP="00996735">
      <w:pPr>
        <w:pStyle w:val="SingleTxtG"/>
        <w:rPr>
          <w:lang w:val="fr-CH"/>
        </w:rPr>
      </w:pPr>
      <w:r w:rsidRPr="00961388">
        <w:rPr>
          <w:lang w:val="fr-CH"/>
        </w:rPr>
        <w:t>352.</w:t>
      </w:r>
      <w:r w:rsidRPr="00961388">
        <w:rPr>
          <w:lang w:val="fr-CH"/>
        </w:rPr>
        <w:tab/>
        <w:t>Le projet GFATM, basé sur une approche participative et une dynamique multidisciplinaire impliquant tous les acteurs gouvernementaux et associatifs, cible notamment les jeunes scolarisés et non scolarisés en situation de vulnérabilité, les personnes vivant avec le VIH et leurs familles, les groupes à comportements à hauts risques</w:t>
      </w:r>
      <w:r w:rsidR="00961388">
        <w:rPr>
          <w:lang w:val="fr-CH"/>
        </w:rPr>
        <w:t>:</w:t>
      </w:r>
      <w:r w:rsidRPr="00961388">
        <w:rPr>
          <w:lang w:val="fr-CH"/>
        </w:rPr>
        <w:t xml:space="preserve"> hommes ayant des relations sexuelles avec des hommes, détenus, usagers de drogue injectable, professionnelles de sexe, les femmes en âge de reproduction, les recrues et les populations à mobilité fréquente. </w:t>
      </w:r>
    </w:p>
    <w:p w:rsidR="00570B62" w:rsidRPr="00961388" w:rsidRDefault="00570B62" w:rsidP="00996735">
      <w:pPr>
        <w:pStyle w:val="SingleTxtG"/>
        <w:rPr>
          <w:lang w:val="fr-CH"/>
        </w:rPr>
      </w:pPr>
      <w:r w:rsidRPr="00961388">
        <w:rPr>
          <w:lang w:val="fr-CH"/>
        </w:rPr>
        <w:t>353.</w:t>
      </w:r>
      <w:r w:rsidRPr="00961388">
        <w:rPr>
          <w:lang w:val="fr-CH"/>
        </w:rPr>
        <w:tab/>
        <w:t>La planification des actions de sensibilisation, de prise en charge psychosociale et de plaidoyer a été élaborée selon les approches fondées sur le genre et les droits humains. Elle cible notamment les personnes à hauts risques et les catégories les plus vulnérables.</w:t>
      </w:r>
    </w:p>
    <w:p w:rsidR="00996735" w:rsidRDefault="00570B62" w:rsidP="00996735">
      <w:pPr>
        <w:pStyle w:val="SingleTxtG"/>
        <w:rPr>
          <w:lang w:val="fr-CH"/>
        </w:rPr>
      </w:pPr>
      <w:r w:rsidRPr="00961388">
        <w:rPr>
          <w:lang w:val="fr-CH"/>
        </w:rPr>
        <w:t>354.</w:t>
      </w:r>
      <w:r w:rsidRPr="00961388">
        <w:rPr>
          <w:lang w:val="fr-CH"/>
        </w:rPr>
        <w:tab/>
        <w:t>Durant la première phase du programme GFATM, (septembre 2007-</w:t>
      </w:r>
      <w:r w:rsidR="008B7DE6">
        <w:rPr>
          <w:lang w:val="fr-CH"/>
        </w:rPr>
        <w:t>a</w:t>
      </w:r>
      <w:r w:rsidRPr="00961388">
        <w:rPr>
          <w:lang w:val="fr-CH"/>
        </w:rPr>
        <w:t>o</w:t>
      </w:r>
      <w:r w:rsidR="008B7DE6">
        <w:rPr>
          <w:lang w:val="fr-CH"/>
        </w:rPr>
        <w:t>û</w:t>
      </w:r>
      <w:r w:rsidRPr="00961388">
        <w:rPr>
          <w:lang w:val="fr-CH"/>
        </w:rPr>
        <w:t>t 2009)</w:t>
      </w:r>
      <w:r w:rsidR="00961388">
        <w:rPr>
          <w:lang w:val="fr-CH"/>
        </w:rPr>
        <w:t>:</w:t>
      </w:r>
    </w:p>
    <w:p w:rsidR="00996735" w:rsidRDefault="00570B62" w:rsidP="00996735">
      <w:pPr>
        <w:pStyle w:val="Bullet1G"/>
        <w:rPr>
          <w:lang w:val="fr-CH"/>
        </w:rPr>
      </w:pPr>
      <w:r w:rsidRPr="00961388">
        <w:rPr>
          <w:lang w:val="fr-CH"/>
        </w:rPr>
        <w:t>Des actions et des campagnes d</w:t>
      </w:r>
      <w:r w:rsidR="00961388">
        <w:rPr>
          <w:lang w:val="fr-CH"/>
        </w:rPr>
        <w:t>’</w:t>
      </w:r>
      <w:r w:rsidRPr="00961388">
        <w:rPr>
          <w:lang w:val="fr-CH"/>
        </w:rPr>
        <w:t>éducation on été menées dans les 24 gouvernorats du pays et ont ciblé aussi bien les filles que les garçons en vue de consolider les connaissances en matière d</w:t>
      </w:r>
      <w:r w:rsidR="00961388">
        <w:rPr>
          <w:lang w:val="fr-CH"/>
        </w:rPr>
        <w:t>’</w:t>
      </w:r>
      <w:r w:rsidRPr="00961388">
        <w:rPr>
          <w:lang w:val="fr-CH"/>
        </w:rPr>
        <w:t>IST/VIH</w:t>
      </w:r>
      <w:r w:rsidR="004775B9">
        <w:rPr>
          <w:lang w:val="fr-CH"/>
        </w:rPr>
        <w:t>/sida</w:t>
      </w:r>
      <w:r w:rsidRPr="00961388">
        <w:rPr>
          <w:lang w:val="fr-CH"/>
        </w:rPr>
        <w:t xml:space="preserve"> et de promouvoir des attitudes préventives dans le domaine de la santé sexuelle et reproductive</w:t>
      </w:r>
      <w:r w:rsidR="00961388">
        <w:rPr>
          <w:lang w:val="fr-CH"/>
        </w:rPr>
        <w:t>;</w:t>
      </w:r>
    </w:p>
    <w:p w:rsidR="00996735" w:rsidRDefault="00570B62" w:rsidP="000316AC">
      <w:pPr>
        <w:pStyle w:val="Bullet1G"/>
        <w:keepNext/>
        <w:rPr>
          <w:lang w:val="fr-CH"/>
        </w:rPr>
      </w:pPr>
      <w:r w:rsidRPr="00961388">
        <w:rPr>
          <w:lang w:val="fr-CH"/>
        </w:rPr>
        <w:t>Des sessions de formation ont été organisées au profit des différents prestataires de services du secteur privé et public</w:t>
      </w:r>
      <w:r w:rsidR="00961388">
        <w:rPr>
          <w:lang w:val="fr-CH"/>
        </w:rPr>
        <w:t>:</w:t>
      </w:r>
      <w:r w:rsidRPr="00961388">
        <w:rPr>
          <w:lang w:val="fr-CH"/>
        </w:rPr>
        <w:t xml:space="preserve"> médecins, sages femmes, psychologues et animatrices en vue d</w:t>
      </w:r>
      <w:r w:rsidR="00961388">
        <w:rPr>
          <w:lang w:val="fr-CH"/>
        </w:rPr>
        <w:t>’</w:t>
      </w:r>
      <w:r w:rsidRPr="00961388">
        <w:rPr>
          <w:lang w:val="fr-CH"/>
        </w:rPr>
        <w:t>améliorer la qualité de la prise en charge et la lutte contre la discrimination à l</w:t>
      </w:r>
      <w:r w:rsidR="00961388">
        <w:rPr>
          <w:lang w:val="fr-CH"/>
        </w:rPr>
        <w:t>’</w:t>
      </w:r>
      <w:r w:rsidRPr="00961388">
        <w:rPr>
          <w:lang w:val="fr-CH"/>
        </w:rPr>
        <w:t>égard des personnes vivant avec le VIH</w:t>
      </w:r>
      <w:r w:rsidR="00961388">
        <w:rPr>
          <w:lang w:val="fr-CH"/>
        </w:rPr>
        <w:t>;</w:t>
      </w:r>
    </w:p>
    <w:p w:rsidR="00996735" w:rsidRDefault="00570B62" w:rsidP="00996735">
      <w:pPr>
        <w:pStyle w:val="Bullet1G"/>
        <w:rPr>
          <w:lang w:val="fr-CH"/>
        </w:rPr>
      </w:pPr>
      <w:r w:rsidRPr="00961388">
        <w:rPr>
          <w:lang w:val="fr-CH"/>
        </w:rPr>
        <w:t>Des actions spécifiques ont été réalisées pour promouvoir le préservatif qui est distribué gratuitement par les structures de santé publique et vendu à un prix symbolique dans les officines</w:t>
      </w:r>
      <w:r w:rsidR="00961388">
        <w:rPr>
          <w:lang w:val="fr-CH"/>
        </w:rPr>
        <w:t>;</w:t>
      </w:r>
    </w:p>
    <w:p w:rsidR="00996735" w:rsidRDefault="00570B62" w:rsidP="000316AC">
      <w:pPr>
        <w:pStyle w:val="Bullet1G"/>
        <w:rPr>
          <w:lang w:val="fr-CH"/>
        </w:rPr>
      </w:pPr>
      <w:r w:rsidRPr="00961388">
        <w:rPr>
          <w:lang w:val="fr-CH"/>
        </w:rPr>
        <w:t>La vente du préservatif en dehors des pharmacies est autorisée depuis janvier 2009</w:t>
      </w:r>
      <w:r w:rsidR="00961388">
        <w:rPr>
          <w:lang w:val="fr-CH"/>
        </w:rPr>
        <w:t>;</w:t>
      </w:r>
    </w:p>
    <w:p w:rsidR="00996735" w:rsidRDefault="00570B62" w:rsidP="00996735">
      <w:pPr>
        <w:pStyle w:val="Bullet1G"/>
        <w:rPr>
          <w:lang w:val="fr-CH"/>
        </w:rPr>
      </w:pPr>
      <w:r w:rsidRPr="00961388">
        <w:rPr>
          <w:lang w:val="fr-CH"/>
        </w:rPr>
        <w:t>Un plan est actuellement en cours de finalisation pour l</w:t>
      </w:r>
      <w:r w:rsidR="00961388">
        <w:rPr>
          <w:lang w:val="fr-CH"/>
        </w:rPr>
        <w:t>’</w:t>
      </w:r>
      <w:r w:rsidRPr="00961388">
        <w:rPr>
          <w:lang w:val="fr-CH"/>
        </w:rPr>
        <w:t>introduction du préservatif féminin au profit notamment des travailleuses de sexe</w:t>
      </w:r>
      <w:r w:rsidR="00961388">
        <w:rPr>
          <w:lang w:val="fr-CH"/>
        </w:rPr>
        <w:t>;</w:t>
      </w:r>
      <w:r w:rsidRPr="00961388">
        <w:rPr>
          <w:lang w:val="fr-CH"/>
        </w:rPr>
        <w:t xml:space="preserve"> </w:t>
      </w:r>
    </w:p>
    <w:p w:rsidR="00570B62" w:rsidRPr="00961388" w:rsidRDefault="00570B62" w:rsidP="00996735">
      <w:pPr>
        <w:pStyle w:val="Bullet1G"/>
        <w:rPr>
          <w:lang w:val="fr-CH"/>
        </w:rPr>
      </w:pPr>
      <w:r w:rsidRPr="00961388">
        <w:rPr>
          <w:lang w:val="fr-CH"/>
        </w:rPr>
        <w:t>19 Centres de conseil, de dépistage volontaire, anonyme et gratuit du VIH</w:t>
      </w:r>
      <w:r w:rsidR="004775B9">
        <w:rPr>
          <w:lang w:val="fr-CH"/>
        </w:rPr>
        <w:t>/sida</w:t>
      </w:r>
      <w:r w:rsidRPr="00961388">
        <w:rPr>
          <w:lang w:val="fr-CH"/>
        </w:rPr>
        <w:t xml:space="preserve"> ont été crées entre 2008 et 2009. </w:t>
      </w:r>
    </w:p>
    <w:p w:rsidR="00996735" w:rsidRDefault="00570B62" w:rsidP="00996735">
      <w:pPr>
        <w:pStyle w:val="SingleTxtG"/>
        <w:rPr>
          <w:lang w:val="fr-CH"/>
        </w:rPr>
      </w:pPr>
      <w:r w:rsidRPr="00961388">
        <w:rPr>
          <w:lang w:val="fr-CH"/>
        </w:rPr>
        <w:t>355.</w:t>
      </w:r>
      <w:r w:rsidRPr="00961388">
        <w:rPr>
          <w:lang w:val="fr-CH"/>
        </w:rPr>
        <w:tab/>
        <w:t>Grâce à cette dynamique globale du projet GFATM, les résultats suivants ont été enregistrés</w:t>
      </w:r>
      <w:r w:rsidR="00961388">
        <w:rPr>
          <w:lang w:val="fr-CH"/>
        </w:rPr>
        <w:t>:</w:t>
      </w:r>
    </w:p>
    <w:p w:rsidR="00996735" w:rsidRDefault="00570B62" w:rsidP="00996735">
      <w:pPr>
        <w:pStyle w:val="Bullet1G"/>
        <w:rPr>
          <w:lang w:val="fr-CH"/>
        </w:rPr>
      </w:pPr>
      <w:r w:rsidRPr="00961388">
        <w:rPr>
          <w:lang w:val="fr-CH"/>
        </w:rPr>
        <w:t>Le taux des personnes adultes et enfants des deux sexes vivant avec le VIH, bénéficiant des traitements après 12 mois de trithérapie, a atteint 93</w:t>
      </w:r>
      <w:r w:rsidR="001973D8">
        <w:rPr>
          <w:lang w:val="fr-CH"/>
        </w:rPr>
        <w:t xml:space="preserve"> %</w:t>
      </w:r>
      <w:r w:rsidR="008B7DE6">
        <w:rPr>
          <w:lang w:val="fr-CH"/>
        </w:rPr>
        <w:t>;</w:t>
      </w:r>
    </w:p>
    <w:p w:rsidR="00996735" w:rsidRDefault="00570B62" w:rsidP="00996735">
      <w:pPr>
        <w:pStyle w:val="Bullet1G"/>
        <w:rPr>
          <w:lang w:val="fr-CH"/>
        </w:rPr>
      </w:pPr>
      <w:r w:rsidRPr="00961388">
        <w:rPr>
          <w:lang w:val="fr-CH"/>
        </w:rPr>
        <w:t>716 personnes vivant avec le VIH et leur famille ont bénéficié d</w:t>
      </w:r>
      <w:r w:rsidR="00961388">
        <w:rPr>
          <w:lang w:val="fr-CH"/>
        </w:rPr>
        <w:t>’</w:t>
      </w:r>
      <w:r w:rsidRPr="00961388">
        <w:rPr>
          <w:lang w:val="fr-CH"/>
        </w:rPr>
        <w:t>une assistance psychosociale et médicale appropriée</w:t>
      </w:r>
      <w:r w:rsidR="008B7DE6">
        <w:rPr>
          <w:lang w:val="fr-CH"/>
        </w:rPr>
        <w:t>;</w:t>
      </w:r>
    </w:p>
    <w:p w:rsidR="00996735" w:rsidRDefault="00570B62" w:rsidP="00996735">
      <w:pPr>
        <w:pStyle w:val="Bullet1G"/>
        <w:rPr>
          <w:lang w:val="fr-CH"/>
        </w:rPr>
      </w:pPr>
      <w:r w:rsidRPr="00961388">
        <w:rPr>
          <w:lang w:val="fr-CH"/>
        </w:rPr>
        <w:t>La diffusion du préservatif a été élargie pour atteindre 13562110 unités distribuées</w:t>
      </w:r>
      <w:r w:rsidR="008B7DE6">
        <w:rPr>
          <w:lang w:val="fr-CH"/>
        </w:rPr>
        <w:t>;</w:t>
      </w:r>
    </w:p>
    <w:p w:rsidR="00996735" w:rsidRDefault="00570B62" w:rsidP="00996735">
      <w:pPr>
        <w:pStyle w:val="Bullet1G"/>
        <w:rPr>
          <w:lang w:val="fr-CH"/>
        </w:rPr>
      </w:pPr>
      <w:r w:rsidRPr="00961388">
        <w:rPr>
          <w:lang w:val="fr-CH"/>
        </w:rPr>
        <w:t>Le taux d</w:t>
      </w:r>
      <w:r w:rsidR="00961388">
        <w:rPr>
          <w:lang w:val="fr-CH"/>
        </w:rPr>
        <w:t>’</w:t>
      </w:r>
      <w:r w:rsidRPr="00961388">
        <w:rPr>
          <w:lang w:val="fr-CH"/>
        </w:rPr>
        <w:t>utilisation du préservatif chez les jeunes (15-24 ans) a enregistré une augmentation de 28</w:t>
      </w:r>
      <w:r w:rsidR="001973D8">
        <w:rPr>
          <w:lang w:val="fr-CH"/>
        </w:rPr>
        <w:t xml:space="preserve"> %</w:t>
      </w:r>
      <w:r w:rsidR="008B7DE6">
        <w:rPr>
          <w:lang w:val="fr-CH"/>
        </w:rPr>
        <w:t>;</w:t>
      </w:r>
      <w:r w:rsidRPr="00961388">
        <w:rPr>
          <w:lang w:val="fr-CH"/>
        </w:rPr>
        <w:t xml:space="preserve"> </w:t>
      </w:r>
    </w:p>
    <w:p w:rsidR="00996735" w:rsidRDefault="00570B62" w:rsidP="00996735">
      <w:pPr>
        <w:pStyle w:val="Bullet1G"/>
        <w:rPr>
          <w:lang w:val="fr-CH"/>
        </w:rPr>
      </w:pPr>
      <w:r w:rsidRPr="00961388">
        <w:rPr>
          <w:lang w:val="fr-CH"/>
        </w:rPr>
        <w:t>41373 personnes issues d</w:t>
      </w:r>
      <w:r w:rsidR="00961388">
        <w:rPr>
          <w:lang w:val="fr-CH"/>
        </w:rPr>
        <w:t>’</w:t>
      </w:r>
      <w:r w:rsidRPr="00961388">
        <w:rPr>
          <w:lang w:val="fr-CH"/>
        </w:rPr>
        <w:t>un milieu socioéconomique vulnérable ont bénéficié de séances et de contacts de sensibilisation et d</w:t>
      </w:r>
      <w:r w:rsidR="00961388">
        <w:rPr>
          <w:lang w:val="fr-CH"/>
        </w:rPr>
        <w:t>’</w:t>
      </w:r>
      <w:r w:rsidRPr="00961388">
        <w:rPr>
          <w:lang w:val="fr-CH"/>
        </w:rPr>
        <w:t>information sur la prévention des IST/VIH</w:t>
      </w:r>
      <w:r w:rsidR="004775B9">
        <w:rPr>
          <w:lang w:val="fr-CH"/>
        </w:rPr>
        <w:t>/sida</w:t>
      </w:r>
      <w:r w:rsidRPr="00961388">
        <w:rPr>
          <w:lang w:val="fr-CH"/>
        </w:rPr>
        <w:t xml:space="preserve"> et des services offerts dans ce domaine</w:t>
      </w:r>
      <w:r w:rsidR="008B7DE6">
        <w:rPr>
          <w:lang w:val="fr-CH"/>
        </w:rPr>
        <w:t>;</w:t>
      </w:r>
    </w:p>
    <w:p w:rsidR="00996735" w:rsidRDefault="00570B62" w:rsidP="00996735">
      <w:pPr>
        <w:pStyle w:val="Bullet1G"/>
        <w:rPr>
          <w:lang w:val="fr-CH"/>
        </w:rPr>
      </w:pPr>
      <w:r w:rsidRPr="00961388">
        <w:rPr>
          <w:lang w:val="fr-CH"/>
        </w:rPr>
        <w:t>Le pourcentage des jeunes des deux sexes ayant des informations et des connaissances éclairées sur les moyens de prévention du VIH</w:t>
      </w:r>
      <w:r w:rsidR="004775B9">
        <w:rPr>
          <w:lang w:val="fr-CH"/>
        </w:rPr>
        <w:t>/sida</w:t>
      </w:r>
      <w:r w:rsidRPr="00961388">
        <w:rPr>
          <w:lang w:val="fr-CH"/>
        </w:rPr>
        <w:t xml:space="preserve"> a atteint 40,3</w:t>
      </w:r>
      <w:r w:rsidR="001973D8">
        <w:rPr>
          <w:lang w:val="fr-CH"/>
        </w:rPr>
        <w:t xml:space="preserve"> %</w:t>
      </w:r>
      <w:r w:rsidR="008B7DE6">
        <w:rPr>
          <w:lang w:val="fr-CH"/>
        </w:rPr>
        <w:t>;</w:t>
      </w:r>
    </w:p>
    <w:p w:rsidR="00996735" w:rsidRDefault="00570B62" w:rsidP="00996735">
      <w:pPr>
        <w:pStyle w:val="Bullet1G"/>
        <w:rPr>
          <w:lang w:val="fr-CH"/>
        </w:rPr>
      </w:pPr>
      <w:r w:rsidRPr="00961388">
        <w:rPr>
          <w:lang w:val="fr-CH"/>
        </w:rPr>
        <w:t>Le nombre des personnes, ayant bénéficié des services de dépistage anonyme et gratuit du VIH</w:t>
      </w:r>
      <w:r w:rsidR="004775B9">
        <w:rPr>
          <w:lang w:val="fr-CH"/>
        </w:rPr>
        <w:t>/sida</w:t>
      </w:r>
      <w:r w:rsidRPr="00961388">
        <w:rPr>
          <w:lang w:val="fr-CH"/>
        </w:rPr>
        <w:t>, a atteint 8698 hommes et femmes</w:t>
      </w:r>
      <w:r w:rsidR="00961388">
        <w:rPr>
          <w:lang w:val="fr-CH"/>
        </w:rPr>
        <w:t>;</w:t>
      </w:r>
    </w:p>
    <w:p w:rsidR="00996735" w:rsidRDefault="00570B62" w:rsidP="00996735">
      <w:pPr>
        <w:pStyle w:val="Bullet1G"/>
        <w:rPr>
          <w:lang w:val="fr-CH"/>
        </w:rPr>
      </w:pPr>
      <w:r w:rsidRPr="00961388">
        <w:rPr>
          <w:lang w:val="fr-CH"/>
        </w:rPr>
        <w:t>Les actions de sensibilisation ciblant les jeunes des deux sexes, non encadrés et dans le milieu scolaire ont couvert 206474 filles et garçons</w:t>
      </w:r>
      <w:r w:rsidR="00961388">
        <w:rPr>
          <w:lang w:val="fr-CH"/>
        </w:rPr>
        <w:t>;</w:t>
      </w:r>
    </w:p>
    <w:p w:rsidR="00996735" w:rsidRDefault="00570B62" w:rsidP="00996735">
      <w:pPr>
        <w:pStyle w:val="Bullet1G"/>
        <w:rPr>
          <w:lang w:val="fr-CH"/>
        </w:rPr>
      </w:pPr>
      <w:r w:rsidRPr="00961388">
        <w:rPr>
          <w:lang w:val="fr-CH"/>
        </w:rPr>
        <w:t>La stratégie nationale de prévention de la transmission du VIH de la mère à l</w:t>
      </w:r>
      <w:r w:rsidR="00961388">
        <w:rPr>
          <w:lang w:val="fr-CH"/>
        </w:rPr>
        <w:t>’</w:t>
      </w:r>
      <w:r w:rsidRPr="00961388">
        <w:rPr>
          <w:lang w:val="fr-CH"/>
        </w:rPr>
        <w:t>enfant (PTME) prend en considération les problèmes spécifiques des femmes enceintes à haut risque pour l</w:t>
      </w:r>
      <w:r w:rsidR="00961388">
        <w:rPr>
          <w:lang w:val="fr-CH"/>
        </w:rPr>
        <w:t>’</w:t>
      </w:r>
      <w:r w:rsidRPr="00961388">
        <w:rPr>
          <w:lang w:val="fr-CH"/>
        </w:rPr>
        <w:t>infection à VIH. Elle comporte entre autres la dispensation de la formation sur la PTME au profit du personnel soignant concerné (sages-femmes, pédiatres, gynécologues, médecins de première ligne…) avec la mise en place des outils nécessaires pour la collecte des données et l</w:t>
      </w:r>
      <w:r w:rsidR="00961388">
        <w:rPr>
          <w:lang w:val="fr-CH"/>
        </w:rPr>
        <w:t>’</w:t>
      </w:r>
      <w:r w:rsidRPr="00961388">
        <w:rPr>
          <w:lang w:val="fr-CH"/>
        </w:rPr>
        <w:t>élaboration des supports éducatifs et de formation. Les tests rapides de dépistage du VIH sont disponibles au niveau des maternités et dans certains centres des soins de santé de base (PMI)</w:t>
      </w:r>
      <w:r w:rsidR="00961388">
        <w:rPr>
          <w:lang w:val="fr-CH"/>
        </w:rPr>
        <w:t>;</w:t>
      </w:r>
    </w:p>
    <w:p w:rsidR="00570B62" w:rsidRPr="00961388" w:rsidRDefault="00570B62" w:rsidP="00996735">
      <w:pPr>
        <w:pStyle w:val="Bullet1G"/>
        <w:rPr>
          <w:lang w:val="fr-CH"/>
        </w:rPr>
      </w:pPr>
      <w:r w:rsidRPr="00961388">
        <w:rPr>
          <w:lang w:val="fr-CH"/>
        </w:rPr>
        <w:t>L</w:t>
      </w:r>
      <w:r w:rsidR="00961388">
        <w:rPr>
          <w:lang w:val="fr-CH"/>
        </w:rPr>
        <w:t>’</w:t>
      </w:r>
      <w:r w:rsidRPr="00961388">
        <w:rPr>
          <w:lang w:val="fr-CH"/>
        </w:rPr>
        <w:t>organisation de sessions de formation, de journées de plaidoyer et de sensibilisation ciblant les élus locaux et les leaders religieux afin de mieux les impliquer dans la prévention du VIH</w:t>
      </w:r>
      <w:r w:rsidR="004775B9">
        <w:rPr>
          <w:lang w:val="fr-CH"/>
        </w:rPr>
        <w:t>/sida</w:t>
      </w:r>
      <w:r w:rsidRPr="00961388">
        <w:rPr>
          <w:lang w:val="fr-CH"/>
        </w:rPr>
        <w:t xml:space="preserve"> et la lutte contre la stigmatisation des PVVIH et la promotion des valeurs universelles des droits humains. </w:t>
      </w:r>
    </w:p>
    <w:p w:rsidR="00570B62" w:rsidRPr="00961388" w:rsidRDefault="00243DA0" w:rsidP="00243DA0">
      <w:pPr>
        <w:pStyle w:val="H4G"/>
        <w:rPr>
          <w:lang w:val="fr-CH"/>
        </w:rPr>
      </w:pPr>
      <w:r>
        <w:rPr>
          <w:lang w:val="fr-CH"/>
        </w:rPr>
        <w:tab/>
      </w:r>
      <w:r>
        <w:rPr>
          <w:lang w:val="fr-CH"/>
        </w:rPr>
        <w:tab/>
      </w:r>
      <w:r w:rsidR="00570B62" w:rsidRPr="00961388">
        <w:rPr>
          <w:lang w:val="fr-CH"/>
        </w:rPr>
        <w:t>La prévention du VIH</w:t>
      </w:r>
      <w:r w:rsidR="004775B9">
        <w:rPr>
          <w:lang w:val="fr-CH"/>
        </w:rPr>
        <w:t>/sida</w:t>
      </w:r>
      <w:r w:rsidR="00570B62" w:rsidRPr="00961388">
        <w:rPr>
          <w:lang w:val="fr-CH"/>
        </w:rPr>
        <w:t xml:space="preserve"> chez les professionnelles du sexe</w:t>
      </w:r>
    </w:p>
    <w:p w:rsidR="00570B62" w:rsidRPr="00961388" w:rsidRDefault="00570B62" w:rsidP="00996735">
      <w:pPr>
        <w:pStyle w:val="SingleTxtG"/>
        <w:rPr>
          <w:lang w:val="fr-CH"/>
        </w:rPr>
      </w:pPr>
      <w:r w:rsidRPr="00961388">
        <w:rPr>
          <w:lang w:val="fr-CH"/>
        </w:rPr>
        <w:t>356.</w:t>
      </w:r>
      <w:r w:rsidRPr="00961388">
        <w:rPr>
          <w:lang w:val="fr-CH"/>
        </w:rPr>
        <w:tab/>
        <w:t>La réduction des risques de transmission du VIH et des IST chez les groupes à hauts risques et le renforcement de la prévention parmi les catégories les plus vulnérables, étant des axes prioritaires du projet GFATM, une attention particulière a été prodiguée aux professionnelles du sexe et s</w:t>
      </w:r>
      <w:r w:rsidR="00961388">
        <w:rPr>
          <w:lang w:val="fr-CH"/>
        </w:rPr>
        <w:t>’</w:t>
      </w:r>
      <w:r w:rsidRPr="00961388">
        <w:rPr>
          <w:lang w:val="fr-CH"/>
        </w:rPr>
        <w:t>est concrétisée à travers la réalisation d</w:t>
      </w:r>
      <w:r w:rsidR="00961388">
        <w:rPr>
          <w:lang w:val="fr-CH"/>
        </w:rPr>
        <w:t>’</w:t>
      </w:r>
      <w:r w:rsidRPr="00961388">
        <w:rPr>
          <w:lang w:val="fr-CH"/>
        </w:rPr>
        <w:t>une enquête de séroprévalence auprès des travailleuses de sexes clandestines, qui a été menée dans le cadre d</w:t>
      </w:r>
      <w:r w:rsidR="00961388">
        <w:rPr>
          <w:lang w:val="fr-CH"/>
        </w:rPr>
        <w:t>’</w:t>
      </w:r>
      <w:r w:rsidRPr="00961388">
        <w:rPr>
          <w:lang w:val="fr-CH"/>
        </w:rPr>
        <w:t>un partenariat gouvernemental et associatif entre la Direction des soins de santé de base (DSSB) et l</w:t>
      </w:r>
      <w:r w:rsidR="00961388">
        <w:rPr>
          <w:lang w:val="fr-CH"/>
        </w:rPr>
        <w:t>’</w:t>
      </w:r>
      <w:r w:rsidRPr="00961388">
        <w:rPr>
          <w:lang w:val="fr-CH"/>
        </w:rPr>
        <w:t xml:space="preserve">Association tunisienne de prévention de la toxicomanie (ATUPRET). </w:t>
      </w:r>
    </w:p>
    <w:p w:rsidR="00570B62" w:rsidRPr="00961388" w:rsidRDefault="00570B62" w:rsidP="00996735">
      <w:pPr>
        <w:pStyle w:val="SingleTxtG"/>
        <w:rPr>
          <w:lang w:val="fr-CH"/>
        </w:rPr>
      </w:pPr>
      <w:r w:rsidRPr="00961388">
        <w:rPr>
          <w:lang w:val="fr-CH"/>
        </w:rPr>
        <w:t>357.</w:t>
      </w:r>
      <w:r w:rsidRPr="00961388">
        <w:rPr>
          <w:lang w:val="fr-CH"/>
        </w:rPr>
        <w:tab/>
        <w:t>Cette enquête s</w:t>
      </w:r>
      <w:r w:rsidR="00961388">
        <w:rPr>
          <w:lang w:val="fr-CH"/>
        </w:rPr>
        <w:t>’</w:t>
      </w:r>
      <w:r w:rsidRPr="00961388">
        <w:rPr>
          <w:lang w:val="fr-CH"/>
        </w:rPr>
        <w:t>est penchée sur, la prévalence VIH</w:t>
      </w:r>
      <w:r w:rsidR="004775B9">
        <w:rPr>
          <w:lang w:val="fr-CH"/>
        </w:rPr>
        <w:t>/sida</w:t>
      </w:r>
      <w:r w:rsidRPr="00961388">
        <w:rPr>
          <w:lang w:val="fr-CH"/>
        </w:rPr>
        <w:t xml:space="preserve"> et IST, le niveau de connaissance sur les IST/SIDA, les modes de transmission et les moyens de prévention, les comportements sexuels, l</w:t>
      </w:r>
      <w:r w:rsidR="00961388">
        <w:rPr>
          <w:lang w:val="fr-CH"/>
        </w:rPr>
        <w:t>’</w:t>
      </w:r>
      <w:r w:rsidRPr="00961388">
        <w:rPr>
          <w:lang w:val="fr-CH"/>
        </w:rPr>
        <w:t>utilisation des préservatifs et les antécédents d</w:t>
      </w:r>
      <w:r w:rsidR="00961388">
        <w:rPr>
          <w:lang w:val="fr-CH"/>
        </w:rPr>
        <w:t>’</w:t>
      </w:r>
      <w:r w:rsidRPr="00961388">
        <w:rPr>
          <w:lang w:val="fr-CH"/>
        </w:rPr>
        <w:t xml:space="preserve">IST. </w:t>
      </w:r>
    </w:p>
    <w:p w:rsidR="00570B62" w:rsidRPr="00961388" w:rsidRDefault="00570B62" w:rsidP="00996735">
      <w:pPr>
        <w:pStyle w:val="SingleTxtG"/>
        <w:rPr>
          <w:lang w:val="fr-CH"/>
        </w:rPr>
      </w:pPr>
      <w:r w:rsidRPr="00961388">
        <w:rPr>
          <w:lang w:val="fr-CH"/>
        </w:rPr>
        <w:t>358.</w:t>
      </w:r>
      <w:r w:rsidRPr="00961388">
        <w:rPr>
          <w:lang w:val="fr-CH"/>
        </w:rPr>
        <w:tab/>
        <w:t>Les résultats de cette enquête ont révélé que la séroprévalence chez cette population est de 0,43</w:t>
      </w:r>
      <w:r w:rsidR="001973D8">
        <w:rPr>
          <w:lang w:val="fr-CH"/>
        </w:rPr>
        <w:t xml:space="preserve"> %</w:t>
      </w:r>
      <w:r w:rsidRPr="00961388">
        <w:rPr>
          <w:lang w:val="fr-CH"/>
        </w:rPr>
        <w:t>.</w:t>
      </w:r>
    </w:p>
    <w:p w:rsidR="00996735" w:rsidRDefault="00570B62" w:rsidP="00996735">
      <w:pPr>
        <w:pStyle w:val="SingleTxtG"/>
        <w:rPr>
          <w:lang w:val="fr-CH"/>
        </w:rPr>
      </w:pPr>
      <w:r w:rsidRPr="00961388">
        <w:rPr>
          <w:lang w:val="fr-CH"/>
        </w:rPr>
        <w:t>359.</w:t>
      </w:r>
      <w:r w:rsidRPr="00961388">
        <w:rPr>
          <w:lang w:val="fr-CH"/>
        </w:rPr>
        <w:tab/>
        <w:t>Une autre enquête comportementale a été réalisée par l</w:t>
      </w:r>
      <w:r w:rsidR="00961388">
        <w:rPr>
          <w:lang w:val="fr-CH"/>
        </w:rPr>
        <w:t>’</w:t>
      </w:r>
      <w:r w:rsidRPr="00961388">
        <w:rPr>
          <w:lang w:val="fr-CH"/>
        </w:rPr>
        <w:t>ATUPRET auprès des travailleuses de sexe clandestines dans les gouvernorats de Sfax, Sousse et le District de Tunis, et a porté sur</w:t>
      </w:r>
      <w:r w:rsidR="00961388">
        <w:rPr>
          <w:lang w:val="fr-CH"/>
        </w:rPr>
        <w:t>:</w:t>
      </w:r>
    </w:p>
    <w:p w:rsidR="00996735" w:rsidRDefault="00570B62" w:rsidP="00996735">
      <w:pPr>
        <w:pStyle w:val="Bullet1G"/>
        <w:rPr>
          <w:lang w:val="fr-CH"/>
        </w:rPr>
      </w:pPr>
      <w:r w:rsidRPr="00961388">
        <w:rPr>
          <w:lang w:val="fr-CH"/>
        </w:rPr>
        <w:t>Les facteurs de risque au niveau individuel et environnemental exposant des femmes plus que d</w:t>
      </w:r>
      <w:r w:rsidR="00961388">
        <w:rPr>
          <w:lang w:val="fr-CH"/>
        </w:rPr>
        <w:t>’</w:t>
      </w:r>
      <w:r w:rsidRPr="00961388">
        <w:rPr>
          <w:lang w:val="fr-CH"/>
        </w:rPr>
        <w:t>autres à l</w:t>
      </w:r>
      <w:r w:rsidR="00961388">
        <w:rPr>
          <w:lang w:val="fr-CH"/>
        </w:rPr>
        <w:t>’</w:t>
      </w:r>
      <w:r w:rsidRPr="00961388">
        <w:rPr>
          <w:lang w:val="fr-CH"/>
        </w:rPr>
        <w:t>infection par le VIH</w:t>
      </w:r>
      <w:r w:rsidR="004775B9">
        <w:rPr>
          <w:lang w:val="fr-CH"/>
        </w:rPr>
        <w:t>/sida</w:t>
      </w:r>
      <w:r w:rsidR="00961388">
        <w:rPr>
          <w:lang w:val="fr-CH"/>
        </w:rPr>
        <w:t>;</w:t>
      </w:r>
      <w:r w:rsidRPr="00961388">
        <w:rPr>
          <w:lang w:val="fr-CH"/>
        </w:rPr>
        <w:t xml:space="preserve"> </w:t>
      </w:r>
    </w:p>
    <w:p w:rsidR="00570B62" w:rsidRPr="00961388" w:rsidRDefault="00570B62" w:rsidP="00996735">
      <w:pPr>
        <w:pStyle w:val="Bullet1G"/>
        <w:rPr>
          <w:lang w:val="fr-CH"/>
        </w:rPr>
      </w:pPr>
      <w:r w:rsidRPr="00961388">
        <w:rPr>
          <w:lang w:val="fr-CH"/>
        </w:rPr>
        <w:t>Les acteurs auxquels cette population pourrait avoir recours pour chercher de l</w:t>
      </w:r>
      <w:r w:rsidR="00961388">
        <w:rPr>
          <w:lang w:val="fr-CH"/>
        </w:rPr>
        <w:t>’</w:t>
      </w:r>
      <w:r w:rsidRPr="00961388">
        <w:rPr>
          <w:lang w:val="fr-CH"/>
        </w:rPr>
        <w:t>aide afin d</w:t>
      </w:r>
      <w:r w:rsidR="00961388">
        <w:rPr>
          <w:lang w:val="fr-CH"/>
        </w:rPr>
        <w:t>’</w:t>
      </w:r>
      <w:r w:rsidRPr="00961388">
        <w:rPr>
          <w:lang w:val="fr-CH"/>
        </w:rPr>
        <w:t>analyser les synergies réelles et potentielles susceptibles de réduire les causes premières et secondaires de la transmission du VIH</w:t>
      </w:r>
      <w:r w:rsidR="004775B9">
        <w:rPr>
          <w:lang w:val="fr-CH"/>
        </w:rPr>
        <w:t>/sida</w:t>
      </w:r>
      <w:r w:rsidRPr="00961388">
        <w:rPr>
          <w:lang w:val="fr-CH"/>
        </w:rPr>
        <w:t>.</w:t>
      </w:r>
    </w:p>
    <w:p w:rsidR="00570B62" w:rsidRPr="00961388" w:rsidRDefault="00570B62" w:rsidP="00996735">
      <w:pPr>
        <w:pStyle w:val="SingleTxtG"/>
        <w:rPr>
          <w:lang w:val="fr-CH"/>
        </w:rPr>
      </w:pPr>
      <w:r w:rsidRPr="00961388">
        <w:rPr>
          <w:lang w:val="fr-CH"/>
        </w:rPr>
        <w:t>360.</w:t>
      </w:r>
      <w:r w:rsidRPr="00961388">
        <w:rPr>
          <w:lang w:val="fr-CH"/>
        </w:rPr>
        <w:tab/>
        <w:t>Ces enquêtes, menées par la Direction des soins de santé de base (DSSB) avec des ONG (L</w:t>
      </w:r>
      <w:r w:rsidR="00961388">
        <w:rPr>
          <w:lang w:val="fr-CH"/>
        </w:rPr>
        <w:t>’</w:t>
      </w:r>
      <w:r w:rsidRPr="00961388">
        <w:rPr>
          <w:lang w:val="fr-CH"/>
        </w:rPr>
        <w:t>Association tunisienne de prévention de toxicomanie (ATUPRET), l</w:t>
      </w:r>
      <w:r w:rsidR="00961388">
        <w:rPr>
          <w:lang w:val="fr-CH"/>
        </w:rPr>
        <w:t>’</w:t>
      </w:r>
      <w:r w:rsidRPr="00961388">
        <w:rPr>
          <w:lang w:val="fr-CH"/>
        </w:rPr>
        <w:t>Association tunisienne de lutte contre les maladies sexuellement transmissibles et le sida (ATLMSTSIDA) et l</w:t>
      </w:r>
      <w:r w:rsidR="00961388">
        <w:rPr>
          <w:lang w:val="fr-CH"/>
        </w:rPr>
        <w:t>’</w:t>
      </w:r>
      <w:r w:rsidRPr="00961388">
        <w:rPr>
          <w:lang w:val="fr-CH"/>
        </w:rPr>
        <w:t>Association tunisienne d</w:t>
      </w:r>
      <w:r w:rsidR="00961388">
        <w:rPr>
          <w:lang w:val="fr-CH"/>
        </w:rPr>
        <w:t>’</w:t>
      </w:r>
      <w:r w:rsidRPr="00961388">
        <w:rPr>
          <w:lang w:val="fr-CH"/>
        </w:rPr>
        <w:t>information et d</w:t>
      </w:r>
      <w:r w:rsidR="00961388">
        <w:rPr>
          <w:lang w:val="fr-CH"/>
        </w:rPr>
        <w:t>’</w:t>
      </w:r>
      <w:r w:rsidRPr="00961388">
        <w:rPr>
          <w:lang w:val="fr-CH"/>
        </w:rPr>
        <w:t>orientation sur le sida (ATIOS)) et qui ont touché pour la première fois des populations cachées ont permis d</w:t>
      </w:r>
      <w:r w:rsidR="00961388">
        <w:rPr>
          <w:lang w:val="fr-CH"/>
        </w:rPr>
        <w:t>’</w:t>
      </w:r>
      <w:r w:rsidRPr="00961388">
        <w:rPr>
          <w:lang w:val="fr-CH"/>
        </w:rPr>
        <w:t>orienter les actions de sensibilisation et de prise en charge des travailleuses de sexe afin de réduire les risques de transmission des IST/VIH et de favoriser un meilleur accès aux services préventifs et curatifs.</w:t>
      </w:r>
    </w:p>
    <w:p w:rsidR="00570B62" w:rsidRPr="00961388" w:rsidRDefault="00570B62" w:rsidP="00996735">
      <w:pPr>
        <w:pStyle w:val="SingleTxtG"/>
        <w:rPr>
          <w:lang w:val="fr-CH"/>
        </w:rPr>
      </w:pPr>
      <w:r w:rsidRPr="00961388">
        <w:rPr>
          <w:lang w:val="fr-CH"/>
        </w:rPr>
        <w:t>361.</w:t>
      </w:r>
      <w:r w:rsidRPr="00961388">
        <w:rPr>
          <w:lang w:val="fr-CH"/>
        </w:rPr>
        <w:tab/>
        <w:t>C</w:t>
      </w:r>
      <w:r w:rsidR="00961388">
        <w:rPr>
          <w:lang w:val="fr-CH"/>
        </w:rPr>
        <w:t>’</w:t>
      </w:r>
      <w:r w:rsidRPr="00961388">
        <w:rPr>
          <w:lang w:val="fr-CH"/>
        </w:rPr>
        <w:t>est ainsi que presque toutes les femmes travailleuses de sexe ont bénéficié de séances de sensibilisation et d</w:t>
      </w:r>
      <w:r w:rsidR="00961388">
        <w:rPr>
          <w:lang w:val="fr-CH"/>
        </w:rPr>
        <w:t>’</w:t>
      </w:r>
      <w:r w:rsidRPr="00961388">
        <w:rPr>
          <w:lang w:val="fr-CH"/>
        </w:rPr>
        <w:t>éducation pour la prévention du VIH</w:t>
      </w:r>
      <w:r w:rsidR="004775B9">
        <w:rPr>
          <w:lang w:val="fr-CH"/>
        </w:rPr>
        <w:t>/sida</w:t>
      </w:r>
      <w:r w:rsidRPr="00961388">
        <w:rPr>
          <w:lang w:val="fr-CH"/>
        </w:rPr>
        <w:t xml:space="preserve"> et ce, durant la première phase du projet.</w:t>
      </w:r>
    </w:p>
    <w:p w:rsidR="00570B62" w:rsidRPr="00961388" w:rsidRDefault="00570B62" w:rsidP="00996735">
      <w:pPr>
        <w:pStyle w:val="SingleTxtG"/>
        <w:rPr>
          <w:lang w:val="fr-CH"/>
        </w:rPr>
      </w:pPr>
      <w:r w:rsidRPr="00961388">
        <w:rPr>
          <w:lang w:val="fr-CH"/>
        </w:rPr>
        <w:t>362.</w:t>
      </w:r>
      <w:r w:rsidRPr="00961388">
        <w:rPr>
          <w:lang w:val="fr-CH"/>
        </w:rPr>
        <w:tab/>
        <w:t>Ce résultat a été atteint grâce notamment à l</w:t>
      </w:r>
      <w:r w:rsidR="00961388">
        <w:rPr>
          <w:lang w:val="fr-CH"/>
        </w:rPr>
        <w:t>’</w:t>
      </w:r>
      <w:r w:rsidRPr="00961388">
        <w:rPr>
          <w:lang w:val="fr-CH"/>
        </w:rPr>
        <w:t>approche participative qui consistait à recruter et à former des éducatrices paires parmi cette population permettant ainsi de toucher de nouvelles travailleuses de sexe clandestines dans de nouveaux sites qui étaient jusqu</w:t>
      </w:r>
      <w:r w:rsidR="00961388">
        <w:rPr>
          <w:lang w:val="fr-CH"/>
        </w:rPr>
        <w:t>’</w:t>
      </w:r>
      <w:r w:rsidRPr="00961388">
        <w:rPr>
          <w:lang w:val="fr-CH"/>
        </w:rPr>
        <w:t>alors inaccessibles et cachés.</w:t>
      </w:r>
    </w:p>
    <w:p w:rsidR="00570B62" w:rsidRPr="00961388" w:rsidRDefault="00570B62" w:rsidP="00996735">
      <w:pPr>
        <w:pStyle w:val="SingleTxtG"/>
        <w:rPr>
          <w:lang w:val="fr-CH"/>
        </w:rPr>
      </w:pPr>
      <w:r w:rsidRPr="00961388">
        <w:rPr>
          <w:lang w:val="fr-CH"/>
        </w:rPr>
        <w:t>363.</w:t>
      </w:r>
      <w:r w:rsidRPr="00961388">
        <w:rPr>
          <w:lang w:val="fr-CH"/>
        </w:rPr>
        <w:tab/>
        <w:t>Les femmes détenues dans plusieurs prisons et maisons d</w:t>
      </w:r>
      <w:r w:rsidR="00961388">
        <w:rPr>
          <w:lang w:val="fr-CH"/>
        </w:rPr>
        <w:t>’</w:t>
      </w:r>
      <w:r w:rsidRPr="00961388">
        <w:rPr>
          <w:lang w:val="fr-CH"/>
        </w:rPr>
        <w:t>arrêt dans différentes régions en Tunisie, y ont été aussi sensibilisées à travers l</w:t>
      </w:r>
      <w:r w:rsidR="00961388">
        <w:rPr>
          <w:lang w:val="fr-CH"/>
        </w:rPr>
        <w:t>’</w:t>
      </w:r>
      <w:r w:rsidRPr="00961388">
        <w:rPr>
          <w:lang w:val="fr-CH"/>
        </w:rPr>
        <w:t>Association tunisienne d</w:t>
      </w:r>
      <w:r w:rsidR="00961388">
        <w:rPr>
          <w:lang w:val="fr-CH"/>
        </w:rPr>
        <w:t>’</w:t>
      </w:r>
      <w:r w:rsidRPr="00961388">
        <w:rPr>
          <w:lang w:val="fr-CH"/>
        </w:rPr>
        <w:t>information et d</w:t>
      </w:r>
      <w:r w:rsidR="00961388">
        <w:rPr>
          <w:lang w:val="fr-CH"/>
        </w:rPr>
        <w:t>’</w:t>
      </w:r>
      <w:r w:rsidRPr="00961388">
        <w:rPr>
          <w:lang w:val="fr-CH"/>
        </w:rPr>
        <w:t>orientation sur le Sida (ATIOS) et de l</w:t>
      </w:r>
      <w:r w:rsidR="00961388">
        <w:rPr>
          <w:lang w:val="fr-CH"/>
        </w:rPr>
        <w:t>’</w:t>
      </w:r>
      <w:r w:rsidRPr="00961388">
        <w:rPr>
          <w:lang w:val="fr-CH"/>
        </w:rPr>
        <w:t xml:space="preserve">ONFP. </w:t>
      </w:r>
    </w:p>
    <w:p w:rsidR="00570B62" w:rsidRPr="00961388" w:rsidRDefault="00570B62" w:rsidP="00996735">
      <w:pPr>
        <w:pStyle w:val="H1G"/>
        <w:rPr>
          <w:lang w:val="fr-CH"/>
        </w:rPr>
      </w:pPr>
      <w:r w:rsidRPr="00961388">
        <w:rPr>
          <w:lang w:val="fr-CH"/>
        </w:rPr>
        <w:tab/>
      </w:r>
      <w:r w:rsidRPr="00961388">
        <w:rPr>
          <w:lang w:val="fr-CH"/>
        </w:rPr>
        <w:tab/>
        <w:t>Relations familiales</w:t>
      </w:r>
    </w:p>
    <w:p w:rsidR="00570B62" w:rsidRPr="00961388" w:rsidRDefault="00C11D78" w:rsidP="00C11D78">
      <w:pPr>
        <w:pStyle w:val="H23G"/>
        <w:rPr>
          <w:lang w:val="fr-CH"/>
        </w:rPr>
      </w:pPr>
      <w:r>
        <w:rPr>
          <w:lang w:val="fr-CH"/>
        </w:rPr>
        <w:tab/>
      </w:r>
      <w:r>
        <w:rPr>
          <w:lang w:val="fr-CH"/>
        </w:rPr>
        <w:tab/>
      </w:r>
      <w:r w:rsidR="00570B62" w:rsidRPr="00961388">
        <w:rPr>
          <w:lang w:val="fr-CH"/>
        </w:rPr>
        <w:t>Réponse au paragraphe 31 d</w:t>
      </w:r>
      <w:r w:rsidR="00910D7D">
        <w:rPr>
          <w:lang w:val="fr-CH"/>
        </w:rPr>
        <w:t>e la liste de points à traiter</w:t>
      </w:r>
    </w:p>
    <w:p w:rsidR="00570B62" w:rsidRPr="00961388" w:rsidRDefault="00570B62" w:rsidP="000316AC">
      <w:pPr>
        <w:pStyle w:val="SingleTxtG"/>
        <w:rPr>
          <w:lang w:val="fr-CH"/>
        </w:rPr>
      </w:pPr>
      <w:r w:rsidRPr="00961388">
        <w:rPr>
          <w:lang w:val="fr-CH"/>
        </w:rPr>
        <w:t>364.</w:t>
      </w:r>
      <w:r w:rsidRPr="00961388">
        <w:rPr>
          <w:lang w:val="fr-CH"/>
        </w:rPr>
        <w:tab/>
        <w:t xml:space="preserve">La situation successorale des femmes a été sensiblement améliorée grâce notamment à des créations doctrinales éclairées. Cependant, cette volonté se heurte actuellement encore à une autre réalité aussi complexe que difficilement surmontable, celle découlant du fait que le droit de la succession est entièrement issu du texte coranique islamique dont les dispositions, à ce propos, sont claires, ce qui empêche toute interprétation et tout changement de son contenu. </w:t>
      </w:r>
    </w:p>
    <w:p w:rsidR="00C11D78" w:rsidRDefault="00570B62" w:rsidP="000316AC">
      <w:pPr>
        <w:pStyle w:val="SingleTxtG"/>
        <w:keepNext/>
        <w:rPr>
          <w:lang w:val="fr-CH"/>
        </w:rPr>
      </w:pPr>
      <w:r w:rsidRPr="00961388">
        <w:rPr>
          <w:lang w:val="fr-CH"/>
        </w:rPr>
        <w:t>365.</w:t>
      </w:r>
      <w:r w:rsidRPr="00961388">
        <w:rPr>
          <w:lang w:val="fr-CH"/>
        </w:rPr>
        <w:tab/>
        <w:t>Il n</w:t>
      </w:r>
      <w:r w:rsidR="00961388">
        <w:rPr>
          <w:lang w:val="fr-CH"/>
        </w:rPr>
        <w:t>’</w:t>
      </w:r>
      <w:r w:rsidRPr="00961388">
        <w:rPr>
          <w:lang w:val="fr-CH"/>
        </w:rPr>
        <w:t>en demeure pas moins que des progrès considérables ont été réalisés sur la voie de la consécration de l</w:t>
      </w:r>
      <w:r w:rsidR="00961388">
        <w:rPr>
          <w:lang w:val="fr-CH"/>
        </w:rPr>
        <w:t>’</w:t>
      </w:r>
      <w:r w:rsidRPr="00961388">
        <w:rPr>
          <w:lang w:val="fr-CH"/>
        </w:rPr>
        <w:t>égalité entre les sexes en matière successorale grâce à la mise en place des mécanismes législatifs suivants</w:t>
      </w:r>
      <w:r w:rsidR="00961388">
        <w:rPr>
          <w:lang w:val="fr-CH"/>
        </w:rPr>
        <w:t>:</w:t>
      </w:r>
    </w:p>
    <w:p w:rsidR="00C11D78" w:rsidRDefault="00570B62" w:rsidP="00C11D78">
      <w:pPr>
        <w:pStyle w:val="Bullet1G"/>
        <w:rPr>
          <w:lang w:val="fr-CH"/>
        </w:rPr>
      </w:pPr>
      <w:r w:rsidRPr="00961388">
        <w:rPr>
          <w:lang w:val="fr-CH"/>
        </w:rPr>
        <w:t xml:space="preserve">Le mécanisme du </w:t>
      </w:r>
      <w:r w:rsidR="00961388">
        <w:rPr>
          <w:lang w:val="fr-CH"/>
        </w:rPr>
        <w:t>«</w:t>
      </w:r>
      <w:r w:rsidRPr="00961388">
        <w:rPr>
          <w:lang w:val="fr-CH"/>
        </w:rPr>
        <w:t>retour</w:t>
      </w:r>
      <w:r w:rsidR="00961388">
        <w:rPr>
          <w:lang w:val="fr-CH"/>
        </w:rPr>
        <w:t>»</w:t>
      </w:r>
      <w:r w:rsidRPr="00961388">
        <w:rPr>
          <w:lang w:val="fr-CH"/>
        </w:rPr>
        <w:t xml:space="preserve"> qui accorde à la fille le bénéfice de la totalité de la masse successorale si elle n</w:t>
      </w:r>
      <w:r w:rsidR="00961388">
        <w:rPr>
          <w:lang w:val="fr-CH"/>
        </w:rPr>
        <w:t>’</w:t>
      </w:r>
      <w:r w:rsidRPr="00961388">
        <w:rPr>
          <w:lang w:val="fr-CH"/>
        </w:rPr>
        <w:t>a pas d</w:t>
      </w:r>
      <w:r w:rsidR="00961388">
        <w:rPr>
          <w:lang w:val="fr-CH"/>
        </w:rPr>
        <w:t>’</w:t>
      </w:r>
      <w:r w:rsidRPr="00961388">
        <w:rPr>
          <w:lang w:val="fr-CH"/>
        </w:rPr>
        <w:t>héritier mâle de même rang</w:t>
      </w:r>
      <w:r w:rsidR="00961388">
        <w:rPr>
          <w:lang w:val="fr-CH"/>
        </w:rPr>
        <w:t>;</w:t>
      </w:r>
      <w:r w:rsidRPr="00961388">
        <w:rPr>
          <w:lang w:val="fr-CH"/>
        </w:rPr>
        <w:t xml:space="preserve"> </w:t>
      </w:r>
    </w:p>
    <w:p w:rsidR="00C11D78" w:rsidRDefault="00570B62" w:rsidP="00C11D78">
      <w:pPr>
        <w:pStyle w:val="Bullet1G"/>
        <w:rPr>
          <w:lang w:val="fr-CH"/>
        </w:rPr>
      </w:pPr>
      <w:r w:rsidRPr="00961388">
        <w:rPr>
          <w:lang w:val="fr-CH"/>
        </w:rPr>
        <w:t>Le régime du legs obligatoire qui permet aux petits enfants nés d</w:t>
      </w:r>
      <w:r w:rsidR="00961388">
        <w:rPr>
          <w:lang w:val="fr-CH"/>
        </w:rPr>
        <w:t>’</w:t>
      </w:r>
      <w:r w:rsidRPr="00961388">
        <w:rPr>
          <w:lang w:val="fr-CH"/>
        </w:rPr>
        <w:t>un fils prédécédé ou d</w:t>
      </w:r>
      <w:r w:rsidR="00961388">
        <w:rPr>
          <w:lang w:val="fr-CH"/>
        </w:rPr>
        <w:t>’</w:t>
      </w:r>
      <w:r w:rsidRPr="00961388">
        <w:rPr>
          <w:lang w:val="fr-CH"/>
        </w:rPr>
        <w:t>une fille prédécédée de bénéficier d</w:t>
      </w:r>
      <w:r w:rsidR="00961388">
        <w:rPr>
          <w:lang w:val="fr-CH"/>
        </w:rPr>
        <w:t>’</w:t>
      </w:r>
      <w:r w:rsidRPr="00961388">
        <w:rPr>
          <w:lang w:val="fr-CH"/>
        </w:rPr>
        <w:t>une part sur la succession du grand parent, égale à celle du parent décédé sans dépasser le tiers de la totalité de la succession. Les petites enfants orphelins profitent ainsi de cet apport législatif sans aucune discrimination au niveau des parents et des grands-parents décédés. Le troisième mécanisme concerne le régime de la communauté des biens</w:t>
      </w:r>
      <w:r w:rsidR="004775B9">
        <w:rPr>
          <w:lang w:val="fr-CH"/>
        </w:rPr>
        <w:t xml:space="preserve"> instauré en vertu de la loi </w:t>
      </w:r>
      <w:r w:rsidR="004775B9" w:rsidRPr="004775B9">
        <w:rPr>
          <w:rFonts w:eastAsia="MS Mincho"/>
          <w:lang w:val="fr-CH"/>
        </w:rPr>
        <w:t>n</w:t>
      </w:r>
      <w:r w:rsidR="004775B9" w:rsidRPr="004775B9">
        <w:rPr>
          <w:rFonts w:eastAsia="MS Mincho"/>
          <w:vertAlign w:val="superscript"/>
          <w:lang w:val="fr-CH"/>
        </w:rPr>
        <w:t>o</w:t>
      </w:r>
      <w:r w:rsidR="004775B9">
        <w:rPr>
          <w:lang w:val="fr-CH"/>
        </w:rPr>
        <w:t xml:space="preserve"> </w:t>
      </w:r>
      <w:r w:rsidRPr="00961388">
        <w:rPr>
          <w:lang w:val="fr-CH"/>
        </w:rPr>
        <w:t>98</w:t>
      </w:r>
      <w:r w:rsidRPr="00961388">
        <w:rPr>
          <w:lang w:val="fr-CH"/>
        </w:rPr>
        <w:noBreakHyphen/>
        <w:t>97 du 9 novembre 1998 qui a favorisé le partenariat immobilier entre le mari et la femme, portant une amélioration considérable à la condition matérielle de la veuve</w:t>
      </w:r>
      <w:r w:rsidR="00961388">
        <w:rPr>
          <w:lang w:val="fr-CH"/>
        </w:rPr>
        <w:t>;</w:t>
      </w:r>
    </w:p>
    <w:p w:rsidR="00C11D78" w:rsidRDefault="00570B62" w:rsidP="00C11D78">
      <w:pPr>
        <w:pStyle w:val="Bullet1G"/>
        <w:rPr>
          <w:lang w:val="fr-CH"/>
        </w:rPr>
      </w:pPr>
      <w:r w:rsidRPr="00961388">
        <w:rPr>
          <w:lang w:val="fr-CH"/>
        </w:rPr>
        <w:t>Le régime de la communauté des bien</w:t>
      </w:r>
      <w:r w:rsidR="001973D8">
        <w:rPr>
          <w:lang w:val="fr-CH"/>
        </w:rPr>
        <w:t xml:space="preserve">s institué en vertu de la loi </w:t>
      </w:r>
      <w:r w:rsidR="001973D8" w:rsidRPr="001973D8">
        <w:rPr>
          <w:rFonts w:eastAsia="MS Mincho"/>
          <w:lang w:val="fr-CH"/>
        </w:rPr>
        <w:t>n</w:t>
      </w:r>
      <w:r w:rsidR="001973D8" w:rsidRPr="001973D8">
        <w:rPr>
          <w:rFonts w:eastAsia="MS Mincho"/>
          <w:vertAlign w:val="superscript"/>
          <w:lang w:val="fr-CH"/>
        </w:rPr>
        <w:t>o</w:t>
      </w:r>
      <w:r w:rsidR="001973D8">
        <w:rPr>
          <w:lang w:val="fr-CH"/>
        </w:rPr>
        <w:t xml:space="preserve"> </w:t>
      </w:r>
      <w:r w:rsidRPr="00961388">
        <w:rPr>
          <w:lang w:val="fr-CH"/>
        </w:rPr>
        <w:t>98-91 du 9 novembre 1998 et qui a contribué au renforcement des droits de la femme mariée en matière d</w:t>
      </w:r>
      <w:r w:rsidR="00961388">
        <w:rPr>
          <w:lang w:val="fr-CH"/>
        </w:rPr>
        <w:t>’</w:t>
      </w:r>
      <w:r w:rsidRPr="00961388">
        <w:rPr>
          <w:lang w:val="fr-CH"/>
        </w:rPr>
        <w:t>acquisition de propriété. Tout en étant facultatif et pleinement volontaire</w:t>
      </w:r>
      <w:r w:rsidR="00961388">
        <w:rPr>
          <w:lang w:val="fr-CH"/>
        </w:rPr>
        <w:t>;</w:t>
      </w:r>
      <w:r w:rsidRPr="00961388">
        <w:rPr>
          <w:lang w:val="fr-CH"/>
        </w:rPr>
        <w:t xml:space="preserve"> ce régime a pour but </w:t>
      </w:r>
      <w:r w:rsidR="00961388">
        <w:rPr>
          <w:lang w:val="fr-CH"/>
        </w:rPr>
        <w:t>«</w:t>
      </w:r>
      <w:r w:rsidRPr="00961388">
        <w:rPr>
          <w:lang w:val="fr-CH"/>
        </w:rPr>
        <w:t>de rendre un immeuble ou un ensemble d</w:t>
      </w:r>
      <w:r w:rsidR="00961388">
        <w:rPr>
          <w:lang w:val="fr-CH"/>
        </w:rPr>
        <w:t>’</w:t>
      </w:r>
      <w:r w:rsidRPr="00961388">
        <w:rPr>
          <w:lang w:val="fr-CH"/>
        </w:rPr>
        <w:t>immeubles propriété indivise entre les époux lorsqu</w:t>
      </w:r>
      <w:r w:rsidR="00961388">
        <w:rPr>
          <w:lang w:val="fr-CH"/>
        </w:rPr>
        <w:t>’</w:t>
      </w:r>
      <w:r w:rsidRPr="00961388">
        <w:rPr>
          <w:lang w:val="fr-CH"/>
        </w:rPr>
        <w:t>ils sont propres à l</w:t>
      </w:r>
      <w:r w:rsidR="00961388">
        <w:rPr>
          <w:lang w:val="fr-CH"/>
        </w:rPr>
        <w:t>’</w:t>
      </w:r>
      <w:r w:rsidRPr="00961388">
        <w:rPr>
          <w:lang w:val="fr-CH"/>
        </w:rPr>
        <w:t>usage familial</w:t>
      </w:r>
      <w:r w:rsidR="00961388">
        <w:rPr>
          <w:lang w:val="fr-CH"/>
        </w:rPr>
        <w:t>»</w:t>
      </w:r>
      <w:r w:rsidRPr="00961388">
        <w:rPr>
          <w:lang w:val="fr-CH"/>
        </w:rPr>
        <w:t xml:space="preserve"> (article premier) et ce, en adéquation avec les nouveaux rapports de coresponsabilité et de partenariat entre les époux énoncés à l</w:t>
      </w:r>
      <w:r w:rsidR="00961388">
        <w:rPr>
          <w:lang w:val="fr-CH"/>
        </w:rPr>
        <w:t>’</w:t>
      </w:r>
      <w:r w:rsidRPr="00961388">
        <w:rPr>
          <w:lang w:val="fr-CH"/>
        </w:rPr>
        <w:t>article 23 (nouveau) du Code du statut personnel</w:t>
      </w:r>
      <w:r w:rsidR="00961388">
        <w:rPr>
          <w:lang w:val="fr-CH"/>
        </w:rPr>
        <w:t>;</w:t>
      </w:r>
    </w:p>
    <w:p w:rsidR="00570B62" w:rsidRPr="00961388" w:rsidRDefault="00570B62" w:rsidP="00C11D78">
      <w:pPr>
        <w:pStyle w:val="Bullet1G"/>
        <w:rPr>
          <w:lang w:val="fr-CH"/>
        </w:rPr>
      </w:pPr>
      <w:r w:rsidRPr="00961388">
        <w:rPr>
          <w:lang w:val="fr-CH"/>
        </w:rPr>
        <w:t>L</w:t>
      </w:r>
      <w:r w:rsidR="00961388">
        <w:rPr>
          <w:lang w:val="fr-CH"/>
        </w:rPr>
        <w:t>’</w:t>
      </w:r>
      <w:r w:rsidRPr="00961388">
        <w:rPr>
          <w:lang w:val="fr-CH"/>
        </w:rPr>
        <w:t>exonération des donations entre ascendants et descendants et entre époux du droit d</w:t>
      </w:r>
      <w:r w:rsidR="00961388">
        <w:rPr>
          <w:lang w:val="fr-CH"/>
        </w:rPr>
        <w:t>’</w:t>
      </w:r>
      <w:r w:rsidRPr="00961388">
        <w:rPr>
          <w:lang w:val="fr-CH"/>
        </w:rPr>
        <w:t>enregistrement proportionnel. Ce mécanisme a ét</w:t>
      </w:r>
      <w:r w:rsidR="001973D8">
        <w:rPr>
          <w:lang w:val="fr-CH"/>
        </w:rPr>
        <w:t xml:space="preserve">é institué en vertu de la loi </w:t>
      </w:r>
      <w:r w:rsidR="001973D8" w:rsidRPr="001973D8">
        <w:rPr>
          <w:rFonts w:eastAsia="MS Mincho"/>
          <w:lang w:val="fr-CH"/>
        </w:rPr>
        <w:t>n</w:t>
      </w:r>
      <w:r w:rsidR="001973D8" w:rsidRPr="001973D8">
        <w:rPr>
          <w:rFonts w:eastAsia="MS Mincho"/>
          <w:vertAlign w:val="superscript"/>
          <w:lang w:val="fr-CH"/>
        </w:rPr>
        <w:t>o</w:t>
      </w:r>
      <w:r w:rsidR="001973D8">
        <w:rPr>
          <w:lang w:val="fr-CH"/>
        </w:rPr>
        <w:t xml:space="preserve"> </w:t>
      </w:r>
      <w:r w:rsidRPr="00961388">
        <w:rPr>
          <w:lang w:val="fr-CH"/>
        </w:rPr>
        <w:t>2006-69 du 28 octobre 2006. Il a pour finalité d</w:t>
      </w:r>
      <w:r w:rsidR="00961388">
        <w:rPr>
          <w:lang w:val="fr-CH"/>
        </w:rPr>
        <w:t>’</w:t>
      </w:r>
      <w:r w:rsidRPr="00961388">
        <w:rPr>
          <w:lang w:val="fr-CH"/>
        </w:rPr>
        <w:t>encourager les legs entre époux de leurs vivants et entre ascendants et descendants pour détourner l</w:t>
      </w:r>
      <w:r w:rsidR="00961388">
        <w:rPr>
          <w:lang w:val="fr-CH"/>
        </w:rPr>
        <w:t>’</w:t>
      </w:r>
      <w:r w:rsidRPr="00961388">
        <w:rPr>
          <w:lang w:val="fr-CH"/>
        </w:rPr>
        <w:t>application de la loi successorale telle qu</w:t>
      </w:r>
      <w:r w:rsidR="00961388">
        <w:rPr>
          <w:lang w:val="fr-CH"/>
        </w:rPr>
        <w:t>’</w:t>
      </w:r>
      <w:r w:rsidRPr="00961388">
        <w:rPr>
          <w:lang w:val="fr-CH"/>
        </w:rPr>
        <w:t>établie dans la loi.</w:t>
      </w:r>
    </w:p>
    <w:p w:rsidR="00570B62" w:rsidRPr="00961388" w:rsidRDefault="00570B62" w:rsidP="00C11D78">
      <w:pPr>
        <w:pStyle w:val="SingleTxtG"/>
        <w:rPr>
          <w:lang w:val="fr-CH"/>
        </w:rPr>
      </w:pPr>
      <w:r w:rsidRPr="00961388">
        <w:rPr>
          <w:lang w:val="fr-CH"/>
        </w:rPr>
        <w:t>366.</w:t>
      </w:r>
      <w:r w:rsidRPr="00961388">
        <w:rPr>
          <w:lang w:val="fr-CH"/>
        </w:rPr>
        <w:tab/>
        <w:t>Pour ce qui est des mesures prises pour garantir l</w:t>
      </w:r>
      <w:r w:rsidR="00961388">
        <w:rPr>
          <w:lang w:val="fr-CH"/>
        </w:rPr>
        <w:t>’</w:t>
      </w:r>
      <w:r w:rsidRPr="00961388">
        <w:rPr>
          <w:lang w:val="fr-CH"/>
        </w:rPr>
        <w:t>égalité entre hommes et femmes dans les autres domaines du statut personnel, en particulier la dot, le mariage, le divorce, la tutelle et la garde des enfants, il est important de préciser ce qui suit</w:t>
      </w:r>
      <w:r w:rsidR="00961388">
        <w:rPr>
          <w:lang w:val="fr-CH"/>
        </w:rPr>
        <w:t>:</w:t>
      </w:r>
    </w:p>
    <w:p w:rsidR="00570B62" w:rsidRPr="00961388" w:rsidRDefault="00570B62" w:rsidP="00243DA0">
      <w:pPr>
        <w:pStyle w:val="SingleTxtG"/>
        <w:ind w:firstLine="567"/>
        <w:rPr>
          <w:lang w:val="fr-CH"/>
        </w:rPr>
      </w:pPr>
      <w:r w:rsidRPr="00961388">
        <w:rPr>
          <w:b/>
          <w:bCs/>
          <w:lang w:val="fr-CH"/>
        </w:rPr>
        <w:t>1</w:t>
      </w:r>
      <w:r w:rsidR="00243DA0">
        <w:rPr>
          <w:b/>
          <w:bCs/>
          <w:lang w:val="fr-CH"/>
        </w:rPr>
        <w:t>.</w:t>
      </w:r>
      <w:r w:rsidR="00243DA0">
        <w:rPr>
          <w:b/>
          <w:bCs/>
          <w:lang w:val="fr-CH"/>
        </w:rPr>
        <w:tab/>
      </w:r>
      <w:r w:rsidRPr="00961388">
        <w:rPr>
          <w:b/>
          <w:bCs/>
          <w:lang w:val="fr-CH"/>
        </w:rPr>
        <w:t xml:space="preserve">Concernant la dot, </w:t>
      </w:r>
      <w:r w:rsidRPr="00961388">
        <w:rPr>
          <w:lang w:val="fr-CH"/>
        </w:rPr>
        <w:t xml:space="preserve">le Code du statut personnel (CSP) stipule dans son article 3 que </w:t>
      </w:r>
      <w:r w:rsidR="00961388">
        <w:rPr>
          <w:lang w:val="fr-CH"/>
        </w:rPr>
        <w:t>«</w:t>
      </w:r>
      <w:r w:rsidRPr="00961388">
        <w:rPr>
          <w:lang w:val="fr-CH"/>
        </w:rPr>
        <w:t>le mariage n</w:t>
      </w:r>
      <w:r w:rsidR="00961388">
        <w:rPr>
          <w:lang w:val="fr-CH"/>
        </w:rPr>
        <w:t>’</w:t>
      </w:r>
      <w:r w:rsidRPr="00961388">
        <w:rPr>
          <w:lang w:val="fr-CH"/>
        </w:rPr>
        <w:t>est formé que par le consentement des deux époux. La présence de deux témoins honorables et la fixation d</w:t>
      </w:r>
      <w:r w:rsidR="00961388">
        <w:rPr>
          <w:lang w:val="fr-CH"/>
        </w:rPr>
        <w:t>’</w:t>
      </w:r>
      <w:r w:rsidRPr="00961388">
        <w:rPr>
          <w:lang w:val="fr-CH"/>
        </w:rPr>
        <w:t>une dot au profit de la femme sont, en outre, requises pour la validité du mariage</w:t>
      </w:r>
      <w:r w:rsidR="00961388">
        <w:rPr>
          <w:lang w:val="fr-CH"/>
        </w:rPr>
        <w:t>»</w:t>
      </w:r>
      <w:r w:rsidRPr="00961388">
        <w:rPr>
          <w:lang w:val="fr-CH"/>
        </w:rPr>
        <w:t>. La dot qui se réduit à une somme symbol</w:t>
      </w:r>
      <w:r w:rsidR="00243DA0">
        <w:rPr>
          <w:lang w:val="fr-CH"/>
        </w:rPr>
        <w:t>ique (1 </w:t>
      </w:r>
      <w:r w:rsidRPr="00961388">
        <w:rPr>
          <w:lang w:val="fr-CH"/>
        </w:rPr>
        <w:t xml:space="preserve">dinar = 0.7 dollars US) ne revêt pas dans ce contexte une dimension discriminatoire. </w:t>
      </w:r>
    </w:p>
    <w:p w:rsidR="00570B62" w:rsidRPr="00961388" w:rsidRDefault="00570B62" w:rsidP="00243DA0">
      <w:pPr>
        <w:pStyle w:val="SingleTxtG"/>
        <w:ind w:firstLine="567"/>
        <w:rPr>
          <w:lang w:val="fr-CH"/>
        </w:rPr>
      </w:pPr>
      <w:r w:rsidRPr="00961388">
        <w:rPr>
          <w:b/>
          <w:bCs/>
          <w:lang w:val="fr-CH"/>
        </w:rPr>
        <w:t>2</w:t>
      </w:r>
      <w:r w:rsidR="00243DA0">
        <w:rPr>
          <w:b/>
          <w:bCs/>
          <w:lang w:val="fr-CH"/>
        </w:rPr>
        <w:t>.</w:t>
      </w:r>
      <w:r w:rsidR="00243DA0">
        <w:rPr>
          <w:b/>
          <w:bCs/>
          <w:lang w:val="fr-CH"/>
        </w:rPr>
        <w:tab/>
      </w:r>
      <w:r w:rsidRPr="00961388">
        <w:rPr>
          <w:b/>
          <w:bCs/>
          <w:lang w:val="fr-CH"/>
        </w:rPr>
        <w:t xml:space="preserve">Pour ce qui est du mariage, </w:t>
      </w:r>
      <w:r w:rsidRPr="00961388">
        <w:rPr>
          <w:lang w:val="fr-CH"/>
        </w:rPr>
        <w:t>ce dernier</w:t>
      </w:r>
      <w:r w:rsidRPr="00961388">
        <w:rPr>
          <w:b/>
          <w:bCs/>
          <w:lang w:val="fr-CH"/>
        </w:rPr>
        <w:t xml:space="preserve"> </w:t>
      </w:r>
      <w:r w:rsidRPr="00961388">
        <w:rPr>
          <w:lang w:val="fr-CH"/>
        </w:rPr>
        <w:t xml:space="preserve">est strictement réglementé par le CSP qui stipule que </w:t>
      </w:r>
      <w:r w:rsidR="00961388">
        <w:rPr>
          <w:lang w:val="fr-CH"/>
        </w:rPr>
        <w:t>«</w:t>
      </w:r>
      <w:r w:rsidRPr="00961388">
        <w:rPr>
          <w:lang w:val="fr-CH"/>
        </w:rPr>
        <w:t>le mariage n</w:t>
      </w:r>
      <w:r w:rsidR="00961388">
        <w:rPr>
          <w:lang w:val="fr-CH"/>
        </w:rPr>
        <w:t>’</w:t>
      </w:r>
      <w:r w:rsidRPr="00961388">
        <w:rPr>
          <w:lang w:val="fr-CH"/>
        </w:rPr>
        <w:t>est formé que par le consentement des deux époux…</w:t>
      </w:r>
      <w:r w:rsidR="00961388">
        <w:rPr>
          <w:lang w:val="fr-CH"/>
        </w:rPr>
        <w:t>»</w:t>
      </w:r>
      <w:r w:rsidRPr="00961388">
        <w:rPr>
          <w:lang w:val="fr-CH"/>
        </w:rPr>
        <w:t xml:space="preserve"> (art.</w:t>
      </w:r>
      <w:r w:rsidR="00C11D78">
        <w:rPr>
          <w:lang w:val="fr-CH"/>
        </w:rPr>
        <w:t xml:space="preserve"> </w:t>
      </w:r>
      <w:r w:rsidRPr="00961388">
        <w:rPr>
          <w:lang w:val="fr-CH"/>
        </w:rPr>
        <w:t>3), et toute intervention du père ou tuteur dans le choix de l</w:t>
      </w:r>
      <w:r w:rsidR="00961388">
        <w:rPr>
          <w:lang w:val="fr-CH"/>
        </w:rPr>
        <w:t>’</w:t>
      </w:r>
      <w:r w:rsidRPr="00961388">
        <w:rPr>
          <w:lang w:val="fr-CH"/>
        </w:rPr>
        <w:t>époux ou au moment de la conclusion du contrat du mariage est nulle, puisque aucune substitution à la volonté librement et personnellement exprimée n</w:t>
      </w:r>
      <w:r w:rsidR="00961388">
        <w:rPr>
          <w:lang w:val="fr-CH"/>
        </w:rPr>
        <w:t>’</w:t>
      </w:r>
      <w:r w:rsidRPr="00961388">
        <w:rPr>
          <w:lang w:val="fr-CH"/>
        </w:rPr>
        <w:t>est possible sauf dans les cas prévus par la loi, (art.</w:t>
      </w:r>
      <w:r w:rsidR="00C11D78">
        <w:rPr>
          <w:lang w:val="fr-CH"/>
        </w:rPr>
        <w:t xml:space="preserve"> </w:t>
      </w:r>
      <w:r w:rsidRPr="00961388">
        <w:rPr>
          <w:lang w:val="fr-CH"/>
        </w:rPr>
        <w:t>9 du CSP).</w:t>
      </w:r>
    </w:p>
    <w:p w:rsidR="00570B62" w:rsidRPr="00961388" w:rsidRDefault="00570B62" w:rsidP="00243DA0">
      <w:pPr>
        <w:pStyle w:val="SingleTxtG"/>
        <w:ind w:firstLine="567"/>
        <w:rPr>
          <w:lang w:val="fr-CH"/>
        </w:rPr>
      </w:pPr>
      <w:r w:rsidRPr="00961388">
        <w:rPr>
          <w:b/>
          <w:bCs/>
          <w:lang w:val="fr-CH"/>
        </w:rPr>
        <w:t>3</w:t>
      </w:r>
      <w:r w:rsidR="00243DA0">
        <w:rPr>
          <w:b/>
          <w:bCs/>
          <w:lang w:val="fr-CH"/>
        </w:rPr>
        <w:t>.</w:t>
      </w:r>
      <w:r w:rsidR="00243DA0">
        <w:rPr>
          <w:b/>
          <w:bCs/>
          <w:lang w:val="fr-CH"/>
        </w:rPr>
        <w:tab/>
      </w:r>
      <w:r w:rsidRPr="00961388">
        <w:rPr>
          <w:b/>
          <w:bCs/>
          <w:lang w:val="fr-CH"/>
        </w:rPr>
        <w:t>L</w:t>
      </w:r>
      <w:r w:rsidR="00961388">
        <w:rPr>
          <w:b/>
          <w:bCs/>
          <w:lang w:val="fr-CH"/>
        </w:rPr>
        <w:t>’</w:t>
      </w:r>
      <w:r w:rsidRPr="00961388">
        <w:rPr>
          <w:b/>
          <w:bCs/>
          <w:lang w:val="fr-CH"/>
        </w:rPr>
        <w:t>âge du mariage</w:t>
      </w:r>
      <w:r w:rsidRPr="00961388">
        <w:rPr>
          <w:lang w:val="fr-CH"/>
        </w:rPr>
        <w:t xml:space="preserve"> est fixé à 18 ans pour les deux sexes, ainsi et conformément au CSP (art.</w:t>
      </w:r>
      <w:r w:rsidR="00C11D78">
        <w:rPr>
          <w:lang w:val="fr-CH"/>
        </w:rPr>
        <w:t xml:space="preserve"> </w:t>
      </w:r>
      <w:r w:rsidRPr="00961388">
        <w:rPr>
          <w:lang w:val="fr-CH"/>
        </w:rPr>
        <w:t xml:space="preserve">5) </w:t>
      </w:r>
      <w:r w:rsidR="00961388">
        <w:rPr>
          <w:lang w:val="fr-CH"/>
        </w:rPr>
        <w:t>«</w:t>
      </w:r>
      <w:r w:rsidRPr="00961388">
        <w:rPr>
          <w:lang w:val="fr-CH"/>
        </w:rPr>
        <w:t>… chacun des deux futurs époux n</w:t>
      </w:r>
      <w:r w:rsidR="00961388">
        <w:rPr>
          <w:lang w:val="fr-CH"/>
        </w:rPr>
        <w:t>’</w:t>
      </w:r>
      <w:r w:rsidRPr="00961388">
        <w:rPr>
          <w:lang w:val="fr-CH"/>
        </w:rPr>
        <w:t>ayant pas atteint dix huit ans révolus, ne peut contracter mariage. Au dessous de cet âge, le mariage ne peut être contracté qu</w:t>
      </w:r>
      <w:r w:rsidR="00961388">
        <w:rPr>
          <w:lang w:val="fr-CH"/>
        </w:rPr>
        <w:t>’</w:t>
      </w:r>
      <w:r w:rsidRPr="00961388">
        <w:rPr>
          <w:lang w:val="fr-CH"/>
        </w:rPr>
        <w:t>en vertu d</w:t>
      </w:r>
      <w:r w:rsidR="00961388">
        <w:rPr>
          <w:lang w:val="fr-CH"/>
        </w:rPr>
        <w:t>’</w:t>
      </w:r>
      <w:r w:rsidRPr="00961388">
        <w:rPr>
          <w:lang w:val="fr-CH"/>
        </w:rPr>
        <w:t>une autorisation spéciale du juge qui ne l</w:t>
      </w:r>
      <w:r w:rsidR="00961388">
        <w:rPr>
          <w:lang w:val="fr-CH"/>
        </w:rPr>
        <w:t>’</w:t>
      </w:r>
      <w:r w:rsidRPr="00961388">
        <w:rPr>
          <w:lang w:val="fr-CH"/>
        </w:rPr>
        <w:t>accordera que pour des motifs graves et dans l</w:t>
      </w:r>
      <w:r w:rsidR="00961388">
        <w:rPr>
          <w:lang w:val="fr-CH"/>
        </w:rPr>
        <w:t>’</w:t>
      </w:r>
      <w:r w:rsidRPr="00961388">
        <w:rPr>
          <w:lang w:val="fr-CH"/>
        </w:rPr>
        <w:t>intérêt bien compris des deux futurs époux.</w:t>
      </w:r>
      <w:r w:rsidR="00961388">
        <w:rPr>
          <w:lang w:val="fr-CH"/>
        </w:rPr>
        <w:t>»</w:t>
      </w:r>
      <w:r w:rsidRPr="00961388">
        <w:rPr>
          <w:lang w:val="fr-CH"/>
        </w:rPr>
        <w:t>.</w:t>
      </w:r>
    </w:p>
    <w:p w:rsidR="00570B62" w:rsidRPr="00961388" w:rsidRDefault="00570B62" w:rsidP="000316AC">
      <w:pPr>
        <w:pStyle w:val="SingleTxtG"/>
        <w:keepNext/>
        <w:keepLines/>
        <w:ind w:firstLine="567"/>
        <w:rPr>
          <w:lang w:val="fr-CH"/>
        </w:rPr>
      </w:pPr>
      <w:r w:rsidRPr="00961388">
        <w:rPr>
          <w:b/>
          <w:bCs/>
          <w:lang w:val="fr-CH"/>
        </w:rPr>
        <w:t>4</w:t>
      </w:r>
      <w:r w:rsidR="00243DA0">
        <w:rPr>
          <w:b/>
          <w:bCs/>
          <w:lang w:val="fr-CH"/>
        </w:rPr>
        <w:t>.</w:t>
      </w:r>
      <w:r w:rsidR="00243DA0">
        <w:rPr>
          <w:b/>
          <w:bCs/>
          <w:lang w:val="fr-CH"/>
        </w:rPr>
        <w:tab/>
      </w:r>
      <w:r w:rsidRPr="00961388">
        <w:rPr>
          <w:b/>
          <w:bCs/>
          <w:lang w:val="fr-CH"/>
        </w:rPr>
        <w:t>Concernant le divorce,</w:t>
      </w:r>
      <w:r w:rsidRPr="00961388">
        <w:rPr>
          <w:lang w:val="fr-CH"/>
        </w:rPr>
        <w:t xml:space="preserve"> il s</w:t>
      </w:r>
      <w:r w:rsidR="00961388">
        <w:rPr>
          <w:lang w:val="fr-CH"/>
        </w:rPr>
        <w:t>’</w:t>
      </w:r>
      <w:r w:rsidRPr="00961388">
        <w:rPr>
          <w:lang w:val="fr-CH"/>
        </w:rPr>
        <w:t>agit d</w:t>
      </w:r>
      <w:r w:rsidR="00961388">
        <w:rPr>
          <w:lang w:val="fr-CH"/>
        </w:rPr>
        <w:t>’</w:t>
      </w:r>
      <w:r w:rsidRPr="00961388">
        <w:rPr>
          <w:lang w:val="fr-CH"/>
        </w:rPr>
        <w:t xml:space="preserve">un droit reconnu aux deux époux et ne peut être prononcé que par voie judiciaire, </w:t>
      </w:r>
      <w:r w:rsidR="00961388">
        <w:rPr>
          <w:lang w:val="fr-CH"/>
        </w:rPr>
        <w:t>«</w:t>
      </w:r>
      <w:r w:rsidRPr="00961388">
        <w:rPr>
          <w:lang w:val="fr-CH"/>
        </w:rPr>
        <w:t>le divorce ne peut avoir lieu que par devant le tribunal</w:t>
      </w:r>
      <w:r w:rsidR="00961388">
        <w:rPr>
          <w:lang w:val="fr-CH"/>
        </w:rPr>
        <w:t>»</w:t>
      </w:r>
      <w:r w:rsidRPr="00961388">
        <w:rPr>
          <w:lang w:val="fr-CH"/>
        </w:rPr>
        <w:t xml:space="preserve"> (art</w:t>
      </w:r>
      <w:r w:rsidR="00243DA0">
        <w:rPr>
          <w:lang w:val="fr-CH"/>
        </w:rPr>
        <w:t>.</w:t>
      </w:r>
      <w:r w:rsidRPr="00961388">
        <w:rPr>
          <w:lang w:val="fr-CH"/>
        </w:rPr>
        <w:t xml:space="preserve"> 30). Aucune possibilité n</w:t>
      </w:r>
      <w:r w:rsidR="00961388">
        <w:rPr>
          <w:lang w:val="fr-CH"/>
        </w:rPr>
        <w:t>’</w:t>
      </w:r>
      <w:r w:rsidRPr="00961388">
        <w:rPr>
          <w:lang w:val="fr-CH"/>
        </w:rPr>
        <w:t>existe pour la répudiation ou le divorce unilatéral par la seule volonté d</w:t>
      </w:r>
      <w:r w:rsidR="00961388">
        <w:rPr>
          <w:lang w:val="fr-CH"/>
        </w:rPr>
        <w:t>’</w:t>
      </w:r>
      <w:r w:rsidRPr="00961388">
        <w:rPr>
          <w:lang w:val="fr-CH"/>
        </w:rPr>
        <w:t>un des deux conjoints.</w:t>
      </w:r>
    </w:p>
    <w:p w:rsidR="00570B62" w:rsidRPr="00961388" w:rsidRDefault="00570B62" w:rsidP="00C11D78">
      <w:pPr>
        <w:pStyle w:val="SingleTxtG"/>
        <w:rPr>
          <w:lang w:val="fr-CH"/>
        </w:rPr>
      </w:pPr>
      <w:r w:rsidRPr="00961388">
        <w:rPr>
          <w:lang w:val="fr-CH"/>
        </w:rPr>
        <w:t xml:space="preserve">Il est également spécifié que </w:t>
      </w:r>
      <w:r w:rsidR="00961388">
        <w:rPr>
          <w:lang w:val="fr-CH"/>
        </w:rPr>
        <w:t>«</w:t>
      </w:r>
      <w:r w:rsidRPr="00961388">
        <w:rPr>
          <w:lang w:val="fr-CH"/>
        </w:rPr>
        <w:t>le tribunal prononce le divorce</w:t>
      </w:r>
      <w:r w:rsidR="00961388">
        <w:rPr>
          <w:lang w:val="fr-CH"/>
        </w:rPr>
        <w:t>:</w:t>
      </w:r>
      <w:r w:rsidRPr="00961388">
        <w:rPr>
          <w:lang w:val="fr-CH"/>
        </w:rPr>
        <w:t> en cas de consentement mutuel des époux, à la demande de l</w:t>
      </w:r>
      <w:r w:rsidR="00961388">
        <w:rPr>
          <w:lang w:val="fr-CH"/>
        </w:rPr>
        <w:t>’</w:t>
      </w:r>
      <w:r w:rsidRPr="00961388">
        <w:rPr>
          <w:lang w:val="fr-CH"/>
        </w:rPr>
        <w:t>un des époux en raison de préjudice qu</w:t>
      </w:r>
      <w:r w:rsidR="00961388">
        <w:rPr>
          <w:lang w:val="fr-CH"/>
        </w:rPr>
        <w:t>’</w:t>
      </w:r>
      <w:r w:rsidRPr="00961388">
        <w:rPr>
          <w:lang w:val="fr-CH"/>
        </w:rPr>
        <w:t>il a subi, à la demande du mari ou de la femme</w:t>
      </w:r>
      <w:r w:rsidR="00961388">
        <w:rPr>
          <w:lang w:val="fr-CH"/>
        </w:rPr>
        <w:t>»</w:t>
      </w:r>
      <w:r w:rsidRPr="00961388">
        <w:rPr>
          <w:lang w:val="fr-CH"/>
        </w:rPr>
        <w:t xml:space="preserve"> (art.</w:t>
      </w:r>
      <w:r w:rsidR="00C11D78">
        <w:rPr>
          <w:lang w:val="fr-CH"/>
        </w:rPr>
        <w:t xml:space="preserve"> </w:t>
      </w:r>
      <w:r w:rsidRPr="00961388">
        <w:rPr>
          <w:lang w:val="fr-CH"/>
        </w:rPr>
        <w:t xml:space="preserve">31). </w:t>
      </w:r>
    </w:p>
    <w:p w:rsidR="00570B62" w:rsidRPr="00961388" w:rsidRDefault="00243DA0" w:rsidP="00243DA0">
      <w:pPr>
        <w:pStyle w:val="SingleTxtG"/>
        <w:ind w:firstLine="567"/>
        <w:rPr>
          <w:lang w:val="fr-CH"/>
        </w:rPr>
      </w:pPr>
      <w:r>
        <w:rPr>
          <w:b/>
          <w:bCs/>
          <w:lang w:val="fr-CH"/>
        </w:rPr>
        <w:t>5.</w:t>
      </w:r>
      <w:r>
        <w:rPr>
          <w:b/>
          <w:bCs/>
          <w:lang w:val="fr-CH"/>
        </w:rPr>
        <w:tab/>
      </w:r>
      <w:r w:rsidR="00570B62" w:rsidRPr="00961388">
        <w:rPr>
          <w:b/>
          <w:bCs/>
          <w:lang w:val="fr-CH"/>
        </w:rPr>
        <w:t>En matière de tutelle,</w:t>
      </w:r>
      <w:r w:rsidR="00570B62" w:rsidRPr="00961388">
        <w:rPr>
          <w:lang w:val="fr-CH"/>
        </w:rPr>
        <w:t xml:space="preserve"> la femme jouit de certaines prérogatives par rapport à l</w:t>
      </w:r>
      <w:r w:rsidR="00961388">
        <w:rPr>
          <w:lang w:val="fr-CH"/>
        </w:rPr>
        <w:t>’</w:t>
      </w:r>
      <w:r w:rsidR="00570B62" w:rsidRPr="00961388">
        <w:rPr>
          <w:lang w:val="fr-CH"/>
        </w:rPr>
        <w:t>éducation, aux voyages et aux transactions financières liées aux enfants. Le CSP stipule dans son article 67 qu</w:t>
      </w:r>
      <w:r w:rsidR="00961388">
        <w:rPr>
          <w:lang w:val="fr-CH"/>
        </w:rPr>
        <w:t>’«</w:t>
      </w:r>
      <w:r w:rsidR="00570B62" w:rsidRPr="00961388">
        <w:rPr>
          <w:lang w:val="fr-CH"/>
        </w:rPr>
        <w:t>en cas de dissolution du mariage par décès, la garde est confiée au survivant des père et mère. Si le mariage est dissous du vivant des époux, la garde est confiée soit à l</w:t>
      </w:r>
      <w:r w:rsidR="00961388">
        <w:rPr>
          <w:lang w:val="fr-CH"/>
        </w:rPr>
        <w:t>’</w:t>
      </w:r>
      <w:r w:rsidR="00570B62" w:rsidRPr="00961388">
        <w:rPr>
          <w:lang w:val="fr-CH"/>
        </w:rPr>
        <w:t>un d</w:t>
      </w:r>
      <w:r w:rsidR="00961388">
        <w:rPr>
          <w:lang w:val="fr-CH"/>
        </w:rPr>
        <w:t>’</w:t>
      </w:r>
      <w:r w:rsidR="00570B62" w:rsidRPr="00961388">
        <w:rPr>
          <w:lang w:val="fr-CH"/>
        </w:rPr>
        <w:t>eux, soit à une tierce personne. Le juge en décide en prenant en considération l</w:t>
      </w:r>
      <w:r w:rsidR="00961388">
        <w:rPr>
          <w:lang w:val="fr-CH"/>
        </w:rPr>
        <w:t>’</w:t>
      </w:r>
      <w:r w:rsidR="00570B62" w:rsidRPr="00961388">
        <w:rPr>
          <w:lang w:val="fr-CH"/>
        </w:rPr>
        <w:t>intérêt de l</w:t>
      </w:r>
      <w:r w:rsidR="00961388">
        <w:rPr>
          <w:lang w:val="fr-CH"/>
        </w:rPr>
        <w:t>’</w:t>
      </w:r>
      <w:r w:rsidR="00570B62" w:rsidRPr="00961388">
        <w:rPr>
          <w:lang w:val="fr-CH"/>
        </w:rPr>
        <w:t>enfant. Au cas où la garde de l</w:t>
      </w:r>
      <w:r w:rsidR="00961388">
        <w:rPr>
          <w:lang w:val="fr-CH"/>
        </w:rPr>
        <w:t>’</w:t>
      </w:r>
      <w:r w:rsidR="00570B62" w:rsidRPr="00961388">
        <w:rPr>
          <w:lang w:val="fr-CH"/>
        </w:rPr>
        <w:t>enfant est confiée à la mère, cette dernière jouit des prérogatives de la tutelle en ce qui concerne les voyages de l</w:t>
      </w:r>
      <w:r w:rsidR="00961388">
        <w:rPr>
          <w:lang w:val="fr-CH"/>
        </w:rPr>
        <w:t>’</w:t>
      </w:r>
      <w:r w:rsidR="00570B62" w:rsidRPr="00961388">
        <w:rPr>
          <w:lang w:val="fr-CH"/>
        </w:rPr>
        <w:t>enfant, ses études et la gestion de ses comptes financiers. </w:t>
      </w:r>
    </w:p>
    <w:p w:rsidR="00570B62" w:rsidRPr="00961388" w:rsidRDefault="00243DA0" w:rsidP="00243DA0">
      <w:pPr>
        <w:pStyle w:val="SingleTxtG"/>
        <w:ind w:firstLine="567"/>
        <w:rPr>
          <w:lang w:val="fr-CH"/>
        </w:rPr>
      </w:pPr>
      <w:r w:rsidRPr="00243DA0">
        <w:rPr>
          <w:b/>
          <w:lang w:val="fr-CH"/>
        </w:rPr>
        <w:t>6.</w:t>
      </w:r>
      <w:r w:rsidRPr="00243DA0">
        <w:rPr>
          <w:b/>
          <w:lang w:val="fr-CH"/>
        </w:rPr>
        <w:tab/>
      </w:r>
      <w:r w:rsidR="00570B62" w:rsidRPr="00961388">
        <w:rPr>
          <w:b/>
          <w:bCs/>
          <w:lang w:val="fr-CH"/>
        </w:rPr>
        <w:t>La garde</w:t>
      </w:r>
      <w:r w:rsidR="00961388">
        <w:rPr>
          <w:lang w:val="fr-CH"/>
        </w:rPr>
        <w:t>:</w:t>
      </w:r>
      <w:r w:rsidR="00570B62" w:rsidRPr="00961388">
        <w:rPr>
          <w:lang w:val="fr-CH"/>
        </w:rPr>
        <w:t xml:space="preserve"> Le CSP prévoit dans son article 57 que </w:t>
      </w:r>
      <w:r w:rsidR="00961388">
        <w:rPr>
          <w:lang w:val="fr-CH"/>
        </w:rPr>
        <w:t>«</w:t>
      </w:r>
      <w:r w:rsidR="00570B62" w:rsidRPr="00961388">
        <w:rPr>
          <w:lang w:val="fr-CH"/>
        </w:rPr>
        <w:t>la garde appartient durant le mariage aux père et mère</w:t>
      </w:r>
      <w:r w:rsidR="00961388">
        <w:rPr>
          <w:lang w:val="fr-CH"/>
        </w:rPr>
        <w:t>»</w:t>
      </w:r>
      <w:r w:rsidR="00570B62" w:rsidRPr="00961388">
        <w:rPr>
          <w:lang w:val="fr-CH"/>
        </w:rPr>
        <w:t>. Dans le souci de protéger la femme divorcée titulaire du droit de garde, le CSP reconnaît à la mère gardienne de ses enfants, le droit au maintien dans les lieux lorsque le père, propriétaire du local d</w:t>
      </w:r>
      <w:r w:rsidR="00961388">
        <w:rPr>
          <w:lang w:val="fr-CH"/>
        </w:rPr>
        <w:t>’</w:t>
      </w:r>
      <w:r w:rsidR="00570B62" w:rsidRPr="00961388">
        <w:rPr>
          <w:lang w:val="fr-CH"/>
        </w:rPr>
        <w:t xml:space="preserve">habitation, est astreint à la loger avec les enfants, </w:t>
      </w:r>
      <w:r w:rsidR="00961388">
        <w:rPr>
          <w:lang w:val="fr-CH"/>
        </w:rPr>
        <w:t>«</w:t>
      </w:r>
      <w:r w:rsidR="00570B62" w:rsidRPr="00961388">
        <w:rPr>
          <w:lang w:val="fr-CH"/>
        </w:rPr>
        <w:t>…il est établi un droit de maintien dans les lieux au profit de la titulaire de la garde lorsque le père, propriétaire du local d</w:t>
      </w:r>
      <w:r w:rsidR="00961388">
        <w:rPr>
          <w:lang w:val="fr-CH"/>
        </w:rPr>
        <w:t>’</w:t>
      </w:r>
      <w:r w:rsidR="00570B62" w:rsidRPr="00961388">
        <w:rPr>
          <w:lang w:val="fr-CH"/>
        </w:rPr>
        <w:t>habitation, est astreint à la loger avec l</w:t>
      </w:r>
      <w:r w:rsidR="00961388">
        <w:rPr>
          <w:lang w:val="fr-CH"/>
        </w:rPr>
        <w:t>’</w:t>
      </w:r>
      <w:r w:rsidR="00570B62" w:rsidRPr="00961388">
        <w:rPr>
          <w:lang w:val="fr-CH"/>
        </w:rPr>
        <w:t>enfant, ce droit disparaît par l</w:t>
      </w:r>
      <w:r w:rsidR="00961388">
        <w:rPr>
          <w:lang w:val="fr-CH"/>
        </w:rPr>
        <w:t>’</w:t>
      </w:r>
      <w:r w:rsidR="00570B62" w:rsidRPr="00961388">
        <w:rPr>
          <w:lang w:val="fr-CH"/>
        </w:rPr>
        <w:t>extinction de sa cause. Dans le cas ou le père est astreint à loger la titulaire de la garde avec l</w:t>
      </w:r>
      <w:r w:rsidR="00961388">
        <w:rPr>
          <w:lang w:val="fr-CH"/>
        </w:rPr>
        <w:t>’</w:t>
      </w:r>
      <w:r w:rsidR="00570B62" w:rsidRPr="00961388">
        <w:rPr>
          <w:lang w:val="fr-CH"/>
        </w:rPr>
        <w:t>enfant dans un domicile loué par lui il est tenu de continuer à payer le loyer jusqu</w:t>
      </w:r>
      <w:r w:rsidR="00961388">
        <w:rPr>
          <w:lang w:val="fr-CH"/>
        </w:rPr>
        <w:t>’</w:t>
      </w:r>
      <w:r w:rsidR="00570B62" w:rsidRPr="00961388">
        <w:rPr>
          <w:lang w:val="fr-CH"/>
        </w:rPr>
        <w:t>à extinction de la cause de son obligation…il est possible de réviser le jugement relatif à l</w:t>
      </w:r>
      <w:r w:rsidR="00961388">
        <w:rPr>
          <w:lang w:val="fr-CH"/>
        </w:rPr>
        <w:t>’</w:t>
      </w:r>
      <w:r w:rsidR="00570B62" w:rsidRPr="00961388">
        <w:rPr>
          <w:lang w:val="fr-CH"/>
        </w:rPr>
        <w:t>hébergement de la titulaire de la garde, en cas de changement de circonstances ou de situations le nécessitant, le tribunal statue sur les demandes de révision conformément aux procédures prescrites en matière de référé et doit se prononcer sur les motifs de révision en prenant en considération l</w:t>
      </w:r>
      <w:r w:rsidR="00961388">
        <w:rPr>
          <w:lang w:val="fr-CH"/>
        </w:rPr>
        <w:t>’</w:t>
      </w:r>
      <w:r w:rsidR="00570B62" w:rsidRPr="00961388">
        <w:rPr>
          <w:lang w:val="fr-CH"/>
        </w:rPr>
        <w:t>intérêt de l</w:t>
      </w:r>
      <w:r w:rsidR="00961388">
        <w:rPr>
          <w:lang w:val="fr-CH"/>
        </w:rPr>
        <w:t>’</w:t>
      </w:r>
      <w:r w:rsidR="00570B62" w:rsidRPr="00961388">
        <w:rPr>
          <w:lang w:val="fr-CH"/>
        </w:rPr>
        <w:t>enfant</w:t>
      </w:r>
      <w:r w:rsidR="00961388">
        <w:rPr>
          <w:lang w:val="fr-CH"/>
        </w:rPr>
        <w:t>»</w:t>
      </w:r>
      <w:r w:rsidR="00570B62" w:rsidRPr="00961388">
        <w:rPr>
          <w:lang w:val="fr-CH"/>
        </w:rPr>
        <w:t xml:space="preserve"> (art.</w:t>
      </w:r>
      <w:r w:rsidR="00C11D78">
        <w:rPr>
          <w:lang w:val="fr-CH"/>
        </w:rPr>
        <w:t xml:space="preserve"> </w:t>
      </w:r>
      <w:r w:rsidR="00570B62" w:rsidRPr="00961388">
        <w:rPr>
          <w:lang w:val="fr-CH"/>
        </w:rPr>
        <w:t>56).</w:t>
      </w:r>
    </w:p>
    <w:p w:rsidR="00B92269" w:rsidRDefault="00570B62" w:rsidP="00B92269">
      <w:pPr>
        <w:pStyle w:val="SingleTxtG"/>
        <w:rPr>
          <w:lang w:val="fr-CH"/>
        </w:rPr>
      </w:pPr>
      <w:r w:rsidRPr="00961388">
        <w:rPr>
          <w:lang w:val="fr-CH"/>
        </w:rPr>
        <w:t>367.</w:t>
      </w:r>
      <w:r w:rsidRPr="00961388">
        <w:rPr>
          <w:lang w:val="fr-CH"/>
        </w:rPr>
        <w:tab/>
        <w:t>Dans le souci de protéger la mère gardienne de ses enfants,</w:t>
      </w:r>
      <w:r w:rsidR="00961388">
        <w:rPr>
          <w:lang w:val="fr-CH"/>
        </w:rPr>
        <w:t xml:space="preserve"> il est à relever que la loi </w:t>
      </w:r>
      <w:r w:rsidR="00961388" w:rsidRPr="00961388">
        <w:rPr>
          <w:rFonts w:eastAsia="MS Mincho"/>
          <w:lang w:val="fr-CH"/>
        </w:rPr>
        <w:t>n</w:t>
      </w:r>
      <w:r w:rsidR="00961388" w:rsidRPr="00961388">
        <w:rPr>
          <w:rFonts w:eastAsia="MS Mincho"/>
          <w:vertAlign w:val="superscript"/>
          <w:lang w:val="fr-CH"/>
        </w:rPr>
        <w:t>o</w:t>
      </w:r>
      <w:r w:rsidR="00961388">
        <w:rPr>
          <w:lang w:val="fr-CH"/>
        </w:rPr>
        <w:t xml:space="preserve"> </w:t>
      </w:r>
      <w:r w:rsidRPr="00961388">
        <w:rPr>
          <w:lang w:val="fr-CH"/>
        </w:rPr>
        <w:t>2008-20 du 4 mars 2008, dans son article 56 (</w:t>
      </w:r>
      <w:r w:rsidRPr="00961388">
        <w:rPr>
          <w:i/>
          <w:iCs/>
          <w:lang w:val="fr-CH"/>
        </w:rPr>
        <w:t>bis</w:t>
      </w:r>
      <w:r w:rsidRPr="00961388">
        <w:rPr>
          <w:lang w:val="fr-CH"/>
        </w:rPr>
        <w:t>) réplique que «est puni d</w:t>
      </w:r>
      <w:r w:rsidR="00961388">
        <w:rPr>
          <w:lang w:val="fr-CH"/>
        </w:rPr>
        <w:t>’</w:t>
      </w:r>
      <w:r w:rsidRPr="00961388">
        <w:rPr>
          <w:lang w:val="fr-CH"/>
        </w:rPr>
        <w:t>un emprisonnement de 3 mois à un an et d</w:t>
      </w:r>
      <w:r w:rsidR="00961388">
        <w:rPr>
          <w:lang w:val="fr-CH"/>
        </w:rPr>
        <w:t>’</w:t>
      </w:r>
      <w:r w:rsidRPr="00961388">
        <w:rPr>
          <w:lang w:val="fr-CH"/>
        </w:rPr>
        <w:t>une am</w:t>
      </w:r>
      <w:r w:rsidR="004775B9">
        <w:rPr>
          <w:lang w:val="fr-CH"/>
        </w:rPr>
        <w:t>e</w:t>
      </w:r>
      <w:r w:rsidRPr="00961388">
        <w:rPr>
          <w:lang w:val="fr-CH"/>
        </w:rPr>
        <w:t>nde de cent à mille dinars, quiconque cède sciemment, à titre onéreux ou gratuit, un local d</w:t>
      </w:r>
      <w:r w:rsidR="00961388">
        <w:rPr>
          <w:lang w:val="fr-CH"/>
        </w:rPr>
        <w:t>’</w:t>
      </w:r>
      <w:r w:rsidRPr="00961388">
        <w:rPr>
          <w:lang w:val="fr-CH"/>
        </w:rPr>
        <w:t>habitation dont le père est astreint à consacrer à l</w:t>
      </w:r>
      <w:r w:rsidR="00961388">
        <w:rPr>
          <w:lang w:val="fr-CH"/>
        </w:rPr>
        <w:t>’</w:t>
      </w:r>
      <w:r w:rsidRPr="00961388">
        <w:rPr>
          <w:lang w:val="fr-CH"/>
        </w:rPr>
        <w:t>hébergement de la titulaire de la garde et son enfant, ou procède à l</w:t>
      </w:r>
      <w:r w:rsidR="00961388">
        <w:rPr>
          <w:lang w:val="fr-CH"/>
        </w:rPr>
        <w:t>’</w:t>
      </w:r>
      <w:r w:rsidRPr="00961388">
        <w:rPr>
          <w:lang w:val="fr-CH"/>
        </w:rPr>
        <w:t>hypothèque du</w:t>
      </w:r>
      <w:r w:rsidR="004775B9">
        <w:rPr>
          <w:lang w:val="fr-CH"/>
        </w:rPr>
        <w:t>dit local, sans avoir mentionné</w:t>
      </w:r>
      <w:r w:rsidRPr="00961388">
        <w:rPr>
          <w:lang w:val="fr-CH"/>
        </w:rPr>
        <w:t xml:space="preserve"> dans le titre de cession ou l</w:t>
      </w:r>
      <w:r w:rsidR="00961388">
        <w:rPr>
          <w:lang w:val="fr-CH"/>
        </w:rPr>
        <w:t>’</w:t>
      </w:r>
      <w:r w:rsidRPr="00961388">
        <w:rPr>
          <w:lang w:val="fr-CH"/>
        </w:rPr>
        <w:t>hypothèque le droit de maintien dans les lieux dont profitent la titulaire de la garde et son enfant, dans l</w:t>
      </w:r>
      <w:r w:rsidR="00961388">
        <w:rPr>
          <w:lang w:val="fr-CH"/>
        </w:rPr>
        <w:t>’</w:t>
      </w:r>
      <w:r w:rsidRPr="00961388">
        <w:rPr>
          <w:lang w:val="fr-CH"/>
        </w:rPr>
        <w:t>inte</w:t>
      </w:r>
      <w:r w:rsidR="00B92269">
        <w:rPr>
          <w:lang w:val="fr-CH"/>
        </w:rPr>
        <w:t>ntion de les priver de ce droit.</w:t>
      </w:r>
    </w:p>
    <w:p w:rsidR="00570B62" w:rsidRPr="00961388" w:rsidRDefault="00B92269" w:rsidP="00B92269">
      <w:pPr>
        <w:pStyle w:val="SingleTxtG"/>
        <w:rPr>
          <w:rtl/>
          <w:lang w:val="fr-CH"/>
        </w:rPr>
      </w:pPr>
      <w:r>
        <w:rPr>
          <w:lang w:val="fr-CH"/>
        </w:rPr>
        <w:t>368.</w:t>
      </w:r>
      <w:r>
        <w:rPr>
          <w:lang w:val="fr-CH"/>
        </w:rPr>
        <w:tab/>
      </w:r>
      <w:r w:rsidR="00570B62" w:rsidRPr="00961388">
        <w:rPr>
          <w:lang w:val="fr-CH"/>
        </w:rPr>
        <w:t>Est puni des mêmes peines prévues au paragraphe précédant le père qui aura privé la titulaire de la garde et de l</w:t>
      </w:r>
      <w:r w:rsidR="00961388">
        <w:rPr>
          <w:lang w:val="fr-CH"/>
        </w:rPr>
        <w:t>’</w:t>
      </w:r>
      <w:r w:rsidR="00570B62" w:rsidRPr="00961388">
        <w:rPr>
          <w:lang w:val="fr-CH"/>
        </w:rPr>
        <w:t>enfant d</w:t>
      </w:r>
      <w:r w:rsidR="00961388">
        <w:rPr>
          <w:lang w:val="fr-CH"/>
        </w:rPr>
        <w:t>’</w:t>
      </w:r>
      <w:r w:rsidR="00570B62" w:rsidRPr="00961388">
        <w:rPr>
          <w:lang w:val="fr-CH"/>
        </w:rPr>
        <w:t>occuper le local d</w:t>
      </w:r>
      <w:r w:rsidR="00961388">
        <w:rPr>
          <w:lang w:val="fr-CH"/>
        </w:rPr>
        <w:t>’</w:t>
      </w:r>
      <w:r w:rsidR="00570B62" w:rsidRPr="00961388">
        <w:rPr>
          <w:lang w:val="fr-CH"/>
        </w:rPr>
        <w:t>habitation que le tribunal a consenti pour leur hébergement, et ce, soit en procédant à la résiliation du contrat de location en collusion avec le bailleur, soit en refusant de payer les loyers échus, ou, lorsque le père est condamné à payer une pension de logement, sera volontairement demeuré un mois sans s</w:t>
      </w:r>
      <w:r w:rsidR="00961388">
        <w:rPr>
          <w:lang w:val="fr-CH"/>
        </w:rPr>
        <w:t>’</w:t>
      </w:r>
      <w:r w:rsidR="00570B62" w:rsidRPr="00961388">
        <w:rPr>
          <w:lang w:val="fr-CH"/>
        </w:rPr>
        <w:t>acquitter de ce qui a été prononce à son encontre.</w:t>
      </w:r>
      <w:r w:rsidR="00961388">
        <w:rPr>
          <w:lang w:val="fr-CH"/>
        </w:rPr>
        <w:t>»</w:t>
      </w:r>
      <w:r w:rsidR="004775B9">
        <w:rPr>
          <w:lang w:val="fr-CH"/>
        </w:rPr>
        <w:t>.</w:t>
      </w:r>
    </w:p>
    <w:p w:rsidR="00570B62" w:rsidRPr="00961388" w:rsidRDefault="00570B62" w:rsidP="00C11D78">
      <w:pPr>
        <w:pStyle w:val="H1G"/>
        <w:rPr>
          <w:lang w:val="fr-CH"/>
        </w:rPr>
      </w:pPr>
      <w:r w:rsidRPr="00961388">
        <w:rPr>
          <w:lang w:val="fr-CH"/>
        </w:rPr>
        <w:tab/>
      </w:r>
      <w:r w:rsidRPr="00961388">
        <w:rPr>
          <w:lang w:val="fr-CH"/>
        </w:rPr>
        <w:tab/>
        <w:t>Modification du paragraphe 1 de l</w:t>
      </w:r>
      <w:r w:rsidR="00961388">
        <w:rPr>
          <w:lang w:val="fr-CH"/>
        </w:rPr>
        <w:t>’</w:t>
      </w:r>
      <w:r w:rsidRPr="00961388">
        <w:rPr>
          <w:lang w:val="fr-CH"/>
        </w:rPr>
        <w:t>article 20</w:t>
      </w:r>
    </w:p>
    <w:p w:rsidR="00570B62" w:rsidRPr="00961388" w:rsidRDefault="00C11D78" w:rsidP="00C11D78">
      <w:pPr>
        <w:pStyle w:val="H23G"/>
        <w:rPr>
          <w:lang w:val="fr-CH"/>
        </w:rPr>
      </w:pPr>
      <w:r>
        <w:rPr>
          <w:lang w:val="fr-CH"/>
        </w:rPr>
        <w:tab/>
      </w:r>
      <w:r>
        <w:rPr>
          <w:lang w:val="fr-CH"/>
        </w:rPr>
        <w:tab/>
      </w:r>
      <w:r w:rsidR="00570B62" w:rsidRPr="00961388">
        <w:rPr>
          <w:lang w:val="fr-CH"/>
        </w:rPr>
        <w:t>Réponse au paragraphe 32 de la liste de points à traiter</w:t>
      </w:r>
    </w:p>
    <w:p w:rsidR="00E225DF" w:rsidRDefault="00570B62" w:rsidP="000316AC">
      <w:pPr>
        <w:pStyle w:val="SingleTxtG"/>
        <w:keepNext/>
        <w:keepLines/>
        <w:rPr>
          <w:lang w:val="fr-CH"/>
        </w:rPr>
      </w:pPr>
      <w:r w:rsidRPr="00961388">
        <w:rPr>
          <w:lang w:val="fr-CH"/>
        </w:rPr>
        <w:t>369.</w:t>
      </w:r>
      <w:r w:rsidRPr="00961388">
        <w:rPr>
          <w:lang w:val="fr-CH"/>
        </w:rPr>
        <w:tab/>
        <w:t xml:space="preserve">La Tunisie est convaincue de la pertinence de la </w:t>
      </w:r>
      <w:r w:rsidR="00C11D78">
        <w:rPr>
          <w:lang w:val="fr-CH"/>
        </w:rPr>
        <w:t xml:space="preserve">recommandation générale </w:t>
      </w:r>
      <w:r w:rsidR="00C11D78" w:rsidRPr="00C11D78">
        <w:rPr>
          <w:rFonts w:eastAsia="MS Mincho"/>
          <w:lang w:val="fr-CH"/>
        </w:rPr>
        <w:t>n</w:t>
      </w:r>
      <w:r w:rsidR="00C11D78" w:rsidRPr="00C11D78">
        <w:rPr>
          <w:rFonts w:eastAsia="MS Mincho"/>
          <w:vertAlign w:val="superscript"/>
          <w:lang w:val="fr-CH"/>
        </w:rPr>
        <w:t>o</w:t>
      </w:r>
      <w:r w:rsidRPr="00961388">
        <w:rPr>
          <w:lang w:val="fr-CH"/>
        </w:rPr>
        <w:t xml:space="preserve"> 22 adoptée par le Comité lors de sa quatorzième session et portant sur la modification du paragraphe 1 de l</w:t>
      </w:r>
      <w:r w:rsidR="00961388">
        <w:rPr>
          <w:lang w:val="fr-CH"/>
        </w:rPr>
        <w:t>’</w:t>
      </w:r>
      <w:r w:rsidRPr="00961388">
        <w:rPr>
          <w:lang w:val="fr-CH"/>
        </w:rPr>
        <w:t>article 20 de la Convention, relative à la durée des réunions du Comité, et qui répond à une exigence imposée par la cadence du travail que générée par l</w:t>
      </w:r>
      <w:r w:rsidR="00961388">
        <w:rPr>
          <w:lang w:val="fr-CH"/>
        </w:rPr>
        <w:t>’</w:t>
      </w:r>
      <w:r w:rsidRPr="00961388">
        <w:rPr>
          <w:lang w:val="fr-CH"/>
        </w:rPr>
        <w:t>examen des rapports présentés au Comité par un nombre de plus en plus grandissant de pays adhérents à la Convention, ainsi que par le souci du Comité d</w:t>
      </w:r>
      <w:r w:rsidR="00961388">
        <w:rPr>
          <w:lang w:val="fr-CH"/>
        </w:rPr>
        <w:t>’</w:t>
      </w:r>
      <w:r w:rsidRPr="00961388">
        <w:rPr>
          <w:lang w:val="fr-CH"/>
        </w:rPr>
        <w:t>éviter qu</w:t>
      </w:r>
      <w:r w:rsidR="00961388">
        <w:rPr>
          <w:lang w:val="fr-CH"/>
        </w:rPr>
        <w:t>’</w:t>
      </w:r>
      <w:r w:rsidRPr="00961388">
        <w:rPr>
          <w:lang w:val="fr-CH"/>
        </w:rPr>
        <w:t>il ne s</w:t>
      </w:r>
      <w:r w:rsidR="00961388">
        <w:rPr>
          <w:lang w:val="fr-CH"/>
        </w:rPr>
        <w:t>’</w:t>
      </w:r>
      <w:r w:rsidRPr="00961388">
        <w:rPr>
          <w:lang w:val="fr-CH"/>
        </w:rPr>
        <w:t>accumule un arriéré trop important de rapports des États parties en attente d</w:t>
      </w:r>
      <w:r w:rsidR="00961388">
        <w:rPr>
          <w:lang w:val="fr-CH"/>
        </w:rPr>
        <w:t>’</w:t>
      </w:r>
      <w:r w:rsidRPr="00961388">
        <w:rPr>
          <w:lang w:val="fr-CH"/>
        </w:rPr>
        <w:t>examen. De ce fait, la Tunisie n</w:t>
      </w:r>
      <w:r w:rsidR="00961388">
        <w:rPr>
          <w:lang w:val="fr-CH"/>
        </w:rPr>
        <w:t>’</w:t>
      </w:r>
      <w:r w:rsidRPr="00961388">
        <w:rPr>
          <w:lang w:val="fr-CH"/>
        </w:rPr>
        <w:t>a pas d</w:t>
      </w:r>
      <w:r w:rsidR="00961388">
        <w:rPr>
          <w:lang w:val="fr-CH"/>
        </w:rPr>
        <w:t>’</w:t>
      </w:r>
      <w:r w:rsidRPr="00961388">
        <w:rPr>
          <w:lang w:val="fr-CH"/>
        </w:rPr>
        <w:t>objection d</w:t>
      </w:r>
      <w:r w:rsidR="00961388">
        <w:rPr>
          <w:lang w:val="fr-CH"/>
        </w:rPr>
        <w:t>’</w:t>
      </w:r>
      <w:r w:rsidRPr="00961388">
        <w:rPr>
          <w:lang w:val="fr-CH"/>
        </w:rPr>
        <w:t>envisager sous un jour favorable la modification de l</w:t>
      </w:r>
      <w:r w:rsidR="00961388">
        <w:rPr>
          <w:lang w:val="fr-CH"/>
        </w:rPr>
        <w:t>’</w:t>
      </w:r>
      <w:r w:rsidRPr="00961388">
        <w:rPr>
          <w:lang w:val="fr-CH"/>
        </w:rPr>
        <w:t>article 20 de la Convention en ce qui concerne la durée des réunions du Comité, afin qu</w:t>
      </w:r>
      <w:r w:rsidR="00961388">
        <w:rPr>
          <w:lang w:val="fr-CH"/>
        </w:rPr>
        <w:t>’</w:t>
      </w:r>
      <w:r w:rsidRPr="00961388">
        <w:rPr>
          <w:lang w:val="fr-CH"/>
        </w:rPr>
        <w:t>il puisse se réunir tous les ans pendant la durée nécessaire pour s</w:t>
      </w:r>
      <w:r w:rsidR="00961388">
        <w:rPr>
          <w:lang w:val="fr-CH"/>
        </w:rPr>
        <w:t>’</w:t>
      </w:r>
      <w:r w:rsidRPr="00961388">
        <w:rPr>
          <w:lang w:val="fr-CH"/>
        </w:rPr>
        <w:t>acquitter efficacement des fonctions qui lui sont imparties par la Convention, sans restrictions expresses autres que celles dont déciderait l</w:t>
      </w:r>
      <w:r w:rsidR="00961388">
        <w:rPr>
          <w:lang w:val="fr-CH"/>
        </w:rPr>
        <w:t>’</w:t>
      </w:r>
      <w:r w:rsidRPr="00961388">
        <w:rPr>
          <w:lang w:val="fr-CH"/>
        </w:rPr>
        <w:t>Assemblée générale.</w:t>
      </w:r>
    </w:p>
    <w:p w:rsidR="00C11D78" w:rsidRPr="00C11D78" w:rsidRDefault="00C11D78" w:rsidP="00C11D78">
      <w:pPr>
        <w:pStyle w:val="SingleTxtG"/>
        <w:spacing w:before="240" w:after="0"/>
        <w:jc w:val="center"/>
        <w:rPr>
          <w:u w:val="single"/>
          <w:lang w:val="fr-CH"/>
        </w:rPr>
      </w:pPr>
      <w:r>
        <w:rPr>
          <w:u w:val="single"/>
          <w:lang w:val="fr-CH"/>
        </w:rPr>
        <w:tab/>
      </w:r>
      <w:r>
        <w:rPr>
          <w:u w:val="single"/>
          <w:lang w:val="fr-CH"/>
        </w:rPr>
        <w:tab/>
      </w:r>
      <w:r>
        <w:rPr>
          <w:u w:val="single"/>
          <w:lang w:val="fr-CH"/>
        </w:rPr>
        <w:tab/>
      </w:r>
    </w:p>
    <w:sectPr w:rsidR="00C11D78" w:rsidRPr="00C11D78" w:rsidSect="009315E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C94" w:rsidRDefault="002F3C94"/>
  </w:endnote>
  <w:endnote w:type="continuationSeparator" w:id="0">
    <w:p w:rsidR="002F3C94" w:rsidRDefault="002F3C94"/>
  </w:endnote>
  <w:endnote w:type="continuationNotice" w:id="1">
    <w:p w:rsidR="002F3C94" w:rsidRDefault="002F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1A" w:rsidRPr="00570B62" w:rsidRDefault="0080321A" w:rsidP="00570B62">
    <w:pPr>
      <w:pStyle w:val="Footer"/>
      <w:tabs>
        <w:tab w:val="right" w:pos="9638"/>
      </w:tabs>
    </w:pPr>
    <w:r w:rsidRPr="00570B62">
      <w:rPr>
        <w:b/>
        <w:sz w:val="18"/>
      </w:rPr>
      <w:fldChar w:fldCharType="begin"/>
    </w:r>
    <w:r w:rsidRPr="00570B62">
      <w:rPr>
        <w:b/>
        <w:sz w:val="18"/>
      </w:rPr>
      <w:instrText xml:space="preserve"> PAGE  \* MERGEFORMAT </w:instrText>
    </w:r>
    <w:r w:rsidRPr="00570B62">
      <w:rPr>
        <w:b/>
        <w:sz w:val="18"/>
      </w:rPr>
      <w:fldChar w:fldCharType="separate"/>
    </w:r>
    <w:r w:rsidR="001C0F49">
      <w:rPr>
        <w:b/>
        <w:noProof/>
        <w:sz w:val="18"/>
      </w:rPr>
      <w:t>56</w:t>
    </w:r>
    <w:r w:rsidRPr="00570B62">
      <w:rPr>
        <w:b/>
        <w:sz w:val="18"/>
      </w:rPr>
      <w:fldChar w:fldCharType="end"/>
    </w:r>
    <w:r>
      <w:rPr>
        <w:b/>
        <w:sz w:val="18"/>
      </w:rPr>
      <w:tab/>
    </w:r>
    <w:r>
      <w:t>GE.10-44579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1A" w:rsidRPr="00570B62" w:rsidRDefault="0080321A" w:rsidP="00570B62">
    <w:pPr>
      <w:pStyle w:val="Footer"/>
      <w:tabs>
        <w:tab w:val="right" w:pos="9638"/>
      </w:tabs>
      <w:rPr>
        <w:b/>
        <w:sz w:val="18"/>
      </w:rPr>
    </w:pPr>
    <w:r>
      <w:t>GE.10-44579</w:t>
    </w:r>
    <w:r>
      <w:tab/>
    </w:r>
    <w:r w:rsidRPr="00570B62">
      <w:rPr>
        <w:b/>
        <w:sz w:val="18"/>
      </w:rPr>
      <w:fldChar w:fldCharType="begin"/>
    </w:r>
    <w:r w:rsidRPr="00570B62">
      <w:rPr>
        <w:b/>
        <w:sz w:val="18"/>
      </w:rPr>
      <w:instrText xml:space="preserve"> PAGE  \* MERGEFORMAT </w:instrText>
    </w:r>
    <w:r w:rsidRPr="00570B62">
      <w:rPr>
        <w:b/>
        <w:sz w:val="18"/>
      </w:rPr>
      <w:fldChar w:fldCharType="separate"/>
    </w:r>
    <w:r w:rsidR="001C0F49">
      <w:rPr>
        <w:b/>
        <w:noProof/>
        <w:sz w:val="18"/>
      </w:rPr>
      <w:t>55</w:t>
    </w:r>
    <w:r w:rsidRPr="00570B6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1A" w:rsidRPr="00570B62" w:rsidRDefault="0080321A">
    <w:pPr>
      <w:pStyle w:val="Footer"/>
      <w:rPr>
        <w:sz w:val="20"/>
        <w:lang w:val="fr-CH"/>
      </w:rPr>
    </w:pPr>
    <w:r>
      <w:rPr>
        <w:sz w:val="20"/>
        <w:lang w:val="fr-CH"/>
      </w:rPr>
      <w:t>GE.</w:t>
    </w:r>
    <w:r w:rsidRPr="00A50BD5">
      <w:rPr>
        <w:lang w:val="fr-CH"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5.4pt;margin-top:-8.05pt;width:86.95pt;height:18.35pt;z-index:1;mso-position-horizontal-relative:text;mso-position-vertical-relative:text">
          <v:imagedata r:id="rId1" o:title="recycle_French"/>
        </v:shape>
      </w:pict>
    </w:r>
    <w:r>
      <w:rPr>
        <w:sz w:val="20"/>
        <w:lang w:val="fr-CH"/>
      </w:rPr>
      <w:t>10</w:t>
    </w:r>
    <w:r w:rsidR="00B222AF">
      <w:rPr>
        <w:sz w:val="20"/>
        <w:lang w:val="fr-CH"/>
      </w:rPr>
      <w:t>-</w:t>
    </w:r>
    <w:r>
      <w:rPr>
        <w:sz w:val="20"/>
        <w:lang w:val="fr-CH"/>
      </w:rPr>
      <w:t xml:space="preserve">44579 </w:t>
    </w:r>
    <w:r w:rsidR="00B222AF">
      <w:rPr>
        <w:sz w:val="20"/>
        <w:lang w:val="fr-CH"/>
      </w:rPr>
      <w:t xml:space="preserve"> </w:t>
    </w:r>
    <w:r>
      <w:rPr>
        <w:sz w:val="20"/>
        <w:lang w:val="fr-CH"/>
      </w:rPr>
      <w:t>(F)</w:t>
    </w:r>
    <w:r w:rsidR="00B222AF">
      <w:rPr>
        <w:sz w:val="20"/>
        <w:lang w:val="fr-CH"/>
      </w:rPr>
      <w:t xml:space="preserve">  </w:t>
    </w:r>
    <w:r>
      <w:rPr>
        <w:sz w:val="20"/>
        <w:lang w:val="fr-CH"/>
      </w:rPr>
      <w:t xml:space="preserve">  270810    </w:t>
    </w:r>
    <w:r w:rsidR="00B222AF">
      <w:rPr>
        <w:sz w:val="20"/>
        <w:lang w:val="fr-CH"/>
      </w:rPr>
      <w:t>030910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C94" w:rsidRPr="000B175B" w:rsidRDefault="002F3C94" w:rsidP="000B175B">
      <w:pPr>
        <w:tabs>
          <w:tab w:val="right" w:pos="2155"/>
        </w:tabs>
        <w:spacing w:after="80"/>
        <w:ind w:left="680"/>
        <w:rPr>
          <w:u w:val="single"/>
        </w:rPr>
      </w:pPr>
      <w:r>
        <w:rPr>
          <w:u w:val="single"/>
        </w:rPr>
        <w:tab/>
      </w:r>
    </w:p>
  </w:footnote>
  <w:footnote w:type="continuationSeparator" w:id="0">
    <w:p w:rsidR="002F3C94" w:rsidRPr="00FC68B7" w:rsidRDefault="002F3C94" w:rsidP="00FC68B7">
      <w:pPr>
        <w:tabs>
          <w:tab w:val="left" w:pos="2155"/>
        </w:tabs>
        <w:spacing w:after="80"/>
        <w:ind w:left="680"/>
        <w:rPr>
          <w:u w:val="single"/>
        </w:rPr>
      </w:pPr>
      <w:r>
        <w:rPr>
          <w:u w:val="single"/>
        </w:rPr>
        <w:tab/>
      </w:r>
    </w:p>
  </w:footnote>
  <w:footnote w:type="continuationNotice" w:id="1">
    <w:p w:rsidR="002F3C94" w:rsidRDefault="002F3C94"/>
  </w:footnote>
  <w:footnote w:id="2">
    <w:p w:rsidR="0080321A" w:rsidRPr="00961388" w:rsidRDefault="0080321A">
      <w:pPr>
        <w:pStyle w:val="FootnoteText"/>
        <w:rPr>
          <w:lang w:val="fr-CH"/>
        </w:rPr>
      </w:pPr>
      <w:r w:rsidRPr="00961388">
        <w:rPr>
          <w:lang w:val="fr-CH"/>
        </w:rPr>
        <w:tab/>
      </w:r>
      <w:r w:rsidRPr="00961388">
        <w:rPr>
          <w:rStyle w:val="FootnoteReference"/>
          <w:sz w:val="20"/>
          <w:vertAlign w:val="baseline"/>
          <w:lang w:val="fr-CH"/>
        </w:rPr>
        <w:t>*</w:t>
      </w:r>
      <w:r w:rsidRPr="00961388">
        <w:rPr>
          <w:sz w:val="20"/>
          <w:lang w:val="fr-CH"/>
        </w:rPr>
        <w:tab/>
      </w:r>
      <w:r w:rsidRPr="00961388">
        <w:rPr>
          <w:lang w:val="fr-CH"/>
        </w:rPr>
        <w:t>Soumission tardive.</w:t>
      </w:r>
    </w:p>
  </w:footnote>
  <w:footnote w:id="3">
    <w:p w:rsidR="0080321A" w:rsidRPr="00961388" w:rsidRDefault="0080321A">
      <w:pPr>
        <w:pStyle w:val="FootnoteText"/>
        <w:rPr>
          <w:lang w:val="fr-CH"/>
        </w:rPr>
      </w:pPr>
      <w:r w:rsidRPr="00961388">
        <w:rPr>
          <w:lang w:val="fr-CH"/>
        </w:rPr>
        <w:tab/>
      </w:r>
      <w:r w:rsidRPr="00961388">
        <w:rPr>
          <w:rStyle w:val="FootnoteReference"/>
          <w:sz w:val="20"/>
          <w:vertAlign w:val="baseline"/>
          <w:lang w:val="fr-CH"/>
        </w:rPr>
        <w:t>**</w:t>
      </w:r>
      <w:r w:rsidRPr="00961388">
        <w:rPr>
          <w:sz w:val="20"/>
          <w:lang w:val="fr-CH"/>
        </w:rPr>
        <w:tab/>
      </w:r>
      <w:r w:rsidRPr="00961388">
        <w:rPr>
          <w:lang w:val="fr-CH"/>
        </w:rPr>
        <w:t>Conformément aux informations communiquées aux États parties concernant le traitement de leurs rapports, le présent document n</w:t>
      </w:r>
      <w:r>
        <w:rPr>
          <w:lang w:val="fr-CH"/>
        </w:rPr>
        <w:t>’</w:t>
      </w:r>
      <w:r w:rsidRPr="00961388">
        <w:rPr>
          <w:lang w:val="fr-CH"/>
        </w:rPr>
        <w:t>a pas été revu par les services d</w:t>
      </w:r>
      <w:r>
        <w:rPr>
          <w:lang w:val="fr-CH"/>
        </w:rPr>
        <w:t>’</w:t>
      </w:r>
      <w:r w:rsidRPr="00961388">
        <w:rPr>
          <w:lang w:val="fr-CH"/>
        </w:rPr>
        <w:t>édition avant d</w:t>
      </w:r>
      <w:r>
        <w:rPr>
          <w:lang w:val="fr-CH"/>
        </w:rPr>
        <w:t>’</w:t>
      </w:r>
      <w:r w:rsidRPr="00961388">
        <w:rPr>
          <w:lang w:val="fr-CH"/>
        </w:rPr>
        <w:t>être envoyé aux services de traduction de l</w:t>
      </w:r>
      <w:r>
        <w:rPr>
          <w:lang w:val="fr-CH"/>
        </w:rPr>
        <w:t>’</w:t>
      </w:r>
      <w:r w:rsidRPr="00961388">
        <w:rPr>
          <w:lang w:val="fr-CH"/>
        </w:rPr>
        <w:t>Organisation des Nations Unies.</w:t>
      </w:r>
    </w:p>
  </w:footnote>
  <w:footnote w:id="4">
    <w:p w:rsidR="0080321A" w:rsidRPr="00593CC2" w:rsidRDefault="0080321A">
      <w:pPr>
        <w:pStyle w:val="FootnoteText"/>
        <w:rPr>
          <w:lang w:val="fr-CH"/>
        </w:rPr>
      </w:pPr>
      <w:r>
        <w:tab/>
      </w:r>
      <w:r w:rsidRPr="00593CC2">
        <w:rPr>
          <w:rStyle w:val="FootnoteReference"/>
          <w:sz w:val="20"/>
          <w:vertAlign w:val="baseline"/>
        </w:rPr>
        <w:t>*</w:t>
      </w:r>
      <w:r>
        <w:rPr>
          <w:sz w:val="20"/>
        </w:rPr>
        <w:tab/>
      </w:r>
      <w:r w:rsidRPr="00961388">
        <w:rPr>
          <w:lang w:val="fr-CH"/>
        </w:rPr>
        <w:t>Pour l</w:t>
      </w:r>
      <w:r>
        <w:rPr>
          <w:lang w:val="fr-CH"/>
        </w:rPr>
        <w:t>’</w:t>
      </w:r>
      <w:r w:rsidRPr="00961388">
        <w:rPr>
          <w:lang w:val="fr-CH"/>
        </w:rPr>
        <w:t>énoncé des paragraphes se reporter à la liste (CEDAW/C/TUN/Q/6).</w:t>
      </w:r>
    </w:p>
  </w:footnote>
  <w:footnote w:id="5">
    <w:p w:rsidR="0080321A" w:rsidRPr="00593CC2" w:rsidRDefault="0080321A">
      <w:pPr>
        <w:pStyle w:val="FootnoteText"/>
        <w:rPr>
          <w:lang w:val="fr-CH"/>
        </w:rPr>
      </w:pPr>
      <w:r>
        <w:tab/>
      </w:r>
      <w:r>
        <w:rPr>
          <w:rStyle w:val="FootnoteReference"/>
        </w:rPr>
        <w:footnoteRef/>
      </w:r>
      <w:r>
        <w:tab/>
      </w:r>
      <w:r w:rsidRPr="00961388">
        <w:rPr>
          <w:i/>
          <w:iCs/>
          <w:lang w:val="fr-CH"/>
        </w:rPr>
        <w:t>Ces rapports sont annexés au rapport officiel de la Tunisie.</w:t>
      </w:r>
    </w:p>
  </w:footnote>
  <w:footnote w:id="6">
    <w:p w:rsidR="0080321A" w:rsidRPr="00260BCB" w:rsidRDefault="0080321A">
      <w:pPr>
        <w:pStyle w:val="FootnoteText"/>
        <w:rPr>
          <w:lang w:val="fr-CH"/>
        </w:rPr>
      </w:pPr>
      <w:r>
        <w:tab/>
      </w:r>
      <w:r>
        <w:rPr>
          <w:rStyle w:val="FootnoteReference"/>
        </w:rPr>
        <w:footnoteRef/>
      </w:r>
      <w:r>
        <w:tab/>
      </w:r>
      <w:r w:rsidRPr="00961388">
        <w:rPr>
          <w:i/>
          <w:iCs/>
          <w:lang w:val="fr-CH"/>
        </w:rPr>
        <w:t>La Tunisie a adopté la Convention des Nations Unies contre la criminalité transna</w:t>
      </w:r>
      <w:r>
        <w:rPr>
          <w:i/>
          <w:iCs/>
          <w:lang w:val="fr-CH"/>
        </w:rPr>
        <w:t xml:space="preserve">tionale organisée par la loi </w:t>
      </w:r>
      <w:r w:rsidRPr="00961388">
        <w:rPr>
          <w:rFonts w:eastAsia="MS Mincho"/>
          <w:i/>
          <w:iCs/>
          <w:lang w:val="fr-CH"/>
        </w:rPr>
        <w:t>n</w:t>
      </w:r>
      <w:r w:rsidRPr="00961388">
        <w:rPr>
          <w:rFonts w:eastAsia="MS Mincho"/>
          <w:i/>
          <w:iCs/>
          <w:vertAlign w:val="superscript"/>
          <w:lang w:val="fr-CH"/>
        </w:rPr>
        <w:t>o</w:t>
      </w:r>
      <w:r>
        <w:rPr>
          <w:i/>
          <w:iCs/>
          <w:lang w:val="fr-CH"/>
        </w:rPr>
        <w:t xml:space="preserve"> </w:t>
      </w:r>
      <w:r w:rsidRPr="00961388">
        <w:rPr>
          <w:i/>
          <w:iCs/>
          <w:lang w:val="fr-CH"/>
        </w:rPr>
        <w:t>2002-63 du 23 juillet 2002, elle l</w:t>
      </w:r>
      <w:r>
        <w:rPr>
          <w:i/>
          <w:iCs/>
          <w:lang w:val="fr-CH"/>
        </w:rPr>
        <w:t>’</w:t>
      </w:r>
      <w:r w:rsidRPr="00961388">
        <w:rPr>
          <w:i/>
          <w:iCs/>
          <w:lang w:val="fr-CH"/>
        </w:rPr>
        <w:t>a ratifiée</w:t>
      </w:r>
      <w:r>
        <w:rPr>
          <w:i/>
          <w:iCs/>
          <w:lang w:val="fr-CH"/>
        </w:rPr>
        <w:t xml:space="preserve"> par le décret </w:t>
      </w:r>
      <w:r w:rsidRPr="00961388">
        <w:rPr>
          <w:rFonts w:eastAsia="MS Mincho"/>
          <w:i/>
          <w:iCs/>
          <w:lang w:val="fr-CH"/>
        </w:rPr>
        <w:t>n</w:t>
      </w:r>
      <w:r w:rsidRPr="00961388">
        <w:rPr>
          <w:rFonts w:eastAsia="MS Mincho"/>
          <w:i/>
          <w:iCs/>
          <w:vertAlign w:val="superscript"/>
          <w:lang w:val="fr-CH"/>
        </w:rPr>
        <w:t>o</w:t>
      </w:r>
      <w:r>
        <w:rPr>
          <w:i/>
          <w:iCs/>
          <w:lang w:val="fr-CH"/>
        </w:rPr>
        <w:t xml:space="preserve"> </w:t>
      </w:r>
      <w:r w:rsidRPr="00961388">
        <w:rPr>
          <w:i/>
          <w:iCs/>
          <w:lang w:val="fr-CH"/>
        </w:rPr>
        <w:t>2002-2101 du 23 septembre 2002 et l</w:t>
      </w:r>
      <w:r>
        <w:rPr>
          <w:i/>
          <w:iCs/>
          <w:lang w:val="fr-CH"/>
        </w:rPr>
        <w:t>’</w:t>
      </w:r>
      <w:r w:rsidRPr="00961388">
        <w:rPr>
          <w:i/>
          <w:iCs/>
          <w:lang w:val="fr-CH"/>
        </w:rPr>
        <w:t>a publiée</w:t>
      </w:r>
      <w:r>
        <w:rPr>
          <w:i/>
          <w:iCs/>
          <w:lang w:val="fr-CH"/>
        </w:rPr>
        <w:t xml:space="preserve"> par le décret </w:t>
      </w:r>
      <w:r w:rsidRPr="00961388">
        <w:rPr>
          <w:rFonts w:eastAsia="MS Mincho"/>
          <w:i/>
          <w:iCs/>
          <w:lang w:val="fr-CH"/>
        </w:rPr>
        <w:t>n</w:t>
      </w:r>
      <w:r w:rsidRPr="00961388">
        <w:rPr>
          <w:rFonts w:eastAsia="MS Mincho"/>
          <w:i/>
          <w:iCs/>
          <w:vertAlign w:val="superscript"/>
          <w:lang w:val="fr-CH"/>
        </w:rPr>
        <w:t>o</w:t>
      </w:r>
      <w:r>
        <w:rPr>
          <w:i/>
          <w:iCs/>
          <w:lang w:val="fr-CH"/>
        </w:rPr>
        <w:t xml:space="preserve"> </w:t>
      </w:r>
      <w:r w:rsidRPr="00961388">
        <w:rPr>
          <w:i/>
          <w:iCs/>
          <w:lang w:val="fr-CH"/>
        </w:rPr>
        <w:t>2004-1398 du 22 juin 2004.</w:t>
      </w:r>
    </w:p>
  </w:footnote>
  <w:footnote w:id="7">
    <w:p w:rsidR="0080321A" w:rsidRPr="00260BCB" w:rsidRDefault="0080321A">
      <w:pPr>
        <w:pStyle w:val="FootnoteText"/>
        <w:rPr>
          <w:lang w:val="fr-CH"/>
        </w:rPr>
      </w:pPr>
      <w:r>
        <w:tab/>
      </w:r>
      <w:r>
        <w:rPr>
          <w:rStyle w:val="FootnoteReference"/>
        </w:rPr>
        <w:footnoteRef/>
      </w:r>
      <w:r>
        <w:tab/>
      </w:r>
      <w:r w:rsidRPr="00961388">
        <w:rPr>
          <w:i/>
          <w:iCs/>
          <w:lang w:val="fr-CH"/>
        </w:rPr>
        <w:t xml:space="preserve">La Tunisie a adopté le Protocole additionnel à la CCTO visant à prévenir, réprimer et punir la traite des personnes, en particulier </w:t>
      </w:r>
      <w:r w:rsidRPr="00260BCB">
        <w:rPr>
          <w:rFonts w:cs="Simplified Arabic"/>
          <w:i/>
          <w:iCs/>
        </w:rPr>
        <w:t>des</w:t>
      </w:r>
      <w:r w:rsidRPr="00260BCB">
        <w:rPr>
          <w:rFonts w:cs="Simplified Arabic"/>
          <w:i/>
          <w:iCs/>
          <w:lang w:val="fr-CH"/>
        </w:rPr>
        <w:t xml:space="preserve"> </w:t>
      </w:r>
      <w:r w:rsidRPr="00961388">
        <w:rPr>
          <w:i/>
          <w:iCs/>
          <w:lang w:val="fr-CH"/>
        </w:rPr>
        <w:t>femme</w:t>
      </w:r>
      <w:r>
        <w:rPr>
          <w:i/>
          <w:iCs/>
          <w:lang w:val="fr-CH"/>
        </w:rPr>
        <w:t xml:space="preserve">s et des enfants, par la loi </w:t>
      </w:r>
      <w:r w:rsidRPr="00961388">
        <w:rPr>
          <w:rFonts w:eastAsia="MS Mincho"/>
          <w:i/>
          <w:iCs/>
          <w:lang w:val="fr-CH"/>
        </w:rPr>
        <w:t>n</w:t>
      </w:r>
      <w:r w:rsidRPr="00961388">
        <w:rPr>
          <w:rFonts w:eastAsia="MS Mincho"/>
          <w:i/>
          <w:iCs/>
          <w:vertAlign w:val="superscript"/>
          <w:lang w:val="fr-CH"/>
        </w:rPr>
        <w:t>o</w:t>
      </w:r>
      <w:r>
        <w:rPr>
          <w:i/>
          <w:iCs/>
          <w:lang w:val="fr-CH"/>
        </w:rPr>
        <w:t xml:space="preserve"> </w:t>
      </w:r>
      <w:r w:rsidRPr="00961388">
        <w:rPr>
          <w:i/>
          <w:iCs/>
          <w:lang w:val="fr-CH"/>
        </w:rPr>
        <w:t>2003-5 du 21 janvier 2003, elle l</w:t>
      </w:r>
      <w:r>
        <w:rPr>
          <w:i/>
          <w:iCs/>
          <w:lang w:val="fr-CH"/>
        </w:rPr>
        <w:t xml:space="preserve">’a ratifié par le décret </w:t>
      </w:r>
      <w:r w:rsidRPr="00961388">
        <w:rPr>
          <w:rFonts w:eastAsia="MS Mincho"/>
          <w:i/>
          <w:iCs/>
          <w:lang w:val="fr-CH"/>
        </w:rPr>
        <w:t>n</w:t>
      </w:r>
      <w:r w:rsidRPr="00961388">
        <w:rPr>
          <w:rFonts w:eastAsia="MS Mincho"/>
          <w:i/>
          <w:iCs/>
          <w:vertAlign w:val="superscript"/>
          <w:lang w:val="fr-CH"/>
        </w:rPr>
        <w:t>o</w:t>
      </w:r>
      <w:r>
        <w:rPr>
          <w:i/>
          <w:iCs/>
          <w:lang w:val="fr-CH"/>
        </w:rPr>
        <w:t xml:space="preserve"> </w:t>
      </w:r>
      <w:r w:rsidRPr="00961388">
        <w:rPr>
          <w:i/>
          <w:iCs/>
          <w:lang w:val="fr-CH"/>
        </w:rPr>
        <w:t>2003-698 du 25 mars 2003, et l</w:t>
      </w:r>
      <w:r>
        <w:rPr>
          <w:i/>
          <w:iCs/>
          <w:lang w:val="fr-CH"/>
        </w:rPr>
        <w:t xml:space="preserve">’a publié par le décret </w:t>
      </w:r>
      <w:r w:rsidRPr="00961388">
        <w:rPr>
          <w:rFonts w:eastAsia="MS Mincho"/>
          <w:i/>
          <w:iCs/>
          <w:lang w:val="fr-CH"/>
        </w:rPr>
        <w:t>n</w:t>
      </w:r>
      <w:r w:rsidRPr="00961388">
        <w:rPr>
          <w:rFonts w:eastAsia="MS Mincho"/>
          <w:i/>
          <w:iCs/>
          <w:vertAlign w:val="superscript"/>
          <w:lang w:val="fr-CH"/>
        </w:rPr>
        <w:t>o</w:t>
      </w:r>
      <w:r>
        <w:rPr>
          <w:i/>
          <w:iCs/>
          <w:lang w:val="fr-CH"/>
        </w:rPr>
        <w:t xml:space="preserve"> 2004-1399 du 22 </w:t>
      </w:r>
      <w:r w:rsidRPr="00961388">
        <w:rPr>
          <w:i/>
          <w:iCs/>
          <w:lang w:val="fr-CH"/>
        </w:rPr>
        <w:t>juin 2004.</w:t>
      </w:r>
    </w:p>
  </w:footnote>
  <w:footnote w:id="8">
    <w:p w:rsidR="0080321A" w:rsidRPr="00260BCB" w:rsidRDefault="0080321A">
      <w:pPr>
        <w:pStyle w:val="FootnoteText"/>
        <w:rPr>
          <w:lang w:val="fr-CH"/>
        </w:rPr>
      </w:pPr>
      <w:r>
        <w:tab/>
      </w:r>
      <w:r>
        <w:rPr>
          <w:rStyle w:val="FootnoteReference"/>
        </w:rPr>
        <w:footnoteRef/>
      </w:r>
      <w:r>
        <w:tab/>
      </w:r>
      <w:r w:rsidRPr="00961388">
        <w:rPr>
          <w:i/>
          <w:iCs/>
          <w:lang w:val="fr-CH"/>
        </w:rPr>
        <w:t xml:space="preserve">La Tunisie a adopté </w:t>
      </w:r>
      <w:r w:rsidRPr="00260BCB">
        <w:rPr>
          <w:rFonts w:cs="Simplified Arabic"/>
          <w:i/>
          <w:iCs/>
          <w:lang w:val="fr-CH"/>
        </w:rPr>
        <w:t xml:space="preserve">le </w:t>
      </w:r>
      <w:r w:rsidRPr="00260BCB">
        <w:rPr>
          <w:rFonts w:cs="Simplified Arabic"/>
          <w:i/>
          <w:iCs/>
        </w:rPr>
        <w:t>Protocole</w:t>
      </w:r>
      <w:r w:rsidRPr="00961388">
        <w:rPr>
          <w:i/>
          <w:iCs/>
          <w:lang w:val="fr-CH"/>
        </w:rPr>
        <w:t xml:space="preserve"> contre le trafic illicite de migrants par terre, air et mer, addi</w:t>
      </w:r>
      <w:r>
        <w:rPr>
          <w:i/>
          <w:iCs/>
          <w:lang w:val="fr-CH"/>
        </w:rPr>
        <w:t xml:space="preserve">tionnel à la CCTO par la loi </w:t>
      </w:r>
      <w:r w:rsidRPr="00961388">
        <w:rPr>
          <w:rFonts w:eastAsia="MS Mincho"/>
          <w:i/>
          <w:iCs/>
          <w:lang w:val="fr-CH"/>
        </w:rPr>
        <w:t>n</w:t>
      </w:r>
      <w:r w:rsidRPr="00961388">
        <w:rPr>
          <w:rFonts w:eastAsia="MS Mincho"/>
          <w:i/>
          <w:iCs/>
          <w:vertAlign w:val="superscript"/>
          <w:lang w:val="fr-CH"/>
        </w:rPr>
        <w:t>o</w:t>
      </w:r>
      <w:r>
        <w:rPr>
          <w:i/>
          <w:iCs/>
          <w:lang w:val="fr-CH"/>
        </w:rPr>
        <w:t xml:space="preserve"> </w:t>
      </w:r>
      <w:r w:rsidRPr="00961388">
        <w:rPr>
          <w:i/>
          <w:iCs/>
          <w:lang w:val="fr-CH"/>
        </w:rPr>
        <w:t>2003-6 du 21 janvier 2003, elle l</w:t>
      </w:r>
      <w:r>
        <w:rPr>
          <w:i/>
          <w:iCs/>
          <w:lang w:val="fr-CH"/>
        </w:rPr>
        <w:t xml:space="preserve">’a ratifié par le décret </w:t>
      </w:r>
      <w:r w:rsidRPr="00961388">
        <w:rPr>
          <w:rFonts w:eastAsia="MS Mincho"/>
          <w:i/>
          <w:iCs/>
          <w:lang w:val="fr-CH"/>
        </w:rPr>
        <w:t>n</w:t>
      </w:r>
      <w:r w:rsidRPr="00961388">
        <w:rPr>
          <w:rFonts w:eastAsia="MS Mincho"/>
          <w:i/>
          <w:iCs/>
          <w:vertAlign w:val="superscript"/>
          <w:lang w:val="fr-CH"/>
        </w:rPr>
        <w:t>o</w:t>
      </w:r>
      <w:r>
        <w:rPr>
          <w:i/>
          <w:iCs/>
          <w:lang w:val="fr-CH"/>
        </w:rPr>
        <w:t xml:space="preserve"> 2003-777 du 31 </w:t>
      </w:r>
      <w:r w:rsidRPr="00961388">
        <w:rPr>
          <w:i/>
          <w:iCs/>
          <w:lang w:val="fr-CH"/>
        </w:rPr>
        <w:t>mars 2003, et l</w:t>
      </w:r>
      <w:r>
        <w:rPr>
          <w:i/>
          <w:iCs/>
          <w:lang w:val="fr-CH"/>
        </w:rPr>
        <w:t xml:space="preserve">’a publié par le décret </w:t>
      </w:r>
      <w:r w:rsidRPr="00961388">
        <w:rPr>
          <w:rFonts w:eastAsia="MS Mincho"/>
          <w:i/>
          <w:iCs/>
          <w:lang w:val="fr-CH"/>
        </w:rPr>
        <w:t>n</w:t>
      </w:r>
      <w:r w:rsidRPr="00961388">
        <w:rPr>
          <w:rFonts w:eastAsia="MS Mincho"/>
          <w:i/>
          <w:iCs/>
          <w:vertAlign w:val="superscript"/>
          <w:lang w:val="fr-CH"/>
        </w:rPr>
        <w:t>o</w:t>
      </w:r>
      <w:r>
        <w:rPr>
          <w:i/>
          <w:iCs/>
          <w:lang w:val="fr-CH"/>
        </w:rPr>
        <w:t xml:space="preserve"> </w:t>
      </w:r>
      <w:r w:rsidRPr="00961388">
        <w:rPr>
          <w:i/>
          <w:iCs/>
          <w:lang w:val="fr-CH"/>
        </w:rPr>
        <w:t>2004-1400 du 22 juin 2004.</w:t>
      </w:r>
    </w:p>
  </w:footnote>
  <w:footnote w:id="9">
    <w:p w:rsidR="0080321A" w:rsidRPr="00260BCB" w:rsidRDefault="0080321A">
      <w:pPr>
        <w:pStyle w:val="FootnoteText"/>
        <w:rPr>
          <w:lang w:val="fr-CH"/>
        </w:rPr>
      </w:pPr>
      <w:r>
        <w:tab/>
      </w:r>
      <w:r>
        <w:rPr>
          <w:rStyle w:val="FootnoteReference"/>
        </w:rPr>
        <w:footnoteRef/>
      </w:r>
      <w:r>
        <w:tab/>
      </w:r>
      <w:r w:rsidRPr="00961388">
        <w:rPr>
          <w:rFonts w:cs="Simplified Arabic"/>
          <w:i/>
          <w:iCs/>
          <w:lang w:val="fr-CH"/>
        </w:rPr>
        <w:t xml:space="preserve">Depuis cette date, le </w:t>
      </w:r>
      <w:r w:rsidRPr="00260BCB">
        <w:rPr>
          <w:rFonts w:cs="Simplified Arabic"/>
          <w:i/>
          <w:iCs/>
        </w:rPr>
        <w:t>décret</w:t>
      </w:r>
      <w:r w:rsidRPr="00961388">
        <w:rPr>
          <w:rFonts w:cs="Simplified Arabic"/>
          <w:i/>
          <w:iCs/>
          <w:lang w:val="fr-CH"/>
        </w:rPr>
        <w:t xml:space="preserve"> beylical de 23 janvier 1846, en effet, interdit l</w:t>
      </w:r>
      <w:r>
        <w:rPr>
          <w:rFonts w:cs="Simplified Arabic"/>
          <w:i/>
          <w:iCs/>
          <w:lang w:val="fr-CH"/>
        </w:rPr>
        <w:t>’</w:t>
      </w:r>
      <w:r w:rsidRPr="00961388">
        <w:rPr>
          <w:rFonts w:cs="Simplified Arabic"/>
          <w:i/>
          <w:iCs/>
          <w:lang w:val="fr-CH"/>
        </w:rPr>
        <w:t>exploitation et le trafic des esclaves notamment les nègres.</w:t>
      </w:r>
    </w:p>
  </w:footnote>
  <w:footnote w:id="10">
    <w:p w:rsidR="0080321A" w:rsidRPr="00260BCB" w:rsidRDefault="0080321A">
      <w:pPr>
        <w:pStyle w:val="FootnoteText"/>
        <w:rPr>
          <w:lang w:val="fr-CH"/>
        </w:rPr>
      </w:pPr>
      <w:r>
        <w:tab/>
      </w:r>
      <w:r>
        <w:rPr>
          <w:rStyle w:val="FootnoteReference"/>
        </w:rPr>
        <w:footnoteRef/>
      </w:r>
      <w:r>
        <w:tab/>
      </w:r>
      <w:r w:rsidRPr="00961388">
        <w:rPr>
          <w:i/>
          <w:iCs/>
          <w:lang w:val="fr-CH"/>
        </w:rPr>
        <w:t xml:space="preserve">Art. 1 </w:t>
      </w:r>
      <w:r w:rsidRPr="00961388">
        <w:rPr>
          <w:i/>
          <w:iCs/>
          <w:vertAlign w:val="superscript"/>
          <w:lang w:val="fr-CH"/>
        </w:rPr>
        <w:t xml:space="preserve">er </w:t>
      </w:r>
      <w:r w:rsidRPr="00961388">
        <w:rPr>
          <w:i/>
          <w:iCs/>
          <w:lang w:val="fr-CH"/>
        </w:rPr>
        <w:t>du Code de Procédures Pénales.</w:t>
      </w:r>
    </w:p>
  </w:footnote>
  <w:footnote w:id="11">
    <w:p w:rsidR="0080321A" w:rsidRPr="00260BCB" w:rsidRDefault="0080321A">
      <w:pPr>
        <w:pStyle w:val="FootnoteText"/>
        <w:rPr>
          <w:lang w:val="fr-CH"/>
        </w:rPr>
      </w:pPr>
      <w:r>
        <w:tab/>
      </w:r>
      <w:r>
        <w:rPr>
          <w:rStyle w:val="FootnoteReference"/>
        </w:rPr>
        <w:footnoteRef/>
      </w:r>
      <w:r>
        <w:tab/>
      </w:r>
      <w:r w:rsidRPr="00961388">
        <w:rPr>
          <w:i/>
          <w:iCs/>
          <w:lang w:val="fr-CH"/>
        </w:rPr>
        <w:t>Art. 143 du C.P.P.</w:t>
      </w:r>
    </w:p>
  </w:footnote>
  <w:footnote w:id="12">
    <w:p w:rsidR="0080321A" w:rsidRPr="00260BCB" w:rsidRDefault="0080321A">
      <w:pPr>
        <w:pStyle w:val="FootnoteText"/>
        <w:rPr>
          <w:lang w:val="fr-CH"/>
        </w:rPr>
      </w:pPr>
      <w:r>
        <w:tab/>
      </w:r>
      <w:r>
        <w:rPr>
          <w:rStyle w:val="FootnoteReference"/>
        </w:rPr>
        <w:footnoteRef/>
      </w:r>
      <w:r>
        <w:tab/>
      </w:r>
      <w:r>
        <w:rPr>
          <w:i/>
          <w:iCs/>
          <w:lang w:val="fr-CH"/>
        </w:rPr>
        <w:t xml:space="preserve">Art. 1 et 2 de la loi </w:t>
      </w:r>
      <w:r w:rsidRPr="00961388">
        <w:rPr>
          <w:rFonts w:eastAsia="MS Mincho"/>
          <w:i/>
          <w:iCs/>
          <w:lang w:val="fr-CH"/>
        </w:rPr>
        <w:t>n</w:t>
      </w:r>
      <w:r w:rsidRPr="00961388">
        <w:rPr>
          <w:rFonts w:eastAsia="MS Mincho"/>
          <w:i/>
          <w:iCs/>
          <w:vertAlign w:val="superscript"/>
          <w:lang w:val="fr-CH"/>
        </w:rPr>
        <w:t>o</w:t>
      </w:r>
      <w:r>
        <w:rPr>
          <w:i/>
          <w:iCs/>
          <w:lang w:val="fr-CH"/>
        </w:rPr>
        <w:t xml:space="preserve"> </w:t>
      </w:r>
      <w:r w:rsidRPr="00961388">
        <w:rPr>
          <w:i/>
          <w:iCs/>
          <w:lang w:val="fr-CH"/>
        </w:rPr>
        <w:t>2002-52 du 3 juin 2002, relative à l</w:t>
      </w:r>
      <w:r>
        <w:rPr>
          <w:i/>
          <w:iCs/>
          <w:lang w:val="fr-CH"/>
        </w:rPr>
        <w:t>’</w:t>
      </w:r>
      <w:r w:rsidRPr="00961388">
        <w:rPr>
          <w:i/>
          <w:iCs/>
          <w:lang w:val="fr-CH"/>
        </w:rPr>
        <w:t>octroi de l</w:t>
      </w:r>
      <w:r>
        <w:rPr>
          <w:i/>
          <w:iCs/>
          <w:lang w:val="fr-CH"/>
        </w:rPr>
        <w:t>’</w:t>
      </w:r>
      <w:r w:rsidRPr="00961388">
        <w:rPr>
          <w:i/>
          <w:iCs/>
          <w:lang w:val="fr-CH"/>
        </w:rPr>
        <w:t>aide judicia</w:t>
      </w:r>
      <w:r>
        <w:rPr>
          <w:i/>
          <w:iCs/>
          <w:lang w:val="fr-CH"/>
        </w:rPr>
        <w:t xml:space="preserve">ire, J.O.R.T - 4 juin 2002 - </w:t>
      </w:r>
      <w:r w:rsidRPr="00961388">
        <w:rPr>
          <w:rFonts w:eastAsia="MS Mincho"/>
          <w:i/>
          <w:iCs/>
          <w:lang w:val="fr-CH"/>
        </w:rPr>
        <w:t>n</w:t>
      </w:r>
      <w:r w:rsidRPr="00961388">
        <w:rPr>
          <w:rFonts w:eastAsia="MS Mincho"/>
          <w:i/>
          <w:iCs/>
          <w:vertAlign w:val="superscript"/>
          <w:lang w:val="fr-CH"/>
        </w:rPr>
        <w:t>o</w:t>
      </w:r>
      <w:r>
        <w:rPr>
          <w:i/>
          <w:iCs/>
          <w:lang w:val="fr-CH"/>
        </w:rPr>
        <w:t xml:space="preserve"> </w:t>
      </w:r>
      <w:r w:rsidRPr="00961388">
        <w:rPr>
          <w:i/>
          <w:iCs/>
          <w:lang w:val="fr-CH"/>
        </w:rPr>
        <w:t>46, p. 1316.</w:t>
      </w:r>
    </w:p>
  </w:footnote>
  <w:footnote w:id="13">
    <w:p w:rsidR="0080321A" w:rsidRPr="00260BCB" w:rsidRDefault="0080321A">
      <w:pPr>
        <w:pStyle w:val="FootnoteText"/>
        <w:rPr>
          <w:lang w:val="fr-CH"/>
        </w:rPr>
      </w:pPr>
      <w:r>
        <w:tab/>
      </w:r>
      <w:r>
        <w:rPr>
          <w:rStyle w:val="FootnoteReference"/>
        </w:rPr>
        <w:footnoteRef/>
      </w:r>
      <w:r>
        <w:tab/>
      </w:r>
      <w:r w:rsidRPr="00961388">
        <w:rPr>
          <w:i/>
          <w:iCs/>
          <w:lang w:val="fr-CH"/>
        </w:rPr>
        <w:t>Préambule de la Constitution de la République tunisienne.</w:t>
      </w:r>
    </w:p>
  </w:footnote>
  <w:footnote w:id="14">
    <w:p w:rsidR="0080321A" w:rsidRPr="00260BCB" w:rsidRDefault="0080321A">
      <w:pPr>
        <w:pStyle w:val="FootnoteText"/>
        <w:rPr>
          <w:lang w:val="fr-CH"/>
        </w:rPr>
      </w:pPr>
      <w:r>
        <w:tab/>
      </w:r>
      <w:r>
        <w:rPr>
          <w:rStyle w:val="FootnoteReference"/>
        </w:rPr>
        <w:footnoteRef/>
      </w:r>
      <w:r>
        <w:tab/>
      </w:r>
      <w:r>
        <w:rPr>
          <w:i/>
          <w:iCs/>
          <w:lang w:val="fr-CH"/>
        </w:rPr>
        <w:t>Art.</w:t>
      </w:r>
      <w:r w:rsidRPr="00961388">
        <w:rPr>
          <w:i/>
          <w:iCs/>
          <w:lang w:val="fr-CH"/>
        </w:rPr>
        <w:t xml:space="preserve"> 5 de la Constitution.</w:t>
      </w:r>
    </w:p>
  </w:footnote>
  <w:footnote w:id="15">
    <w:p w:rsidR="0080321A" w:rsidRPr="00260BCB" w:rsidRDefault="0080321A">
      <w:pPr>
        <w:pStyle w:val="FootnoteText"/>
        <w:rPr>
          <w:lang w:val="fr-CH"/>
        </w:rPr>
      </w:pPr>
      <w:r>
        <w:tab/>
      </w:r>
      <w:r>
        <w:rPr>
          <w:rStyle w:val="FootnoteReference"/>
        </w:rPr>
        <w:footnoteRef/>
      </w:r>
      <w:r>
        <w:tab/>
      </w:r>
      <w:r w:rsidRPr="00961388">
        <w:rPr>
          <w:i/>
          <w:iCs/>
          <w:lang w:val="fr-CH"/>
        </w:rPr>
        <w:t>Art. 77 du Code du travail.</w:t>
      </w:r>
    </w:p>
  </w:footnote>
  <w:footnote w:id="16">
    <w:p w:rsidR="0080321A" w:rsidRPr="00260BCB" w:rsidRDefault="0080321A">
      <w:pPr>
        <w:pStyle w:val="FootnoteText"/>
        <w:rPr>
          <w:lang w:val="fr-CH"/>
        </w:rPr>
      </w:pPr>
      <w:r>
        <w:tab/>
      </w:r>
      <w:r>
        <w:rPr>
          <w:rStyle w:val="FootnoteReference"/>
        </w:rPr>
        <w:footnoteRef/>
      </w:r>
      <w:r>
        <w:tab/>
      </w:r>
      <w:r w:rsidRPr="00961388">
        <w:rPr>
          <w:i/>
          <w:iCs/>
          <w:lang w:val="fr-CH"/>
        </w:rPr>
        <w:t>Art. 78 du Code du travail.</w:t>
      </w:r>
    </w:p>
  </w:footnote>
  <w:footnote w:id="17">
    <w:p w:rsidR="0080321A" w:rsidRPr="000C6AAB" w:rsidRDefault="0080321A">
      <w:pPr>
        <w:pStyle w:val="FootnoteText"/>
        <w:rPr>
          <w:lang w:val="fr-CH"/>
        </w:rPr>
      </w:pPr>
      <w:r>
        <w:tab/>
      </w:r>
      <w:r>
        <w:rPr>
          <w:rStyle w:val="FootnoteReference"/>
        </w:rPr>
        <w:footnoteRef/>
      </w:r>
      <w:r>
        <w:tab/>
      </w:r>
      <w:r w:rsidRPr="00961388">
        <w:rPr>
          <w:i/>
          <w:iCs/>
          <w:lang w:val="fr-CH"/>
        </w:rPr>
        <w:t>Art. 53 du Code du travail.</w:t>
      </w:r>
    </w:p>
  </w:footnote>
  <w:footnote w:id="18">
    <w:p w:rsidR="0080321A" w:rsidRPr="000C6AAB" w:rsidRDefault="0080321A">
      <w:pPr>
        <w:pStyle w:val="FootnoteText"/>
        <w:rPr>
          <w:lang w:val="fr-CH"/>
        </w:rPr>
      </w:pPr>
      <w:r>
        <w:tab/>
      </w:r>
      <w:r>
        <w:rPr>
          <w:rStyle w:val="FootnoteReference"/>
        </w:rPr>
        <w:footnoteRef/>
      </w:r>
      <w:r>
        <w:tab/>
      </w:r>
      <w:r w:rsidRPr="00961388">
        <w:rPr>
          <w:i/>
          <w:iCs/>
          <w:lang w:val="fr-CH"/>
        </w:rPr>
        <w:t>Art. 61 du Code du travail, dans le même sens, l</w:t>
      </w:r>
      <w:r>
        <w:rPr>
          <w:i/>
          <w:iCs/>
          <w:lang w:val="fr-CH"/>
        </w:rPr>
        <w:t>’</w:t>
      </w:r>
      <w:r w:rsidRPr="00961388">
        <w:rPr>
          <w:i/>
          <w:iCs/>
          <w:lang w:val="fr-CH"/>
        </w:rPr>
        <w:t>article 374 du même Code dispose que les enfants ne peuvent être employés dans les établissements agricoles s</w:t>
      </w:r>
      <w:r>
        <w:rPr>
          <w:i/>
          <w:iCs/>
          <w:lang w:val="fr-CH"/>
        </w:rPr>
        <w:t>’</w:t>
      </w:r>
      <w:r w:rsidRPr="00961388">
        <w:rPr>
          <w:i/>
          <w:iCs/>
          <w:lang w:val="fr-CH"/>
        </w:rPr>
        <w:t>ils n</w:t>
      </w:r>
      <w:r>
        <w:rPr>
          <w:i/>
          <w:iCs/>
          <w:lang w:val="fr-CH"/>
        </w:rPr>
        <w:t>’</w:t>
      </w:r>
      <w:r w:rsidRPr="00961388">
        <w:rPr>
          <w:i/>
          <w:iCs/>
          <w:lang w:val="fr-CH"/>
        </w:rPr>
        <w:t>ont pas l</w:t>
      </w:r>
      <w:r>
        <w:rPr>
          <w:i/>
          <w:iCs/>
          <w:lang w:val="fr-CH"/>
        </w:rPr>
        <w:t>’</w:t>
      </w:r>
      <w:r w:rsidRPr="00961388">
        <w:rPr>
          <w:i/>
          <w:iCs/>
          <w:lang w:val="fr-CH"/>
        </w:rPr>
        <w:t>aptitude physique nécessaire pour l</w:t>
      </w:r>
      <w:r>
        <w:rPr>
          <w:i/>
          <w:iCs/>
          <w:lang w:val="fr-CH"/>
        </w:rPr>
        <w:t>’</w:t>
      </w:r>
      <w:r w:rsidRPr="00961388">
        <w:rPr>
          <w:i/>
          <w:iCs/>
          <w:lang w:val="fr-CH"/>
        </w:rPr>
        <w:t>exécution des travaux qui leur sont confiés.</w:t>
      </w:r>
    </w:p>
  </w:footnote>
  <w:footnote w:id="19">
    <w:p w:rsidR="0080321A" w:rsidRPr="000C6AAB" w:rsidRDefault="0080321A">
      <w:pPr>
        <w:pStyle w:val="FootnoteText"/>
        <w:rPr>
          <w:lang w:val="fr-CH"/>
        </w:rPr>
      </w:pPr>
      <w:r>
        <w:tab/>
      </w:r>
      <w:r>
        <w:rPr>
          <w:rStyle w:val="FootnoteReference"/>
        </w:rPr>
        <w:footnoteRef/>
      </w:r>
      <w:r>
        <w:tab/>
      </w:r>
      <w:r w:rsidRPr="00961388">
        <w:rPr>
          <w:i/>
          <w:iCs/>
          <w:lang w:val="fr-CH"/>
        </w:rPr>
        <w:t>Art. 65 et suiv. du Code du travail.</w:t>
      </w:r>
    </w:p>
  </w:footnote>
  <w:footnote w:id="20">
    <w:p w:rsidR="0080321A" w:rsidRPr="000C6AAB" w:rsidRDefault="0080321A">
      <w:pPr>
        <w:pStyle w:val="FootnoteText"/>
        <w:rPr>
          <w:lang w:val="fr-CH"/>
        </w:rPr>
      </w:pPr>
      <w:r>
        <w:tab/>
      </w:r>
      <w:r>
        <w:rPr>
          <w:rStyle w:val="FootnoteReference"/>
        </w:rPr>
        <w:footnoteRef/>
      </w:r>
      <w:r>
        <w:tab/>
      </w:r>
      <w:r w:rsidRPr="00961388">
        <w:rPr>
          <w:i/>
          <w:iCs/>
          <w:lang w:val="fr-CH"/>
        </w:rPr>
        <w:t>Art. 171 du Code pénal.</w:t>
      </w:r>
    </w:p>
  </w:footnote>
  <w:footnote w:id="21">
    <w:p w:rsidR="0080321A" w:rsidRPr="001E3A4A" w:rsidRDefault="0080321A">
      <w:pPr>
        <w:pStyle w:val="FootnoteText"/>
        <w:rPr>
          <w:lang w:val="fr-CH"/>
        </w:rPr>
      </w:pPr>
      <w:r>
        <w:tab/>
      </w:r>
      <w:r>
        <w:rPr>
          <w:rStyle w:val="FootnoteReference"/>
        </w:rPr>
        <w:footnoteRef/>
      </w:r>
      <w:r>
        <w:tab/>
      </w:r>
      <w:r w:rsidRPr="00961388">
        <w:rPr>
          <w:i/>
          <w:iCs/>
          <w:lang w:val="fr-CH"/>
        </w:rPr>
        <w:t>Art. 14 ter du Code du travail.</w:t>
      </w:r>
    </w:p>
  </w:footnote>
  <w:footnote w:id="22">
    <w:p w:rsidR="0080321A" w:rsidRPr="001E3A4A" w:rsidRDefault="0080321A">
      <w:pPr>
        <w:pStyle w:val="FootnoteText"/>
        <w:rPr>
          <w:lang w:val="fr-CH"/>
        </w:rPr>
      </w:pPr>
      <w:r>
        <w:tab/>
      </w:r>
      <w:r>
        <w:rPr>
          <w:rStyle w:val="FootnoteReference"/>
        </w:rPr>
        <w:footnoteRef/>
      </w:r>
      <w:r>
        <w:tab/>
      </w:r>
      <w:r w:rsidRPr="00961388">
        <w:rPr>
          <w:i/>
          <w:iCs/>
          <w:lang w:val="fr-CH"/>
        </w:rPr>
        <w:t>Art. 23 du Code du travail.</w:t>
      </w:r>
    </w:p>
  </w:footnote>
  <w:footnote w:id="23">
    <w:p w:rsidR="0080321A" w:rsidRPr="001E3A4A" w:rsidRDefault="0080321A">
      <w:pPr>
        <w:pStyle w:val="FootnoteText"/>
        <w:rPr>
          <w:lang w:val="fr-CH"/>
        </w:rPr>
      </w:pPr>
      <w:r>
        <w:tab/>
      </w:r>
      <w:r>
        <w:rPr>
          <w:rStyle w:val="FootnoteReference"/>
        </w:rPr>
        <w:footnoteRef/>
      </w:r>
      <w:r>
        <w:tab/>
      </w:r>
      <w:r w:rsidRPr="00961388">
        <w:rPr>
          <w:i/>
          <w:iCs/>
          <w:lang w:val="fr-CH"/>
        </w:rPr>
        <w:t>Art. 90 et 94 du Code du travail.</w:t>
      </w:r>
    </w:p>
  </w:footnote>
  <w:footnote w:id="24">
    <w:p w:rsidR="0080321A" w:rsidRPr="001E3A4A" w:rsidRDefault="0080321A">
      <w:pPr>
        <w:pStyle w:val="FootnoteText"/>
        <w:rPr>
          <w:lang w:val="fr-CH"/>
        </w:rPr>
      </w:pPr>
      <w:r>
        <w:tab/>
      </w:r>
      <w:r>
        <w:rPr>
          <w:rStyle w:val="FootnoteReference"/>
        </w:rPr>
        <w:footnoteRef/>
      </w:r>
      <w:r>
        <w:tab/>
      </w:r>
      <w:r w:rsidRPr="00961388">
        <w:rPr>
          <w:i/>
          <w:iCs/>
          <w:lang w:val="fr-CH"/>
        </w:rPr>
        <w:t>Art. 95 et 106 du Code du travail.</w:t>
      </w:r>
    </w:p>
  </w:footnote>
  <w:footnote w:id="25">
    <w:p w:rsidR="0080321A" w:rsidRPr="001E3A4A" w:rsidRDefault="0080321A">
      <w:pPr>
        <w:pStyle w:val="FootnoteText"/>
        <w:rPr>
          <w:lang w:val="fr-CH"/>
        </w:rPr>
      </w:pPr>
      <w:r>
        <w:tab/>
      </w:r>
      <w:r>
        <w:rPr>
          <w:rStyle w:val="FootnoteReference"/>
        </w:rPr>
        <w:footnoteRef/>
      </w:r>
      <w:r>
        <w:tab/>
      </w:r>
      <w:r w:rsidRPr="00961388">
        <w:rPr>
          <w:i/>
          <w:iCs/>
          <w:lang w:val="fr-CH"/>
        </w:rPr>
        <w:t>Art. 107 et s du Code du travail.</w:t>
      </w:r>
    </w:p>
  </w:footnote>
  <w:footnote w:id="26">
    <w:p w:rsidR="0080321A" w:rsidRPr="001E3A4A" w:rsidRDefault="0080321A">
      <w:pPr>
        <w:pStyle w:val="FootnoteText"/>
        <w:rPr>
          <w:lang w:val="fr-CH"/>
        </w:rPr>
      </w:pPr>
      <w:r>
        <w:tab/>
      </w:r>
      <w:r>
        <w:rPr>
          <w:rStyle w:val="FootnoteReference"/>
        </w:rPr>
        <w:footnoteRef/>
      </w:r>
      <w:r>
        <w:tab/>
      </w:r>
      <w:r w:rsidRPr="00961388">
        <w:rPr>
          <w:i/>
          <w:iCs/>
          <w:lang w:val="fr-CH"/>
        </w:rPr>
        <w:t>Art. 112 et 123 du Code du travail</w:t>
      </w:r>
      <w:r w:rsidRPr="00961388">
        <w:rPr>
          <w:lang w:val="fr-CH"/>
        </w:rPr>
        <w:t>.</w:t>
      </w:r>
    </w:p>
  </w:footnote>
  <w:footnote w:id="27">
    <w:p w:rsidR="0080321A" w:rsidRPr="001E3A4A" w:rsidRDefault="0080321A">
      <w:pPr>
        <w:pStyle w:val="FootnoteText"/>
        <w:rPr>
          <w:lang w:val="fr-CH"/>
        </w:rPr>
      </w:pPr>
      <w:r>
        <w:tab/>
      </w:r>
      <w:r>
        <w:rPr>
          <w:rStyle w:val="FootnoteReference"/>
        </w:rPr>
        <w:footnoteRef/>
      </w:r>
      <w:r>
        <w:tab/>
      </w:r>
      <w:r w:rsidRPr="00961388">
        <w:rPr>
          <w:i/>
          <w:iCs/>
          <w:lang w:val="fr-CH"/>
        </w:rPr>
        <w:t>Art. 134 du Code du travail.</w:t>
      </w:r>
    </w:p>
  </w:footnote>
  <w:footnote w:id="28">
    <w:p w:rsidR="0080321A" w:rsidRPr="001E3A4A" w:rsidRDefault="0080321A">
      <w:pPr>
        <w:pStyle w:val="FootnoteText"/>
        <w:rPr>
          <w:lang w:val="fr-CH"/>
        </w:rPr>
      </w:pPr>
      <w:r>
        <w:tab/>
      </w:r>
      <w:r>
        <w:rPr>
          <w:rStyle w:val="FootnoteReference"/>
        </w:rPr>
        <w:footnoteRef/>
      </w:r>
      <w:r>
        <w:tab/>
      </w:r>
      <w:r w:rsidRPr="00961388">
        <w:rPr>
          <w:i/>
          <w:iCs/>
          <w:lang w:val="fr-CH"/>
        </w:rPr>
        <w:t>Art. 170 et s du Code du travail.</w:t>
      </w:r>
    </w:p>
  </w:footnote>
  <w:footnote w:id="29">
    <w:p w:rsidR="0080321A" w:rsidRPr="001E3A4A" w:rsidRDefault="0080321A">
      <w:pPr>
        <w:pStyle w:val="FootnoteText"/>
        <w:rPr>
          <w:lang w:val="fr-CH"/>
        </w:rPr>
      </w:pPr>
      <w:r>
        <w:tab/>
      </w:r>
      <w:r>
        <w:rPr>
          <w:rStyle w:val="FootnoteReference"/>
        </w:rPr>
        <w:footnoteRef/>
      </w:r>
      <w:r>
        <w:tab/>
      </w:r>
      <w:r w:rsidRPr="00961388">
        <w:rPr>
          <w:i/>
          <w:iCs/>
          <w:lang w:val="fr-CH"/>
        </w:rPr>
        <w:t>V</w:t>
      </w:r>
      <w:r>
        <w:rPr>
          <w:i/>
          <w:iCs/>
          <w:lang w:val="fr-CH"/>
        </w:rPr>
        <w:t xml:space="preserve">oir loi </w:t>
      </w:r>
      <w:r w:rsidRPr="00961388">
        <w:rPr>
          <w:rFonts w:eastAsia="MS Mincho"/>
          <w:i/>
          <w:iCs/>
          <w:lang w:val="fr-CH"/>
        </w:rPr>
        <w:t>n</w:t>
      </w:r>
      <w:r w:rsidRPr="00961388">
        <w:rPr>
          <w:rFonts w:eastAsia="MS Mincho"/>
          <w:i/>
          <w:iCs/>
          <w:vertAlign w:val="superscript"/>
          <w:lang w:val="fr-CH"/>
        </w:rPr>
        <w:t>o</w:t>
      </w:r>
      <w:r>
        <w:rPr>
          <w:i/>
          <w:iCs/>
          <w:lang w:val="fr-CH"/>
        </w:rPr>
        <w:t xml:space="preserve"> </w:t>
      </w:r>
      <w:r w:rsidRPr="00961388">
        <w:rPr>
          <w:i/>
          <w:iCs/>
          <w:lang w:val="fr-CH"/>
        </w:rPr>
        <w:t>94-28 du 21 février 1994, portant régime de réparation des préjudices résultant des accidents du travail et des maladies professionnelles.</w:t>
      </w:r>
    </w:p>
  </w:footnote>
  <w:footnote w:id="30">
    <w:p w:rsidR="0080321A" w:rsidRPr="001E3A4A" w:rsidRDefault="0080321A">
      <w:pPr>
        <w:pStyle w:val="FootnoteText"/>
        <w:rPr>
          <w:lang w:val="fr-CH"/>
        </w:rPr>
      </w:pPr>
      <w:r>
        <w:tab/>
      </w:r>
      <w:r>
        <w:rPr>
          <w:rStyle w:val="FootnoteReference"/>
        </w:rPr>
        <w:footnoteRef/>
      </w:r>
      <w:r>
        <w:tab/>
      </w:r>
      <w:r w:rsidRPr="00961388">
        <w:rPr>
          <w:i/>
          <w:iCs/>
          <w:lang w:val="fr-CH"/>
        </w:rPr>
        <w:t>L</w:t>
      </w:r>
      <w:r>
        <w:rPr>
          <w:i/>
          <w:iCs/>
          <w:lang w:val="fr-CH"/>
        </w:rPr>
        <w:t xml:space="preserve">oi </w:t>
      </w:r>
      <w:r w:rsidRPr="00961388">
        <w:rPr>
          <w:rFonts w:eastAsia="MS Mincho"/>
          <w:i/>
          <w:iCs/>
          <w:lang w:val="fr-CH"/>
        </w:rPr>
        <w:t>n</w:t>
      </w:r>
      <w:r w:rsidRPr="00961388">
        <w:rPr>
          <w:rFonts w:eastAsia="MS Mincho"/>
          <w:i/>
          <w:iCs/>
          <w:vertAlign w:val="superscript"/>
          <w:lang w:val="fr-CH"/>
        </w:rPr>
        <w:t>o</w:t>
      </w:r>
      <w:r>
        <w:rPr>
          <w:i/>
          <w:iCs/>
          <w:lang w:val="fr-CH"/>
        </w:rPr>
        <w:t xml:space="preserve"> </w:t>
      </w:r>
      <w:r w:rsidRPr="00961388">
        <w:rPr>
          <w:i/>
          <w:iCs/>
          <w:lang w:val="fr-CH"/>
        </w:rPr>
        <w:t>60-30 du 14 décembre 1960, relative à l</w:t>
      </w:r>
      <w:r>
        <w:rPr>
          <w:i/>
          <w:iCs/>
          <w:lang w:val="fr-CH"/>
        </w:rPr>
        <w:t>’</w:t>
      </w:r>
      <w:r w:rsidRPr="00961388">
        <w:rPr>
          <w:i/>
          <w:iCs/>
          <w:lang w:val="fr-CH"/>
        </w:rPr>
        <w:t>organisation des régimes de sécurité sociale.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1A" w:rsidRPr="00570B62" w:rsidRDefault="0080321A">
    <w:pPr>
      <w:pStyle w:val="Header"/>
    </w:pPr>
    <w:r>
      <w:t>CEDAW/C/TUN/Q/6/Add.1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1A" w:rsidRPr="00570B62" w:rsidRDefault="0080321A" w:rsidP="00570B62">
    <w:pPr>
      <w:pStyle w:val="Header"/>
      <w:jc w:val="right"/>
    </w:pPr>
    <w:r>
      <w:t>CEDAW/C/TUN/Q/6/Add.1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1D718E9"/>
    <w:multiLevelType w:val="hybridMultilevel"/>
    <w:tmpl w:val="D6F28840"/>
    <w:lvl w:ilvl="0" w:tplc="1E5ACF12">
      <w:start w:val="1"/>
      <w:numFmt w:val="bullet"/>
      <w:lvlText w:val="•"/>
      <w:lvlJc w:val="left"/>
      <w:pPr>
        <w:tabs>
          <w:tab w:val="num" w:pos="1815"/>
        </w:tabs>
        <w:ind w:left="1815" w:hanging="284"/>
      </w:pPr>
      <w:rPr>
        <w:rFonts w:ascii="Arial" w:hAnsi="Arial" w:hint="default"/>
        <w:sz w:val="1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8862366"/>
    <w:multiLevelType w:val="hybridMultilevel"/>
    <w:tmpl w:val="523E6D94"/>
    <w:lvl w:ilvl="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0563"/>
    <w:rsid w:val="00002A7D"/>
    <w:rsid w:val="000038A8"/>
    <w:rsid w:val="00006790"/>
    <w:rsid w:val="00023EB3"/>
    <w:rsid w:val="00027624"/>
    <w:rsid w:val="000316AC"/>
    <w:rsid w:val="00034BE1"/>
    <w:rsid w:val="00050F6B"/>
    <w:rsid w:val="000678CD"/>
    <w:rsid w:val="0007091A"/>
    <w:rsid w:val="00072C8C"/>
    <w:rsid w:val="00081CE0"/>
    <w:rsid w:val="00084D30"/>
    <w:rsid w:val="00087744"/>
    <w:rsid w:val="00090320"/>
    <w:rsid w:val="000931C0"/>
    <w:rsid w:val="000A0E2E"/>
    <w:rsid w:val="000A2E09"/>
    <w:rsid w:val="000B175B"/>
    <w:rsid w:val="000B33CE"/>
    <w:rsid w:val="000B3A0F"/>
    <w:rsid w:val="000C16CE"/>
    <w:rsid w:val="000C6AAB"/>
    <w:rsid w:val="000C7963"/>
    <w:rsid w:val="000D5CE6"/>
    <w:rsid w:val="000E0415"/>
    <w:rsid w:val="000E1FFB"/>
    <w:rsid w:val="000E2FF9"/>
    <w:rsid w:val="000E3DCF"/>
    <w:rsid w:val="000F38B7"/>
    <w:rsid w:val="000F56E2"/>
    <w:rsid w:val="000F7715"/>
    <w:rsid w:val="000F7B6F"/>
    <w:rsid w:val="000F7B76"/>
    <w:rsid w:val="0011765F"/>
    <w:rsid w:val="001212AB"/>
    <w:rsid w:val="00126F57"/>
    <w:rsid w:val="00156B99"/>
    <w:rsid w:val="00166124"/>
    <w:rsid w:val="00166158"/>
    <w:rsid w:val="0018490B"/>
    <w:rsid w:val="00184DDA"/>
    <w:rsid w:val="001900CD"/>
    <w:rsid w:val="001973D8"/>
    <w:rsid w:val="00197607"/>
    <w:rsid w:val="001A0452"/>
    <w:rsid w:val="001A3FA6"/>
    <w:rsid w:val="001B4B04"/>
    <w:rsid w:val="001B5875"/>
    <w:rsid w:val="001C0F49"/>
    <w:rsid w:val="001C4B9C"/>
    <w:rsid w:val="001C6663"/>
    <w:rsid w:val="001C7895"/>
    <w:rsid w:val="001D26DF"/>
    <w:rsid w:val="001E3A4A"/>
    <w:rsid w:val="001F1599"/>
    <w:rsid w:val="001F19C4"/>
    <w:rsid w:val="002043F0"/>
    <w:rsid w:val="00211E0B"/>
    <w:rsid w:val="0023098D"/>
    <w:rsid w:val="00232575"/>
    <w:rsid w:val="002373AF"/>
    <w:rsid w:val="00243DA0"/>
    <w:rsid w:val="00247258"/>
    <w:rsid w:val="00247D90"/>
    <w:rsid w:val="00257CAC"/>
    <w:rsid w:val="00260BCB"/>
    <w:rsid w:val="00283379"/>
    <w:rsid w:val="002974E9"/>
    <w:rsid w:val="002A3A5A"/>
    <w:rsid w:val="002A7F94"/>
    <w:rsid w:val="002B109A"/>
    <w:rsid w:val="002C6D45"/>
    <w:rsid w:val="002D06FB"/>
    <w:rsid w:val="002D6E53"/>
    <w:rsid w:val="002E3E4B"/>
    <w:rsid w:val="002F046D"/>
    <w:rsid w:val="002F3C94"/>
    <w:rsid w:val="00301764"/>
    <w:rsid w:val="003225DB"/>
    <w:rsid w:val="003229D8"/>
    <w:rsid w:val="00336C97"/>
    <w:rsid w:val="003374C6"/>
    <w:rsid w:val="00342432"/>
    <w:rsid w:val="00352D4B"/>
    <w:rsid w:val="0035638C"/>
    <w:rsid w:val="003709D8"/>
    <w:rsid w:val="003729EF"/>
    <w:rsid w:val="00380A9A"/>
    <w:rsid w:val="003812A1"/>
    <w:rsid w:val="003A1449"/>
    <w:rsid w:val="003A46BB"/>
    <w:rsid w:val="003A4EC7"/>
    <w:rsid w:val="003A7295"/>
    <w:rsid w:val="003B1F60"/>
    <w:rsid w:val="003C2CC4"/>
    <w:rsid w:val="003D3761"/>
    <w:rsid w:val="003D4B23"/>
    <w:rsid w:val="003E278A"/>
    <w:rsid w:val="00413520"/>
    <w:rsid w:val="0042507D"/>
    <w:rsid w:val="004325CB"/>
    <w:rsid w:val="00440563"/>
    <w:rsid w:val="00440A07"/>
    <w:rsid w:val="004506F7"/>
    <w:rsid w:val="00451982"/>
    <w:rsid w:val="00462880"/>
    <w:rsid w:val="00476F24"/>
    <w:rsid w:val="004775B9"/>
    <w:rsid w:val="00494310"/>
    <w:rsid w:val="004951FF"/>
    <w:rsid w:val="004C4252"/>
    <w:rsid w:val="004C55B0"/>
    <w:rsid w:val="004C6B7B"/>
    <w:rsid w:val="004E517A"/>
    <w:rsid w:val="004F6BA0"/>
    <w:rsid w:val="00503BEA"/>
    <w:rsid w:val="00516A1F"/>
    <w:rsid w:val="00533616"/>
    <w:rsid w:val="00535ABA"/>
    <w:rsid w:val="0053768B"/>
    <w:rsid w:val="00541D1A"/>
    <w:rsid w:val="005420F2"/>
    <w:rsid w:val="0054285C"/>
    <w:rsid w:val="00546224"/>
    <w:rsid w:val="0056142F"/>
    <w:rsid w:val="0056237B"/>
    <w:rsid w:val="00562EF9"/>
    <w:rsid w:val="00570B62"/>
    <w:rsid w:val="00584173"/>
    <w:rsid w:val="00593CC2"/>
    <w:rsid w:val="00595520"/>
    <w:rsid w:val="005A3211"/>
    <w:rsid w:val="005A3A2D"/>
    <w:rsid w:val="005A4018"/>
    <w:rsid w:val="005A44B9"/>
    <w:rsid w:val="005A6062"/>
    <w:rsid w:val="005B1BA0"/>
    <w:rsid w:val="005B3DB3"/>
    <w:rsid w:val="005B4DBF"/>
    <w:rsid w:val="005D15CA"/>
    <w:rsid w:val="005F3066"/>
    <w:rsid w:val="005F3E61"/>
    <w:rsid w:val="00604DDD"/>
    <w:rsid w:val="00605704"/>
    <w:rsid w:val="006115CC"/>
    <w:rsid w:val="00611FC4"/>
    <w:rsid w:val="006176FB"/>
    <w:rsid w:val="00630FCB"/>
    <w:rsid w:val="00636011"/>
    <w:rsid w:val="00640B26"/>
    <w:rsid w:val="00641130"/>
    <w:rsid w:val="00657323"/>
    <w:rsid w:val="00667AB8"/>
    <w:rsid w:val="006770B2"/>
    <w:rsid w:val="006940E1"/>
    <w:rsid w:val="006A3C72"/>
    <w:rsid w:val="006A7392"/>
    <w:rsid w:val="006B03A1"/>
    <w:rsid w:val="006B67D9"/>
    <w:rsid w:val="006C5535"/>
    <w:rsid w:val="006D0196"/>
    <w:rsid w:val="006D0589"/>
    <w:rsid w:val="006D34A4"/>
    <w:rsid w:val="006E564B"/>
    <w:rsid w:val="006E7154"/>
    <w:rsid w:val="006F574E"/>
    <w:rsid w:val="007003CD"/>
    <w:rsid w:val="0070701E"/>
    <w:rsid w:val="007070A5"/>
    <w:rsid w:val="0071067D"/>
    <w:rsid w:val="007131DD"/>
    <w:rsid w:val="00723713"/>
    <w:rsid w:val="0072632A"/>
    <w:rsid w:val="007358E8"/>
    <w:rsid w:val="00736ECE"/>
    <w:rsid w:val="0074533B"/>
    <w:rsid w:val="007643BC"/>
    <w:rsid w:val="0076548B"/>
    <w:rsid w:val="00767EA7"/>
    <w:rsid w:val="00776A28"/>
    <w:rsid w:val="0078303B"/>
    <w:rsid w:val="007959FE"/>
    <w:rsid w:val="007A0CF1"/>
    <w:rsid w:val="007A7D9B"/>
    <w:rsid w:val="007B6BA5"/>
    <w:rsid w:val="007C3390"/>
    <w:rsid w:val="007C42D8"/>
    <w:rsid w:val="007C4F4B"/>
    <w:rsid w:val="007D2E09"/>
    <w:rsid w:val="007D7362"/>
    <w:rsid w:val="007F07A7"/>
    <w:rsid w:val="007F5CE2"/>
    <w:rsid w:val="007F6611"/>
    <w:rsid w:val="0080196F"/>
    <w:rsid w:val="0080321A"/>
    <w:rsid w:val="00810BAC"/>
    <w:rsid w:val="008175E9"/>
    <w:rsid w:val="00817F5C"/>
    <w:rsid w:val="008242D7"/>
    <w:rsid w:val="0082577B"/>
    <w:rsid w:val="0084673D"/>
    <w:rsid w:val="00860685"/>
    <w:rsid w:val="00866893"/>
    <w:rsid w:val="00866F02"/>
    <w:rsid w:val="00867D18"/>
    <w:rsid w:val="008701A6"/>
    <w:rsid w:val="00871F9A"/>
    <w:rsid w:val="00871FD5"/>
    <w:rsid w:val="0088172E"/>
    <w:rsid w:val="00881EFA"/>
    <w:rsid w:val="008838DF"/>
    <w:rsid w:val="008979B1"/>
    <w:rsid w:val="008A41D9"/>
    <w:rsid w:val="008A6B25"/>
    <w:rsid w:val="008A6C4F"/>
    <w:rsid w:val="008A7B48"/>
    <w:rsid w:val="008B389E"/>
    <w:rsid w:val="008B7964"/>
    <w:rsid w:val="008B7DE6"/>
    <w:rsid w:val="008D045E"/>
    <w:rsid w:val="008D3E9F"/>
    <w:rsid w:val="008D3F25"/>
    <w:rsid w:val="008D4D82"/>
    <w:rsid w:val="008E0E46"/>
    <w:rsid w:val="008E2B6F"/>
    <w:rsid w:val="008E47FA"/>
    <w:rsid w:val="008E7116"/>
    <w:rsid w:val="008F143B"/>
    <w:rsid w:val="008F3882"/>
    <w:rsid w:val="008F4B7C"/>
    <w:rsid w:val="00910D7D"/>
    <w:rsid w:val="00913AB7"/>
    <w:rsid w:val="00921E98"/>
    <w:rsid w:val="009265B3"/>
    <w:rsid w:val="00926E47"/>
    <w:rsid w:val="009315E2"/>
    <w:rsid w:val="00947162"/>
    <w:rsid w:val="00961388"/>
    <w:rsid w:val="0096375C"/>
    <w:rsid w:val="009662E6"/>
    <w:rsid w:val="0097095E"/>
    <w:rsid w:val="00975DFF"/>
    <w:rsid w:val="0098592B"/>
    <w:rsid w:val="00985FC4"/>
    <w:rsid w:val="00990766"/>
    <w:rsid w:val="00991261"/>
    <w:rsid w:val="009964C4"/>
    <w:rsid w:val="00996735"/>
    <w:rsid w:val="009A7B81"/>
    <w:rsid w:val="009D01C0"/>
    <w:rsid w:val="009D1C29"/>
    <w:rsid w:val="009D6A08"/>
    <w:rsid w:val="009D78BE"/>
    <w:rsid w:val="009E0A16"/>
    <w:rsid w:val="009E7970"/>
    <w:rsid w:val="009F2EAC"/>
    <w:rsid w:val="009F57E3"/>
    <w:rsid w:val="00A10F4F"/>
    <w:rsid w:val="00A11067"/>
    <w:rsid w:val="00A129A0"/>
    <w:rsid w:val="00A1704A"/>
    <w:rsid w:val="00A425EB"/>
    <w:rsid w:val="00A50BD5"/>
    <w:rsid w:val="00A65B63"/>
    <w:rsid w:val="00A72F22"/>
    <w:rsid w:val="00A733BC"/>
    <w:rsid w:val="00A748A6"/>
    <w:rsid w:val="00A76A69"/>
    <w:rsid w:val="00A879A4"/>
    <w:rsid w:val="00AB2A4A"/>
    <w:rsid w:val="00AC0F2C"/>
    <w:rsid w:val="00AC502A"/>
    <w:rsid w:val="00AF58C1"/>
    <w:rsid w:val="00B06643"/>
    <w:rsid w:val="00B15055"/>
    <w:rsid w:val="00B222AF"/>
    <w:rsid w:val="00B2542A"/>
    <w:rsid w:val="00B30179"/>
    <w:rsid w:val="00B33A88"/>
    <w:rsid w:val="00B37B15"/>
    <w:rsid w:val="00B45C02"/>
    <w:rsid w:val="00B51C59"/>
    <w:rsid w:val="00B53C63"/>
    <w:rsid w:val="00B567C4"/>
    <w:rsid w:val="00B72A1E"/>
    <w:rsid w:val="00B75F26"/>
    <w:rsid w:val="00B81E12"/>
    <w:rsid w:val="00B92269"/>
    <w:rsid w:val="00BA339B"/>
    <w:rsid w:val="00BA6E3F"/>
    <w:rsid w:val="00BC021A"/>
    <w:rsid w:val="00BC1E7E"/>
    <w:rsid w:val="00BC4A1A"/>
    <w:rsid w:val="00BC74E9"/>
    <w:rsid w:val="00BE36A9"/>
    <w:rsid w:val="00BE618E"/>
    <w:rsid w:val="00BE7BEC"/>
    <w:rsid w:val="00BF0A5A"/>
    <w:rsid w:val="00BF0E63"/>
    <w:rsid w:val="00BF12A3"/>
    <w:rsid w:val="00BF16D7"/>
    <w:rsid w:val="00BF2373"/>
    <w:rsid w:val="00C044E2"/>
    <w:rsid w:val="00C048CB"/>
    <w:rsid w:val="00C066F3"/>
    <w:rsid w:val="00C11D78"/>
    <w:rsid w:val="00C179E4"/>
    <w:rsid w:val="00C17D7C"/>
    <w:rsid w:val="00C463DD"/>
    <w:rsid w:val="00C745C3"/>
    <w:rsid w:val="00C80747"/>
    <w:rsid w:val="00C818FC"/>
    <w:rsid w:val="00C8422B"/>
    <w:rsid w:val="00C97DDF"/>
    <w:rsid w:val="00CA24A4"/>
    <w:rsid w:val="00CB01B3"/>
    <w:rsid w:val="00CB1BB9"/>
    <w:rsid w:val="00CB348D"/>
    <w:rsid w:val="00CB4FE8"/>
    <w:rsid w:val="00CC4EDE"/>
    <w:rsid w:val="00CD318B"/>
    <w:rsid w:val="00CD46F5"/>
    <w:rsid w:val="00CE4A8F"/>
    <w:rsid w:val="00CF071D"/>
    <w:rsid w:val="00D10DB8"/>
    <w:rsid w:val="00D15B04"/>
    <w:rsid w:val="00D2031B"/>
    <w:rsid w:val="00D25FE2"/>
    <w:rsid w:val="00D37DA9"/>
    <w:rsid w:val="00D406A7"/>
    <w:rsid w:val="00D43252"/>
    <w:rsid w:val="00D44D86"/>
    <w:rsid w:val="00D50B7D"/>
    <w:rsid w:val="00D52012"/>
    <w:rsid w:val="00D54A69"/>
    <w:rsid w:val="00D5564F"/>
    <w:rsid w:val="00D704E5"/>
    <w:rsid w:val="00D72727"/>
    <w:rsid w:val="00D7526D"/>
    <w:rsid w:val="00D752AE"/>
    <w:rsid w:val="00D87200"/>
    <w:rsid w:val="00D973C4"/>
    <w:rsid w:val="00D978C6"/>
    <w:rsid w:val="00DA0956"/>
    <w:rsid w:val="00DA357F"/>
    <w:rsid w:val="00DA3E12"/>
    <w:rsid w:val="00DB2D60"/>
    <w:rsid w:val="00DC18AD"/>
    <w:rsid w:val="00DD469C"/>
    <w:rsid w:val="00DE591A"/>
    <w:rsid w:val="00DF19DD"/>
    <w:rsid w:val="00DF2EA3"/>
    <w:rsid w:val="00DF7CAE"/>
    <w:rsid w:val="00E03002"/>
    <w:rsid w:val="00E15023"/>
    <w:rsid w:val="00E225DF"/>
    <w:rsid w:val="00E423C0"/>
    <w:rsid w:val="00E450D1"/>
    <w:rsid w:val="00E6414C"/>
    <w:rsid w:val="00E7260F"/>
    <w:rsid w:val="00E74CB3"/>
    <w:rsid w:val="00E77B38"/>
    <w:rsid w:val="00E862BF"/>
    <w:rsid w:val="00E8702D"/>
    <w:rsid w:val="00E916A9"/>
    <w:rsid w:val="00E916DE"/>
    <w:rsid w:val="00E96630"/>
    <w:rsid w:val="00EB4DD0"/>
    <w:rsid w:val="00EC7D75"/>
    <w:rsid w:val="00ED18DC"/>
    <w:rsid w:val="00ED6201"/>
    <w:rsid w:val="00ED7A2A"/>
    <w:rsid w:val="00EF1D7F"/>
    <w:rsid w:val="00F0137E"/>
    <w:rsid w:val="00F035E5"/>
    <w:rsid w:val="00F17B25"/>
    <w:rsid w:val="00F21786"/>
    <w:rsid w:val="00F3742B"/>
    <w:rsid w:val="00F54CE5"/>
    <w:rsid w:val="00F56D63"/>
    <w:rsid w:val="00F609A9"/>
    <w:rsid w:val="00F63C32"/>
    <w:rsid w:val="00F74F9A"/>
    <w:rsid w:val="00F75677"/>
    <w:rsid w:val="00F80C99"/>
    <w:rsid w:val="00F867EC"/>
    <w:rsid w:val="00F86FF8"/>
    <w:rsid w:val="00F91B2B"/>
    <w:rsid w:val="00FB205F"/>
    <w:rsid w:val="00FC03CD"/>
    <w:rsid w:val="00FC0646"/>
    <w:rsid w:val="00FC509F"/>
    <w:rsid w:val="00FC68B7"/>
    <w:rsid w:val="00FC7BA3"/>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character" w:customStyle="1" w:styleId="SingleTxtGCar">
    <w:name w:val="_ Single Txt_G Car"/>
    <w:link w:val="SingleTxtG"/>
    <w:rsid w:val="00593CC2"/>
    <w:rPr>
      <w:lang w:val="en-GB" w:eastAsia="en-US" w:bidi="ar-SA"/>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2"/>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F035E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emmes.t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2</Pages>
  <Words>27233</Words>
  <Characters>143795</Characters>
  <Application>Microsoft Office Word</Application>
  <DocSecurity>4</DocSecurity>
  <Lines>3125</Lines>
  <Paragraphs>1628</Paragraphs>
  <ScaleCrop>false</ScaleCrop>
  <HeadingPairs>
    <vt:vector size="2" baseType="variant">
      <vt:variant>
        <vt:lpstr>Titre</vt:lpstr>
      </vt:variant>
      <vt:variant>
        <vt:i4>1</vt:i4>
      </vt:variant>
    </vt:vector>
  </HeadingPairs>
  <TitlesOfParts>
    <vt:vector size="1" baseType="lpstr">
      <vt:lpstr>CEDAW/C/TUN/Q/6/Add.1</vt:lpstr>
    </vt:vector>
  </TitlesOfParts>
  <Company>CSD</Company>
  <LinksUpToDate>false</LinksUpToDate>
  <CharactersWithSpaces>169400</CharactersWithSpaces>
  <SharedDoc>false</SharedDoc>
  <HLinks>
    <vt:vector size="6" baseType="variant">
      <vt:variant>
        <vt:i4>327775</vt:i4>
      </vt:variant>
      <vt:variant>
        <vt:i4>0</vt:i4>
      </vt:variant>
      <vt:variant>
        <vt:i4>0</vt:i4>
      </vt:variant>
      <vt:variant>
        <vt:i4>5</vt:i4>
      </vt:variant>
      <vt:variant>
        <vt:lpwstr>http://www.femmes.tn/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CEDAW/C/TUN/Q/6/Add.1</dc:title>
  <dc:subject/>
  <dc:creator>VIGNY</dc:creator>
  <cp:keywords/>
  <dc:description/>
  <cp:lastModifiedBy>VIGNY</cp:lastModifiedBy>
  <cp:revision>2</cp:revision>
  <cp:lastPrinted>2010-04-12T13:43:00Z</cp:lastPrinted>
  <dcterms:created xsi:type="dcterms:W3CDTF">2010-09-03T13:52:00Z</dcterms:created>
  <dcterms:modified xsi:type="dcterms:W3CDTF">2010-09-03T13:52:00Z</dcterms:modified>
</cp:coreProperties>
</file>