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F31CD" w:rsidP="008F31CD">
            <w:pPr>
              <w:bidi w:val="0"/>
              <w:spacing w:after="20"/>
              <w:jc w:val="left"/>
              <w:rPr>
                <w:szCs w:val="20"/>
              </w:rPr>
            </w:pPr>
            <w:r w:rsidRPr="008F31CD">
              <w:rPr>
                <w:sz w:val="40"/>
                <w:szCs w:val="20"/>
              </w:rPr>
              <w:t>CEDAW</w:t>
            </w:r>
            <w:r>
              <w:rPr>
                <w:szCs w:val="20"/>
              </w:rPr>
              <w:t>/C/TJK/Q/4-5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8F31CD" w:rsidRDefault="008F31CD" w:rsidP="008F31CD">
            <w:pPr>
              <w:bidi w:val="0"/>
              <w:spacing w:before="240"/>
              <w:jc w:val="left"/>
            </w:pPr>
            <w:r>
              <w:t>Distr.: General</w:t>
            </w:r>
          </w:p>
          <w:p w:rsidR="008F31CD" w:rsidRDefault="008F31CD" w:rsidP="008F31CD">
            <w:pPr>
              <w:bidi w:val="0"/>
              <w:jc w:val="left"/>
            </w:pPr>
            <w:r>
              <w:t>20 March 2013</w:t>
            </w:r>
          </w:p>
          <w:p w:rsidR="008F31CD" w:rsidRDefault="008F31CD" w:rsidP="008F31CD">
            <w:pPr>
              <w:bidi w:val="0"/>
              <w:jc w:val="left"/>
            </w:pPr>
            <w:r>
              <w:t>Arabic</w:t>
            </w:r>
          </w:p>
          <w:p w:rsidR="00257225" w:rsidRPr="008B4BC6" w:rsidRDefault="008F31CD" w:rsidP="008F31CD">
            <w:pPr>
              <w:bidi w:val="0"/>
              <w:jc w:val="left"/>
            </w:pPr>
            <w:r>
              <w:t>Original: English</w:t>
            </w:r>
          </w:p>
        </w:tc>
      </w:tr>
    </w:tbl>
    <w:p w:rsidR="0092378C" w:rsidRPr="0092378C" w:rsidRDefault="0092378C" w:rsidP="0092378C">
      <w:pPr>
        <w:spacing w:before="120" w:line="380" w:lineRule="exact"/>
        <w:rPr>
          <w:rFonts w:hint="cs"/>
          <w:b/>
          <w:bCs/>
          <w:sz w:val="36"/>
          <w:szCs w:val="36"/>
          <w:rtl/>
        </w:rPr>
      </w:pPr>
      <w:r w:rsidRPr="0092378C">
        <w:rPr>
          <w:rFonts w:hint="cs"/>
          <w:b/>
          <w:bCs/>
          <w:sz w:val="36"/>
          <w:szCs w:val="36"/>
          <w:rtl/>
        </w:rPr>
        <w:t>اللجنة المعنية بالقضاء على التمييز ضد المرأة</w:t>
      </w:r>
    </w:p>
    <w:p w:rsidR="0092378C" w:rsidRPr="0092378C" w:rsidRDefault="0092378C" w:rsidP="0092378C">
      <w:pPr>
        <w:spacing w:line="380" w:lineRule="exact"/>
        <w:rPr>
          <w:rFonts w:hint="cs"/>
          <w:b/>
          <w:bCs/>
          <w:sz w:val="30"/>
          <w:rtl/>
        </w:rPr>
      </w:pPr>
      <w:r w:rsidRPr="0092378C">
        <w:rPr>
          <w:rFonts w:hint="cs"/>
          <w:b/>
          <w:bCs/>
          <w:sz w:val="30"/>
          <w:rtl/>
        </w:rPr>
        <w:t>الدورة السادسة والخمسون</w:t>
      </w:r>
    </w:p>
    <w:p w:rsidR="0092378C" w:rsidRDefault="0092378C" w:rsidP="0092378C">
      <w:pPr>
        <w:spacing w:line="380" w:lineRule="exact"/>
        <w:rPr>
          <w:rFonts w:hint="cs"/>
          <w:sz w:val="30"/>
          <w:rtl/>
        </w:rPr>
      </w:pPr>
      <w:r w:rsidRPr="0092378C">
        <w:rPr>
          <w:rFonts w:hint="cs"/>
          <w:sz w:val="30"/>
          <w:rtl/>
        </w:rPr>
        <w:t>30 أيلول/سبتمبر - 18 تشرين الأول/أكتوبر 2013</w:t>
      </w:r>
    </w:p>
    <w:p w:rsidR="0092378C" w:rsidRPr="0092378C" w:rsidRDefault="0092378C" w:rsidP="0092378C">
      <w:pPr>
        <w:spacing w:line="380" w:lineRule="exact"/>
        <w:rPr>
          <w:rFonts w:hint="cs"/>
          <w:sz w:val="30"/>
          <w:rtl/>
        </w:rPr>
      </w:pPr>
      <w:r>
        <w:rPr>
          <w:rFonts w:hint="cs"/>
          <w:sz w:val="30"/>
          <w:rtl/>
        </w:rPr>
        <w:t>البند 4 من جدول الأعمال المؤقت</w:t>
      </w:r>
    </w:p>
    <w:p w:rsidR="0092378C" w:rsidRPr="0092378C" w:rsidRDefault="0092378C" w:rsidP="0092378C">
      <w:pPr>
        <w:spacing w:line="380" w:lineRule="exact"/>
        <w:rPr>
          <w:rFonts w:hint="cs"/>
          <w:b/>
          <w:bCs/>
          <w:sz w:val="30"/>
          <w:rtl/>
        </w:rPr>
      </w:pPr>
      <w:r w:rsidRPr="0092378C">
        <w:rPr>
          <w:rFonts w:hint="cs"/>
          <w:b/>
          <w:bCs/>
          <w:sz w:val="30"/>
          <w:rtl/>
        </w:rPr>
        <w:t>النظر في التقارير المقدمة من الدول الأطراف بموجب المادة 18</w:t>
      </w:r>
    </w:p>
    <w:p w:rsidR="0092378C" w:rsidRPr="0092378C" w:rsidRDefault="0092378C" w:rsidP="0092378C">
      <w:pPr>
        <w:spacing w:line="380" w:lineRule="exact"/>
        <w:rPr>
          <w:rFonts w:hint="cs"/>
          <w:b/>
          <w:bCs/>
          <w:sz w:val="30"/>
          <w:rtl/>
        </w:rPr>
      </w:pPr>
      <w:r w:rsidRPr="0092378C">
        <w:rPr>
          <w:rFonts w:hint="cs"/>
          <w:b/>
          <w:bCs/>
          <w:sz w:val="30"/>
          <w:rtl/>
        </w:rPr>
        <w:t>من اتفاقية القضاء على جميع أشكال التمييز ضد المرأة</w:t>
      </w:r>
    </w:p>
    <w:p w:rsidR="0092378C" w:rsidRPr="0092378C" w:rsidRDefault="00344D62" w:rsidP="00FA0C45">
      <w:pPr>
        <w:pStyle w:val="HChGA"/>
        <w:rPr>
          <w:rFonts w:hint="cs"/>
          <w:rtl/>
        </w:rPr>
      </w:pPr>
      <w:r>
        <w:rPr>
          <w:rFonts w:hint="cs"/>
          <w:rtl/>
        </w:rPr>
        <w:tab/>
      </w:r>
      <w:r>
        <w:rPr>
          <w:rtl/>
        </w:rPr>
        <w:tab/>
      </w:r>
      <w:r w:rsidR="0092378C" w:rsidRPr="005D6389">
        <w:rPr>
          <w:rtl/>
        </w:rPr>
        <w:t xml:space="preserve">قائمة القضايا </w:t>
      </w:r>
      <w:r w:rsidR="00FA0C45">
        <w:rPr>
          <w:rFonts w:hint="cs"/>
          <w:rtl/>
        </w:rPr>
        <w:t xml:space="preserve">في سياق النظر في </w:t>
      </w:r>
      <w:r w:rsidR="0092378C">
        <w:rPr>
          <w:rFonts w:hint="cs"/>
          <w:rtl/>
        </w:rPr>
        <w:t xml:space="preserve">التقرير الجامع للتقريرين الدوريين الرابع والخامس </w:t>
      </w:r>
      <w:proofErr w:type="spellStart"/>
      <w:r w:rsidR="0092378C">
        <w:rPr>
          <w:rFonts w:hint="cs"/>
          <w:rtl/>
        </w:rPr>
        <w:t>لطاجيكستان</w:t>
      </w:r>
      <w:proofErr w:type="spellEnd"/>
    </w:p>
    <w:p w:rsidR="004E4EAA" w:rsidRPr="00A829A8" w:rsidRDefault="00A56469" w:rsidP="00A56469">
      <w:pPr>
        <w:pStyle w:val="H1GA"/>
        <w:rPr>
          <w:rFonts w:hint="cs"/>
          <w:rtl/>
        </w:rPr>
      </w:pPr>
      <w:r>
        <w:rPr>
          <w:rtl/>
        </w:rPr>
        <w:tab/>
      </w:r>
      <w:r>
        <w:rPr>
          <w:rFonts w:hint="cs"/>
          <w:rtl/>
        </w:rPr>
        <w:tab/>
      </w:r>
      <w:r w:rsidR="004E4EAA" w:rsidRPr="00A829A8">
        <w:rPr>
          <w:rFonts w:hint="cs"/>
          <w:rtl/>
        </w:rPr>
        <w:t>مذكرة من اللجنة</w:t>
      </w:r>
    </w:p>
    <w:p w:rsidR="004E4EAA" w:rsidRDefault="00ED6CDE" w:rsidP="00941DD1">
      <w:pPr>
        <w:pStyle w:val="SingleTxtGA"/>
        <w:rPr>
          <w:rFonts w:hint="cs"/>
          <w:sz w:val="22"/>
          <w:rtl/>
        </w:rPr>
      </w:pPr>
      <w:r>
        <w:rPr>
          <w:rFonts w:hint="cs"/>
          <w:rtl/>
        </w:rPr>
        <w:tab/>
      </w:r>
      <w:r w:rsidR="004E4EAA">
        <w:rPr>
          <w:rtl/>
        </w:rPr>
        <w:t xml:space="preserve">نظر </w:t>
      </w:r>
      <w:r w:rsidR="004E4EAA">
        <w:rPr>
          <w:rFonts w:hint="cs"/>
          <w:rtl/>
        </w:rPr>
        <w:t>"</w:t>
      </w:r>
      <w:r w:rsidR="004E4EAA">
        <w:rPr>
          <w:rtl/>
        </w:rPr>
        <w:t>الفريق العامل</w:t>
      </w:r>
      <w:r w:rsidR="004E4EAA">
        <w:rPr>
          <w:rFonts w:hint="cs"/>
          <w:rtl/>
        </w:rPr>
        <w:t xml:space="preserve"> قبل </w:t>
      </w:r>
      <w:r w:rsidR="004E4EAA">
        <w:rPr>
          <w:rtl/>
        </w:rPr>
        <w:t>الدورة</w:t>
      </w:r>
      <w:r w:rsidR="004E4EAA">
        <w:rPr>
          <w:rFonts w:hint="cs"/>
          <w:rtl/>
        </w:rPr>
        <w:t>"</w:t>
      </w:r>
      <w:r w:rsidR="004E4EAA">
        <w:rPr>
          <w:rtl/>
        </w:rPr>
        <w:t xml:space="preserve"> في تقرير</w:t>
      </w:r>
      <w:r w:rsidR="004E4EAA">
        <w:rPr>
          <w:rFonts w:hint="cs"/>
          <w:rtl/>
        </w:rPr>
        <w:t xml:space="preserve"> </w:t>
      </w:r>
      <w:proofErr w:type="spellStart"/>
      <w:r w:rsidR="004E4EAA">
        <w:rPr>
          <w:rFonts w:hint="cs"/>
          <w:rtl/>
        </w:rPr>
        <w:t>طاجيكستان</w:t>
      </w:r>
      <w:proofErr w:type="spellEnd"/>
      <w:r w:rsidR="004E4EAA">
        <w:rPr>
          <w:rtl/>
        </w:rPr>
        <w:t xml:space="preserve"> الجامع للتقريرين الدوريين الرابع والخامس (</w:t>
      </w:r>
      <w:r w:rsidR="004E4EAA">
        <w:t>CEDAW/C/TJK/4-5</w:t>
      </w:r>
      <w:r w:rsidR="004E4EAA">
        <w:rPr>
          <w:rtl/>
        </w:rPr>
        <w:t>).</w:t>
      </w:r>
    </w:p>
    <w:p w:rsidR="004E4EAA" w:rsidRPr="00A829A8" w:rsidRDefault="002D2924" w:rsidP="002D2924">
      <w:pPr>
        <w:pStyle w:val="H23GA"/>
        <w:rPr>
          <w:rFonts w:hint="cs"/>
          <w:rtl/>
        </w:rPr>
      </w:pPr>
      <w:r>
        <w:rPr>
          <w:rFonts w:hint="cs"/>
          <w:rtl/>
        </w:rPr>
        <w:tab/>
      </w:r>
      <w:r>
        <w:rPr>
          <w:rFonts w:hint="cs"/>
          <w:rtl/>
        </w:rPr>
        <w:tab/>
      </w:r>
      <w:r w:rsidR="004E4EAA" w:rsidRPr="00A829A8">
        <w:rPr>
          <w:rFonts w:hint="cs"/>
          <w:rtl/>
        </w:rPr>
        <w:t>مسائل عامة</w:t>
      </w:r>
    </w:p>
    <w:p w:rsidR="004E4EAA" w:rsidRDefault="004E4EAA" w:rsidP="007072EA">
      <w:pPr>
        <w:pStyle w:val="SingleTxtGA"/>
        <w:rPr>
          <w:rFonts w:hint="cs"/>
          <w:rtl/>
        </w:rPr>
      </w:pPr>
      <w:r>
        <w:rPr>
          <w:rFonts w:hint="cs"/>
          <w:rtl/>
        </w:rPr>
        <w:t>1-</w:t>
      </w:r>
      <w:r>
        <w:rPr>
          <w:rFonts w:hint="cs"/>
          <w:rtl/>
        </w:rPr>
        <w:tab/>
      </w:r>
      <w:r>
        <w:rPr>
          <w:rtl/>
        </w:rPr>
        <w:t>ي</w:t>
      </w:r>
      <w:r>
        <w:rPr>
          <w:rFonts w:hint="cs"/>
          <w:rtl/>
        </w:rPr>
        <w:t>ُ</w:t>
      </w:r>
      <w:r>
        <w:rPr>
          <w:rtl/>
        </w:rPr>
        <w:t>رجى تقديم معلومات عن عملية إعداد التقرير</w:t>
      </w:r>
      <w:r>
        <w:rPr>
          <w:rFonts w:hint="cs"/>
          <w:rtl/>
        </w:rPr>
        <w:t xml:space="preserve"> الجامع للتقريرين الدوريين الرابع والخامس، والإشارة إلى ما إذا كانت الحكومة </w:t>
      </w:r>
      <w:r w:rsidR="007072EA">
        <w:rPr>
          <w:rFonts w:hint="cs"/>
          <w:rtl/>
        </w:rPr>
        <w:t xml:space="preserve">قد </w:t>
      </w:r>
      <w:r>
        <w:rPr>
          <w:rFonts w:hint="cs"/>
          <w:rtl/>
        </w:rPr>
        <w:t xml:space="preserve">اعتمدت التقرير، </w:t>
      </w:r>
      <w:r w:rsidR="007072EA">
        <w:rPr>
          <w:rFonts w:hint="cs"/>
          <w:rtl/>
        </w:rPr>
        <w:t>وعرضته</w:t>
      </w:r>
      <w:r>
        <w:rPr>
          <w:rFonts w:hint="cs"/>
          <w:rtl/>
        </w:rPr>
        <w:t xml:space="preserve"> على البرلمان؛ وتوضيح ما إذا كانت المنظمات غير الحكومية، لاسيما المنظمات النسائية، شاركت في هذه العملية، وإلى أي مدى، والإشارة إلى ما إذا كان ديوان المظالم استشير في إعداد التقرير.</w:t>
      </w:r>
    </w:p>
    <w:p w:rsidR="004E4EAA" w:rsidRDefault="004E4EAA" w:rsidP="009C1469">
      <w:pPr>
        <w:pStyle w:val="SingleTxtGA"/>
        <w:rPr>
          <w:rFonts w:hint="cs"/>
          <w:sz w:val="22"/>
          <w:rtl/>
        </w:rPr>
      </w:pPr>
      <w:r>
        <w:rPr>
          <w:rFonts w:hint="cs"/>
          <w:sz w:val="22"/>
          <w:rtl/>
        </w:rPr>
        <w:t>2-</w:t>
      </w:r>
      <w:r>
        <w:rPr>
          <w:rFonts w:hint="cs"/>
          <w:sz w:val="22"/>
          <w:rtl/>
        </w:rPr>
        <w:tab/>
        <w:t>ويذكر</w:t>
      </w:r>
      <w:r>
        <w:rPr>
          <w:sz w:val="22"/>
          <w:vertAlign w:val="superscript"/>
          <w:rtl/>
        </w:rPr>
        <w:t>(</w:t>
      </w:r>
      <w:r>
        <w:rPr>
          <w:rStyle w:val="FootnoteReference"/>
          <w:sz w:val="22"/>
          <w:rtl/>
        </w:rPr>
        <w:footnoteReference w:id="1"/>
      </w:r>
      <w:r w:rsidRPr="001A6DA9">
        <w:rPr>
          <w:sz w:val="22"/>
          <w:vertAlign w:val="superscript"/>
          <w:rtl/>
        </w:rPr>
        <w:t>)</w:t>
      </w:r>
      <w:r>
        <w:rPr>
          <w:rFonts w:hint="cs"/>
          <w:sz w:val="22"/>
          <w:rtl/>
        </w:rPr>
        <w:t xml:space="preserve"> التقرير (الفقرة 9) أن المادة 10 من الدستور تنص على أن </w:t>
      </w:r>
      <w:r>
        <w:rPr>
          <w:rtl/>
        </w:rPr>
        <w:t xml:space="preserve">الصكوك القانونية الدولية التي تعترف بها </w:t>
      </w:r>
      <w:proofErr w:type="spellStart"/>
      <w:r>
        <w:rPr>
          <w:rtl/>
        </w:rPr>
        <w:t>طاجيكستان</w:t>
      </w:r>
      <w:proofErr w:type="spellEnd"/>
      <w:r>
        <w:rPr>
          <w:rtl/>
        </w:rPr>
        <w:t xml:space="preserve"> </w:t>
      </w:r>
      <w:r>
        <w:rPr>
          <w:rFonts w:hint="cs"/>
          <w:rtl/>
        </w:rPr>
        <w:t>جزء</w:t>
      </w:r>
      <w:r>
        <w:rPr>
          <w:rtl/>
        </w:rPr>
        <w:t xml:space="preserve"> من نظام البلاد القانوني. و</w:t>
      </w:r>
      <w:r>
        <w:rPr>
          <w:rFonts w:hint="cs"/>
          <w:rtl/>
        </w:rPr>
        <w:t>متى تنازعت</w:t>
      </w:r>
      <w:r>
        <w:rPr>
          <w:rtl/>
        </w:rPr>
        <w:t xml:space="preserve"> القوانين </w:t>
      </w:r>
      <w:r>
        <w:rPr>
          <w:rFonts w:hint="cs"/>
          <w:rtl/>
        </w:rPr>
        <w:t>المحلية</w:t>
      </w:r>
      <w:r>
        <w:rPr>
          <w:rtl/>
        </w:rPr>
        <w:t xml:space="preserve"> والصكوك القانونية الدولية المعترف بها</w:t>
      </w:r>
      <w:r>
        <w:rPr>
          <w:rFonts w:hint="cs"/>
          <w:rtl/>
        </w:rPr>
        <w:t>، طُبقت</w:t>
      </w:r>
      <w:r>
        <w:rPr>
          <w:rtl/>
        </w:rPr>
        <w:t xml:space="preserve"> أحكام الصكوك القانونية الدولية</w:t>
      </w:r>
      <w:r>
        <w:rPr>
          <w:rFonts w:hint="cs"/>
          <w:rtl/>
        </w:rPr>
        <w:t>.</w:t>
      </w:r>
      <w:r>
        <w:rPr>
          <w:rFonts w:hint="cs"/>
          <w:sz w:val="22"/>
          <w:rtl/>
        </w:rPr>
        <w:t xml:space="preserve"> ويرجى تقديم معلومات عن التدابير المتخذة للتأكد من </w:t>
      </w:r>
      <w:r w:rsidR="009C1469">
        <w:rPr>
          <w:rFonts w:hint="cs"/>
          <w:sz w:val="22"/>
          <w:rtl/>
        </w:rPr>
        <w:t>وعي</w:t>
      </w:r>
      <w:r>
        <w:rPr>
          <w:rFonts w:hint="cs"/>
          <w:sz w:val="22"/>
          <w:rtl/>
        </w:rPr>
        <w:t xml:space="preserve"> النساء بحقوقهن وفقا</w:t>
      </w:r>
      <w:r w:rsidR="009C1469">
        <w:rPr>
          <w:rFonts w:hint="cs"/>
          <w:sz w:val="22"/>
          <w:rtl/>
        </w:rPr>
        <w:t>ً</w:t>
      </w:r>
      <w:r>
        <w:rPr>
          <w:rFonts w:hint="cs"/>
          <w:sz w:val="22"/>
          <w:rtl/>
        </w:rPr>
        <w:t xml:space="preserve"> للاتفاقية، </w:t>
      </w:r>
      <w:r w:rsidR="009C1469">
        <w:rPr>
          <w:rFonts w:hint="cs"/>
          <w:sz w:val="22"/>
          <w:rtl/>
        </w:rPr>
        <w:t>وقدرتهن على</w:t>
      </w:r>
      <w:r>
        <w:rPr>
          <w:rFonts w:hint="cs"/>
          <w:sz w:val="22"/>
          <w:rtl/>
        </w:rPr>
        <w:t xml:space="preserve"> الاحتجاج بتلك الحقوق، متى انتُهكت، مثلا</w:t>
      </w:r>
      <w:r w:rsidR="009C1469">
        <w:rPr>
          <w:rFonts w:hint="cs"/>
          <w:sz w:val="22"/>
          <w:rtl/>
        </w:rPr>
        <w:t>ً</w:t>
      </w:r>
      <w:r w:rsidR="003A193B">
        <w:rPr>
          <w:rFonts w:hint="cs"/>
          <w:sz w:val="22"/>
          <w:rtl/>
        </w:rPr>
        <w:t xml:space="preserve"> برف</w:t>
      </w:r>
      <w:r>
        <w:rPr>
          <w:rFonts w:hint="cs"/>
          <w:sz w:val="22"/>
          <w:rtl/>
        </w:rPr>
        <w:t>ع شكاوى عن طريق النظام القانوني. ويرجى أيضا</w:t>
      </w:r>
      <w:r w:rsidR="009C1469">
        <w:rPr>
          <w:rFonts w:hint="cs"/>
          <w:sz w:val="22"/>
          <w:rtl/>
        </w:rPr>
        <w:t>ً</w:t>
      </w:r>
      <w:r>
        <w:rPr>
          <w:rFonts w:hint="cs"/>
          <w:sz w:val="22"/>
          <w:rtl/>
        </w:rPr>
        <w:t xml:space="preserve"> تقديم معلومات عن الدعاوى المرفوعة إلى المحاكم والمتعلقة بالتمييز في حق النساء، وما تخلص إليه تلك الدعاوى، والإشارة إلى ما إذا </w:t>
      </w:r>
      <w:r w:rsidR="009C1469">
        <w:rPr>
          <w:rFonts w:hint="cs"/>
          <w:sz w:val="22"/>
          <w:rtl/>
        </w:rPr>
        <w:t>كانت</w:t>
      </w:r>
      <w:r>
        <w:rPr>
          <w:rFonts w:hint="cs"/>
          <w:sz w:val="22"/>
          <w:rtl/>
        </w:rPr>
        <w:t xml:space="preserve"> الاتفاقية </w:t>
      </w:r>
      <w:r w:rsidR="009C1469">
        <w:rPr>
          <w:rFonts w:hint="cs"/>
          <w:sz w:val="22"/>
          <w:rtl/>
        </w:rPr>
        <w:t xml:space="preserve">قد استُظهر بها أمام </w:t>
      </w:r>
      <w:r>
        <w:rPr>
          <w:rFonts w:hint="cs"/>
          <w:sz w:val="22"/>
          <w:rtl/>
        </w:rPr>
        <w:t>المحاكم.</w:t>
      </w:r>
    </w:p>
    <w:p w:rsidR="004E4EAA" w:rsidRPr="00093219" w:rsidRDefault="005877DD" w:rsidP="00093219">
      <w:pPr>
        <w:pStyle w:val="H23GA"/>
        <w:rPr>
          <w:rFonts w:hint="cs"/>
          <w:rtl/>
        </w:rPr>
      </w:pPr>
      <w:r>
        <w:rPr>
          <w:rFonts w:hint="cs"/>
          <w:rtl/>
        </w:rPr>
        <w:tab/>
      </w:r>
      <w:r>
        <w:rPr>
          <w:rFonts w:hint="cs"/>
          <w:rtl/>
        </w:rPr>
        <w:tab/>
      </w:r>
      <w:r w:rsidR="004E4EAA" w:rsidRPr="00093219">
        <w:rPr>
          <w:rFonts w:hint="cs"/>
          <w:rtl/>
        </w:rPr>
        <w:t>الإطار الدستوري والتشريعي والمؤسسي</w:t>
      </w:r>
    </w:p>
    <w:p w:rsidR="004E4EAA" w:rsidRDefault="004E4EAA" w:rsidP="00E53504">
      <w:pPr>
        <w:pStyle w:val="SingleTxtGA"/>
        <w:rPr>
          <w:rFonts w:hint="cs"/>
          <w:rtl/>
        </w:rPr>
      </w:pPr>
      <w:r>
        <w:rPr>
          <w:rFonts w:hint="cs"/>
          <w:rtl/>
        </w:rPr>
        <w:t>3-</w:t>
      </w:r>
      <w:r>
        <w:rPr>
          <w:rFonts w:hint="cs"/>
          <w:rtl/>
        </w:rPr>
        <w:tab/>
        <w:t xml:space="preserve">يشير التقرير (الفقرة 35) إلى أنه </w:t>
      </w:r>
      <w:r>
        <w:rPr>
          <w:rtl/>
        </w:rPr>
        <w:t>ع</w:t>
      </w:r>
      <w:r>
        <w:rPr>
          <w:rFonts w:hint="cs"/>
          <w:rtl/>
        </w:rPr>
        <w:t>ُ</w:t>
      </w:r>
      <w:r>
        <w:rPr>
          <w:rtl/>
        </w:rPr>
        <w:t>رض على الحكومة</w:t>
      </w:r>
      <w:r w:rsidRPr="00BE6F13">
        <w:rPr>
          <w:rFonts w:hint="cs"/>
          <w:rtl/>
        </w:rPr>
        <w:t xml:space="preserve"> </w:t>
      </w:r>
      <w:r>
        <w:rPr>
          <w:rFonts w:hint="cs"/>
          <w:rtl/>
        </w:rPr>
        <w:t>في</w:t>
      </w:r>
      <w:r>
        <w:rPr>
          <w:rtl/>
        </w:rPr>
        <w:t xml:space="preserve"> عام </w:t>
      </w:r>
      <w:r w:rsidRPr="00EC5BAB">
        <w:rPr>
          <w:rtl/>
        </w:rPr>
        <w:t>2009</w:t>
      </w:r>
      <w:r>
        <w:rPr>
          <w:rtl/>
        </w:rPr>
        <w:t xml:space="preserve"> مشروع استراتيجية وطنية تدعم دور المرأة في </w:t>
      </w:r>
      <w:proofErr w:type="spellStart"/>
      <w:r>
        <w:rPr>
          <w:rtl/>
        </w:rPr>
        <w:t>طاجيكستان</w:t>
      </w:r>
      <w:proofErr w:type="spellEnd"/>
      <w:r>
        <w:rPr>
          <w:rtl/>
        </w:rPr>
        <w:t xml:space="preserve"> </w:t>
      </w:r>
      <w:r>
        <w:rPr>
          <w:rFonts w:hint="cs"/>
          <w:rtl/>
        </w:rPr>
        <w:t>(</w:t>
      </w:r>
      <w:r w:rsidRPr="00EC5BAB">
        <w:rPr>
          <w:rtl/>
        </w:rPr>
        <w:t>2011</w:t>
      </w:r>
      <w:r>
        <w:rPr>
          <w:rtl/>
        </w:rPr>
        <w:t>-</w:t>
      </w:r>
      <w:r w:rsidRPr="00EC5BAB">
        <w:rPr>
          <w:rtl/>
        </w:rPr>
        <w:t>2020</w:t>
      </w:r>
      <w:r>
        <w:rPr>
          <w:rFonts w:hint="cs"/>
          <w:rtl/>
        </w:rPr>
        <w:t>)</w:t>
      </w:r>
      <w:r>
        <w:rPr>
          <w:rtl/>
        </w:rPr>
        <w:t>، لكي تنظر فيه</w:t>
      </w:r>
      <w:r>
        <w:rPr>
          <w:rFonts w:hint="cs"/>
          <w:rtl/>
        </w:rPr>
        <w:t xml:space="preserve">. </w:t>
      </w:r>
      <w:r w:rsidR="00E53504">
        <w:rPr>
          <w:rFonts w:hint="cs"/>
          <w:rtl/>
        </w:rPr>
        <w:t>و</w:t>
      </w:r>
      <w:r>
        <w:rPr>
          <w:rFonts w:hint="cs"/>
          <w:rtl/>
        </w:rPr>
        <w:t>يرجى تقديم آخر المعلومات عن حالة هذه الاستراتيجية الوطنية، والموارد المالية المرصودة لها، والأنشطة المنظمة في إطارها، ومدى تنفيذها.</w:t>
      </w:r>
    </w:p>
    <w:p w:rsidR="004E4EAA" w:rsidRDefault="004E4EAA" w:rsidP="00E53504">
      <w:pPr>
        <w:pStyle w:val="SingleTxtGA"/>
        <w:rPr>
          <w:rFonts w:hint="cs"/>
          <w:rtl/>
        </w:rPr>
      </w:pPr>
      <w:r>
        <w:rPr>
          <w:rFonts w:hint="cs"/>
          <w:rtl/>
        </w:rPr>
        <w:t>4-</w:t>
      </w:r>
      <w:r>
        <w:rPr>
          <w:rFonts w:hint="cs"/>
          <w:rtl/>
        </w:rPr>
        <w:tab/>
        <w:t>ويرجى تقديم معلومات عن ولاية أمين المظالم المعني بحقوق الإنسان (مفوض حقوق الإنسان)، الذي أنشئ منصبه في آذار/مارس 2008، وسلطاته وموارده، وهل يستطيع أمين المظالم تلقي الشكاوى. فإن كان الأمر كذلك، فإلام خلصت تلك الشكاوى. ويرجى أيضا</w:t>
      </w:r>
      <w:r w:rsidR="00B740B5">
        <w:rPr>
          <w:rFonts w:hint="cs"/>
          <w:rtl/>
        </w:rPr>
        <w:t>ً</w:t>
      </w:r>
      <w:r>
        <w:rPr>
          <w:rFonts w:hint="cs"/>
          <w:rtl/>
        </w:rPr>
        <w:t xml:space="preserve"> تقديم معلومات عما يلي: دور الإدارة الخاصة المعنية بحقوق المواطنين وولايتها؛ ومدى العلاقة بين ولايتها وولاية أمين المظالم؛ وضرب أمثلة عن الشكاوى التي تلقتها الإدارة والتي تتعلق بالتمييز في حق المرأة وما انتهت إليه. </w:t>
      </w:r>
    </w:p>
    <w:p w:rsidR="004E4EAA" w:rsidRPr="00093219" w:rsidRDefault="00B740B5" w:rsidP="00093219">
      <w:pPr>
        <w:pStyle w:val="H23GA"/>
        <w:rPr>
          <w:rFonts w:hint="cs"/>
          <w:rtl/>
        </w:rPr>
      </w:pPr>
      <w:r>
        <w:rPr>
          <w:rFonts w:hint="cs"/>
          <w:rtl/>
        </w:rPr>
        <w:tab/>
      </w:r>
      <w:r>
        <w:rPr>
          <w:rFonts w:hint="cs"/>
          <w:rtl/>
        </w:rPr>
        <w:tab/>
      </w:r>
      <w:r w:rsidR="00193D9B">
        <w:rPr>
          <w:rFonts w:hint="cs"/>
          <w:rtl/>
        </w:rPr>
        <w:t>الأجهزة</w:t>
      </w:r>
      <w:r w:rsidR="004E4EAA" w:rsidRPr="00093219">
        <w:rPr>
          <w:rFonts w:hint="cs"/>
          <w:rtl/>
        </w:rPr>
        <w:t xml:space="preserve"> الوطنية</w:t>
      </w:r>
    </w:p>
    <w:p w:rsidR="004E4EAA" w:rsidRDefault="004E4EAA" w:rsidP="00AF0EF6">
      <w:pPr>
        <w:pStyle w:val="SingleTxtGA"/>
        <w:rPr>
          <w:rFonts w:hint="cs"/>
          <w:rtl/>
        </w:rPr>
      </w:pPr>
      <w:r>
        <w:rPr>
          <w:rFonts w:hint="cs"/>
          <w:rtl/>
        </w:rPr>
        <w:t>5-</w:t>
      </w:r>
      <w:r>
        <w:rPr>
          <w:rFonts w:hint="cs"/>
          <w:rtl/>
        </w:rPr>
        <w:tab/>
        <w:t>أعربت اللجنة، في ملاحظاتها الختامية السابقة (</w:t>
      </w:r>
      <w:r>
        <w:t>CEDAW/C/TJK/CO/3</w:t>
      </w:r>
      <w:r>
        <w:rPr>
          <w:rFonts w:hint="cs"/>
          <w:rtl/>
        </w:rPr>
        <w:t>، الفقرة</w:t>
      </w:r>
      <w:r w:rsidR="00892D14">
        <w:rPr>
          <w:rFonts w:hint="eastAsia"/>
          <w:rtl/>
        </w:rPr>
        <w:t> </w:t>
      </w:r>
      <w:r>
        <w:rPr>
          <w:rFonts w:hint="cs"/>
          <w:rtl/>
        </w:rPr>
        <w:t xml:space="preserve">15)، عن قلقها من نقص الميزانية المخصصة </w:t>
      </w:r>
      <w:r w:rsidR="00892D14">
        <w:rPr>
          <w:rFonts w:hint="cs"/>
          <w:rtl/>
        </w:rPr>
        <w:t>لأجهزة</w:t>
      </w:r>
      <w:r>
        <w:rPr>
          <w:rFonts w:hint="cs"/>
          <w:rtl/>
        </w:rPr>
        <w:t xml:space="preserve"> الدولة الطرف الوطنية </w:t>
      </w:r>
      <w:r w:rsidR="00892D14">
        <w:rPr>
          <w:rFonts w:hint="cs"/>
          <w:rtl/>
        </w:rPr>
        <w:t>المعنية با</w:t>
      </w:r>
      <w:r>
        <w:rPr>
          <w:rFonts w:hint="cs"/>
          <w:rtl/>
        </w:rPr>
        <w:t xml:space="preserve">لنهوض بالمرأة، وقلة الموظفين فيها، وضعف قدرتها على التنسيق، </w:t>
      </w:r>
      <w:r w:rsidR="00892D14">
        <w:rPr>
          <w:rFonts w:hint="cs"/>
          <w:rtl/>
        </w:rPr>
        <w:t>بما في ذلك</w:t>
      </w:r>
      <w:r>
        <w:rPr>
          <w:rFonts w:hint="cs"/>
          <w:rtl/>
        </w:rPr>
        <w:t xml:space="preserve"> التنسيق بين الوزارات على </w:t>
      </w:r>
      <w:proofErr w:type="spellStart"/>
      <w:r>
        <w:rPr>
          <w:rFonts w:hint="cs"/>
          <w:rtl/>
        </w:rPr>
        <w:t>الص</w:t>
      </w:r>
      <w:r w:rsidR="004517BF">
        <w:rPr>
          <w:rFonts w:hint="cs"/>
          <w:rtl/>
        </w:rPr>
        <w:t>ُعُ</w:t>
      </w:r>
      <w:r>
        <w:rPr>
          <w:rFonts w:hint="cs"/>
          <w:rtl/>
        </w:rPr>
        <w:t>د</w:t>
      </w:r>
      <w:proofErr w:type="spellEnd"/>
      <w:r>
        <w:rPr>
          <w:rFonts w:hint="cs"/>
          <w:rtl/>
        </w:rPr>
        <w:t xml:space="preserve"> الوطني والإقليمي والمحلي. ويشير التقرير (الفقرة 48) إلى أن عدد موظفي اللجنة المعنية بالمرأة والأسرة يتزايد، ويقدم معلومات عن ميزانيتها، </w:t>
      </w:r>
      <w:r w:rsidR="00892D14">
        <w:rPr>
          <w:rFonts w:hint="cs"/>
          <w:rtl/>
        </w:rPr>
        <w:t>وإن كان ذلك</w:t>
      </w:r>
      <w:r>
        <w:rPr>
          <w:rFonts w:hint="cs"/>
          <w:rtl/>
        </w:rPr>
        <w:t xml:space="preserve"> حتى عام 2010</w:t>
      </w:r>
      <w:r w:rsidR="00892D14">
        <w:rPr>
          <w:rFonts w:hint="cs"/>
          <w:rtl/>
        </w:rPr>
        <w:t xml:space="preserve"> فحسب</w:t>
      </w:r>
      <w:r>
        <w:rPr>
          <w:rFonts w:hint="cs"/>
          <w:rtl/>
        </w:rPr>
        <w:t xml:space="preserve">، ويقدم معلومات محدودة عن ولاية هذه الهيئة. </w:t>
      </w:r>
      <w:r w:rsidR="00892D14">
        <w:rPr>
          <w:rFonts w:hint="cs"/>
          <w:rtl/>
        </w:rPr>
        <w:t>و</w:t>
      </w:r>
      <w:r>
        <w:rPr>
          <w:rFonts w:hint="cs"/>
          <w:rtl/>
        </w:rPr>
        <w:t>يرجى تقديم معلومات مفصلة عن ولاية تلك اللجنة والموارد البشرية والمالية المرصودة لها. ويرجى بيان ما</w:t>
      </w:r>
      <w:r w:rsidR="00AF0EF6">
        <w:rPr>
          <w:rFonts w:hint="eastAsia"/>
          <w:rtl/>
        </w:rPr>
        <w:t> </w:t>
      </w:r>
      <w:r>
        <w:rPr>
          <w:rFonts w:hint="cs"/>
          <w:rtl/>
        </w:rPr>
        <w:t>إذا كانت لديها ولاية وسلطة تنسيق سياسات الحكومة ورصدها وتقييمها على نطاق الوزارات جميعها</w:t>
      </w:r>
      <w:r w:rsidR="00892D14">
        <w:rPr>
          <w:rFonts w:hint="cs"/>
          <w:rtl/>
        </w:rPr>
        <w:t xml:space="preserve"> على المستويات</w:t>
      </w:r>
      <w:r>
        <w:rPr>
          <w:rFonts w:hint="cs"/>
          <w:rtl/>
        </w:rPr>
        <w:t xml:space="preserve"> الوطني والإقليمي والمحلي.</w:t>
      </w:r>
    </w:p>
    <w:p w:rsidR="004E4EAA" w:rsidRPr="00093219" w:rsidRDefault="00502B9D" w:rsidP="00093219">
      <w:pPr>
        <w:pStyle w:val="H23GA"/>
        <w:rPr>
          <w:rFonts w:hint="cs"/>
          <w:rtl/>
        </w:rPr>
      </w:pPr>
      <w:r>
        <w:rPr>
          <w:rFonts w:hint="cs"/>
          <w:rtl/>
        </w:rPr>
        <w:tab/>
      </w:r>
      <w:r>
        <w:rPr>
          <w:rFonts w:hint="cs"/>
          <w:rtl/>
        </w:rPr>
        <w:tab/>
      </w:r>
      <w:r w:rsidR="004E4EAA" w:rsidRPr="00093219">
        <w:rPr>
          <w:rFonts w:hint="cs"/>
          <w:rtl/>
        </w:rPr>
        <w:t>التدابير الخاصة المؤقتة</w:t>
      </w:r>
    </w:p>
    <w:p w:rsidR="004E4EAA" w:rsidRPr="007B10F3" w:rsidRDefault="004E4EAA" w:rsidP="005B1BDA">
      <w:pPr>
        <w:pStyle w:val="SingleTxtGA"/>
        <w:rPr>
          <w:rFonts w:hint="cs"/>
          <w:rtl/>
        </w:rPr>
      </w:pPr>
      <w:r>
        <w:rPr>
          <w:rFonts w:hint="cs"/>
          <w:rtl/>
        </w:rPr>
        <w:t>6-</w:t>
      </w:r>
      <w:r>
        <w:rPr>
          <w:rFonts w:hint="cs"/>
          <w:rtl/>
        </w:rPr>
        <w:tab/>
        <w:t>شجعت اللجنة، في ملاحظاتها الختامية السابقة (</w:t>
      </w:r>
      <w:r>
        <w:t>CEDAW/C/TJK/CO/3</w:t>
      </w:r>
      <w:r>
        <w:rPr>
          <w:rFonts w:hint="cs"/>
          <w:rtl/>
        </w:rPr>
        <w:t>، الفقرة</w:t>
      </w:r>
      <w:r w:rsidR="005B1BDA">
        <w:rPr>
          <w:rFonts w:hint="eastAsia"/>
          <w:rtl/>
        </w:rPr>
        <w:t> </w:t>
      </w:r>
      <w:r>
        <w:rPr>
          <w:rFonts w:hint="cs"/>
          <w:rtl/>
        </w:rPr>
        <w:t>18)،</w:t>
      </w:r>
      <w:r w:rsidR="003249F4">
        <w:rPr>
          <w:rFonts w:hint="cs"/>
          <w:rtl/>
        </w:rPr>
        <w:t xml:space="preserve"> الدولة الطرف على أن توضح قانون</w:t>
      </w:r>
      <w:r>
        <w:rPr>
          <w:rFonts w:hint="cs"/>
          <w:rtl/>
        </w:rPr>
        <w:t>ا</w:t>
      </w:r>
      <w:r w:rsidR="003249F4">
        <w:rPr>
          <w:rFonts w:hint="cs"/>
          <w:rtl/>
        </w:rPr>
        <w:t>ً</w:t>
      </w:r>
      <w:r>
        <w:rPr>
          <w:rFonts w:hint="cs"/>
          <w:rtl/>
        </w:rPr>
        <w:t xml:space="preserve"> تطبيق التدابير الخاصة المؤقتة في جميع المجالات التي تشملها الاتفاقية، و</w:t>
      </w:r>
      <w:r w:rsidR="00A3234F">
        <w:rPr>
          <w:rFonts w:hint="cs"/>
          <w:rtl/>
        </w:rPr>
        <w:t xml:space="preserve">أن </w:t>
      </w:r>
      <w:r>
        <w:rPr>
          <w:rFonts w:hint="cs"/>
          <w:rtl/>
        </w:rPr>
        <w:t>تستعملها بفاعلية. ويشير التقرير إلى بعض الحصص في التعليم و</w:t>
      </w:r>
      <w:r w:rsidR="00A3234F">
        <w:rPr>
          <w:rFonts w:hint="cs"/>
          <w:rtl/>
        </w:rPr>
        <w:t>العمالة، لكنه لا ي</w:t>
      </w:r>
      <w:r>
        <w:rPr>
          <w:rFonts w:hint="cs"/>
          <w:rtl/>
        </w:rPr>
        <w:t xml:space="preserve">عرض صورة واضحة عن تنفيذ التدابير الخاصة المؤقتة في الدولة الطرف، ويشير (الفقرة 54) إلى </w:t>
      </w:r>
      <w:r w:rsidR="00A3234F">
        <w:rPr>
          <w:rFonts w:hint="cs"/>
          <w:rtl/>
        </w:rPr>
        <w:t>أن عزم</w:t>
      </w:r>
      <w:r w:rsidRPr="00566C36">
        <w:rPr>
          <w:spacing w:val="4"/>
          <w:rtl/>
        </w:rPr>
        <w:t xml:space="preserve"> الحكومة </w:t>
      </w:r>
      <w:r w:rsidR="00A3234F">
        <w:rPr>
          <w:rFonts w:hint="cs"/>
          <w:spacing w:val="4"/>
          <w:rtl/>
        </w:rPr>
        <w:t>يجب أن يُعادله</w:t>
      </w:r>
      <w:r w:rsidR="00A3234F">
        <w:rPr>
          <w:spacing w:val="4"/>
          <w:rtl/>
        </w:rPr>
        <w:t xml:space="preserve"> </w:t>
      </w:r>
      <w:r w:rsidRPr="00566C36">
        <w:rPr>
          <w:spacing w:val="4"/>
          <w:rtl/>
        </w:rPr>
        <w:t xml:space="preserve">موقف </w:t>
      </w:r>
      <w:r w:rsidR="00A3234F">
        <w:rPr>
          <w:rFonts w:hint="cs"/>
          <w:spacing w:val="4"/>
          <w:rtl/>
        </w:rPr>
        <w:t>تطلُّعي</w:t>
      </w:r>
      <w:r w:rsidRPr="00566C36">
        <w:rPr>
          <w:spacing w:val="4"/>
          <w:rtl/>
        </w:rPr>
        <w:t xml:space="preserve"> </w:t>
      </w:r>
      <w:r w:rsidR="00A3234F">
        <w:rPr>
          <w:rFonts w:hint="cs"/>
          <w:spacing w:val="4"/>
          <w:rtl/>
        </w:rPr>
        <w:t>من</w:t>
      </w:r>
      <w:r w:rsidRPr="00566C36">
        <w:rPr>
          <w:spacing w:val="4"/>
          <w:rtl/>
        </w:rPr>
        <w:t xml:space="preserve"> النساء أنفسهن</w:t>
      </w:r>
      <w:r>
        <w:rPr>
          <w:rFonts w:hint="cs"/>
          <w:rtl/>
        </w:rPr>
        <w:t xml:space="preserve">. </w:t>
      </w:r>
      <w:r w:rsidR="00A3234F">
        <w:rPr>
          <w:rFonts w:hint="cs"/>
          <w:rtl/>
        </w:rPr>
        <w:t>و</w:t>
      </w:r>
      <w:r>
        <w:rPr>
          <w:rFonts w:hint="cs"/>
          <w:rtl/>
        </w:rPr>
        <w:t>يرجى ضرب أمثلة ملموسة عن التدابير الخاصة المؤقتة التي ينص عليها القانون و</w:t>
      </w:r>
      <w:r w:rsidR="00A3234F">
        <w:rPr>
          <w:rFonts w:hint="cs"/>
          <w:rtl/>
        </w:rPr>
        <w:t xml:space="preserve">عن </w:t>
      </w:r>
      <w:r>
        <w:rPr>
          <w:rFonts w:hint="cs"/>
          <w:rtl/>
        </w:rPr>
        <w:t>إدراجها في السياسات والبرامج الوطنية قصد تشجيع إعمال المساواة الجوهرية بين النساء والرجال</w:t>
      </w:r>
      <w:r w:rsidRPr="00E314D2">
        <w:rPr>
          <w:rFonts w:hint="cs"/>
          <w:rtl/>
        </w:rPr>
        <w:t xml:space="preserve"> </w:t>
      </w:r>
      <w:r>
        <w:rPr>
          <w:rFonts w:hint="cs"/>
          <w:rtl/>
        </w:rPr>
        <w:t xml:space="preserve">وتسريع </w:t>
      </w:r>
      <w:proofErr w:type="spellStart"/>
      <w:r>
        <w:rPr>
          <w:rFonts w:hint="cs"/>
          <w:rtl/>
        </w:rPr>
        <w:t>وتيرته</w:t>
      </w:r>
      <w:proofErr w:type="spellEnd"/>
      <w:r>
        <w:rPr>
          <w:rFonts w:hint="cs"/>
          <w:rtl/>
        </w:rPr>
        <w:t>. ويرجى بيان ما إذا كان القانون ينص على أي عقوبات على عدم الامتثال.</w:t>
      </w:r>
    </w:p>
    <w:p w:rsidR="004E4EAA" w:rsidRPr="00093219" w:rsidRDefault="00033A54" w:rsidP="00093219">
      <w:pPr>
        <w:pStyle w:val="H23GA"/>
        <w:rPr>
          <w:rFonts w:hint="cs"/>
          <w:rtl/>
        </w:rPr>
      </w:pPr>
      <w:r>
        <w:rPr>
          <w:rFonts w:hint="cs"/>
          <w:rtl/>
        </w:rPr>
        <w:tab/>
      </w:r>
      <w:r>
        <w:rPr>
          <w:rFonts w:hint="cs"/>
          <w:rtl/>
        </w:rPr>
        <w:tab/>
      </w:r>
      <w:r w:rsidR="004E4EAA" w:rsidRPr="00093219">
        <w:rPr>
          <w:rFonts w:hint="cs"/>
          <w:rtl/>
        </w:rPr>
        <w:t>القوالب النمطية والممارسات الضارة</w:t>
      </w:r>
    </w:p>
    <w:p w:rsidR="004E4EAA" w:rsidRDefault="004E4EAA" w:rsidP="00A517EC">
      <w:pPr>
        <w:pStyle w:val="SingleTxtGA"/>
        <w:rPr>
          <w:rFonts w:hint="cs"/>
          <w:rtl/>
        </w:rPr>
      </w:pPr>
      <w:r>
        <w:rPr>
          <w:rFonts w:hint="cs"/>
          <w:rtl/>
        </w:rPr>
        <w:t>7-</w:t>
      </w:r>
      <w:r>
        <w:rPr>
          <w:rFonts w:hint="cs"/>
          <w:rtl/>
        </w:rPr>
        <w:tab/>
        <w:t xml:space="preserve">يقر التقرير باستمرار القوالب النمطية الجنسانية في البلد، لكنه لا يقدم إلا </w:t>
      </w:r>
      <w:r w:rsidR="00A517EC">
        <w:rPr>
          <w:rFonts w:hint="cs"/>
          <w:rtl/>
        </w:rPr>
        <w:t>معلومات قليلة عن الإجراءات المحددة</w:t>
      </w:r>
      <w:r>
        <w:rPr>
          <w:rFonts w:hint="cs"/>
          <w:rtl/>
        </w:rPr>
        <w:t xml:space="preserve"> التي اتخذتها الدولة الطرف لمكافحتها، بناء على ملاحظات اللجنة الختامية السابقة (</w:t>
      </w:r>
      <w:r>
        <w:t>CEDAW/C/TJK/CO/3</w:t>
      </w:r>
      <w:r>
        <w:rPr>
          <w:rFonts w:hint="cs"/>
          <w:rtl/>
        </w:rPr>
        <w:t xml:space="preserve">، الفقرة 20)، مثلاً عن طريق عدم إدامة سياساتها وبرامجها تلك القوالب. </w:t>
      </w:r>
      <w:r w:rsidR="00A517EC">
        <w:rPr>
          <w:rFonts w:hint="cs"/>
          <w:rtl/>
        </w:rPr>
        <w:t>و</w:t>
      </w:r>
      <w:r>
        <w:rPr>
          <w:rFonts w:hint="cs"/>
          <w:rtl/>
        </w:rPr>
        <w:t xml:space="preserve">يرجى تقديم معلومات عن الجهود المبذولة، بواسطة حملات التوعية والتثقيف الموجهة إلى </w:t>
      </w:r>
      <w:r w:rsidR="00A517EC">
        <w:rPr>
          <w:rFonts w:hint="cs"/>
          <w:rtl/>
        </w:rPr>
        <w:t>القيادات الدينية والأهلية</w:t>
      </w:r>
      <w:r>
        <w:rPr>
          <w:rFonts w:hint="cs"/>
          <w:rtl/>
        </w:rPr>
        <w:t>، والوالدين، والمعلمين، للتصدي للمواقف النمطية إزاء الفتيات والنساء، مثل اللواتي يتعرضن لأشكال التمييز المتعددة بناء</w:t>
      </w:r>
      <w:r w:rsidR="005B1BDA">
        <w:rPr>
          <w:rFonts w:hint="cs"/>
          <w:rtl/>
        </w:rPr>
        <w:t>ً</w:t>
      </w:r>
      <w:r>
        <w:rPr>
          <w:rFonts w:hint="cs"/>
          <w:rtl/>
        </w:rPr>
        <w:t xml:space="preserve"> على الانتماء </w:t>
      </w:r>
      <w:proofErr w:type="spellStart"/>
      <w:r>
        <w:rPr>
          <w:rFonts w:hint="cs"/>
          <w:rtl/>
        </w:rPr>
        <w:t>الإثني</w:t>
      </w:r>
      <w:proofErr w:type="spellEnd"/>
      <w:r>
        <w:rPr>
          <w:rFonts w:hint="cs"/>
          <w:rtl/>
        </w:rPr>
        <w:t xml:space="preserve"> أو العمر أو الإعاقة أو غيرها من الخصائص.</w:t>
      </w:r>
    </w:p>
    <w:p w:rsidR="004E4EAA" w:rsidRDefault="004E4EAA" w:rsidP="00587AF1">
      <w:pPr>
        <w:pStyle w:val="SingleTxtGA"/>
        <w:rPr>
          <w:rFonts w:hint="cs"/>
          <w:rtl/>
        </w:rPr>
      </w:pPr>
      <w:r>
        <w:rPr>
          <w:rFonts w:hint="cs"/>
          <w:rtl/>
        </w:rPr>
        <w:t>8-</w:t>
      </w:r>
      <w:r>
        <w:rPr>
          <w:rFonts w:hint="cs"/>
          <w:rtl/>
        </w:rPr>
        <w:tab/>
        <w:t xml:space="preserve">ويرجى تقديم معلومات عن خطط مراجعة </w:t>
      </w:r>
      <w:r w:rsidR="00587AF1">
        <w:rPr>
          <w:rFonts w:hint="cs"/>
          <w:rtl/>
        </w:rPr>
        <w:t>المناهج</w:t>
      </w:r>
      <w:r>
        <w:rPr>
          <w:rFonts w:hint="cs"/>
          <w:rtl/>
        </w:rPr>
        <w:t xml:space="preserve"> الدراسية لحذف الإشارات المرجعية التي تبقي على القوالب النمطية الجنسانية أو ترسّخها، والإبانة عما إذا كانت الدولة الطرف تعتزم تدريب المعلمين على </w:t>
      </w:r>
      <w:r w:rsidR="00587AF1">
        <w:rPr>
          <w:rFonts w:hint="cs"/>
          <w:rtl/>
        </w:rPr>
        <w:t>التثقيف</w:t>
      </w:r>
      <w:r>
        <w:rPr>
          <w:rFonts w:hint="cs"/>
          <w:rtl/>
        </w:rPr>
        <w:t xml:space="preserve"> والتوعية بالآثار السلبية للقوالب النمطية والسبل التي تعيق بها تلك الآثار تمتع النساء والفتيات الكامل بحقوقهن الإنسانية.</w:t>
      </w:r>
    </w:p>
    <w:p w:rsidR="004E4EAA" w:rsidRPr="00093219" w:rsidRDefault="00A362E6" w:rsidP="0055484B">
      <w:pPr>
        <w:pStyle w:val="H23GA"/>
        <w:rPr>
          <w:rFonts w:hint="cs"/>
          <w:rtl/>
        </w:rPr>
      </w:pPr>
      <w:r>
        <w:rPr>
          <w:rFonts w:hint="cs"/>
          <w:rtl/>
        </w:rPr>
        <w:tab/>
      </w:r>
      <w:r>
        <w:rPr>
          <w:rFonts w:hint="cs"/>
          <w:rtl/>
        </w:rPr>
        <w:tab/>
      </w:r>
      <w:r w:rsidR="004E4EAA" w:rsidRPr="00093219">
        <w:rPr>
          <w:rFonts w:hint="cs"/>
          <w:rtl/>
        </w:rPr>
        <w:t xml:space="preserve">العنف </w:t>
      </w:r>
      <w:r w:rsidR="0055484B">
        <w:rPr>
          <w:rFonts w:hint="cs"/>
          <w:rtl/>
        </w:rPr>
        <w:t xml:space="preserve">ضد </w:t>
      </w:r>
      <w:r w:rsidR="004E4EAA" w:rsidRPr="00093219">
        <w:rPr>
          <w:rFonts w:hint="cs"/>
          <w:rtl/>
        </w:rPr>
        <w:t>المرأة</w:t>
      </w:r>
    </w:p>
    <w:p w:rsidR="004E4EAA" w:rsidRDefault="004E4EAA" w:rsidP="00F618BC">
      <w:pPr>
        <w:pStyle w:val="SingleTxtGA"/>
        <w:rPr>
          <w:rFonts w:hint="cs"/>
          <w:sz w:val="22"/>
          <w:rtl/>
        </w:rPr>
      </w:pPr>
      <w:r>
        <w:rPr>
          <w:rFonts w:hint="cs"/>
          <w:sz w:val="22"/>
          <w:rtl/>
        </w:rPr>
        <w:t>9-</w:t>
      </w:r>
      <w:r>
        <w:rPr>
          <w:rFonts w:hint="cs"/>
          <w:sz w:val="22"/>
          <w:rtl/>
        </w:rPr>
        <w:tab/>
        <w:t xml:space="preserve">يشير التقرير (الفقرة 45) إلى أنه </w:t>
      </w:r>
      <w:r>
        <w:rPr>
          <w:rtl/>
        </w:rPr>
        <w:t>أرجئ</w:t>
      </w:r>
      <w:r>
        <w:rPr>
          <w:rFonts w:hint="cs"/>
          <w:rtl/>
        </w:rPr>
        <w:t xml:space="preserve"> في عام 2007</w:t>
      </w:r>
      <w:r>
        <w:rPr>
          <w:rtl/>
        </w:rPr>
        <w:t xml:space="preserve"> اعتماد مشروع</w:t>
      </w:r>
      <w:r>
        <w:rPr>
          <w:rFonts w:hint="cs"/>
          <w:rtl/>
        </w:rPr>
        <w:t xml:space="preserve"> القانون عن الجوانب الاجتماعية والقانونية لحماية المرأة من العنف المنزلي بسبب</w:t>
      </w:r>
      <w:r>
        <w:rPr>
          <w:rtl/>
        </w:rPr>
        <w:t xml:space="preserve"> </w:t>
      </w:r>
      <w:r>
        <w:rPr>
          <w:rFonts w:hint="cs"/>
          <w:rtl/>
        </w:rPr>
        <w:t>ال</w:t>
      </w:r>
      <w:r>
        <w:rPr>
          <w:rtl/>
        </w:rPr>
        <w:t>تعديلات</w:t>
      </w:r>
      <w:r>
        <w:rPr>
          <w:rFonts w:hint="cs"/>
          <w:rtl/>
        </w:rPr>
        <w:t xml:space="preserve"> المطلوب إدخالها</w:t>
      </w:r>
      <w:r>
        <w:rPr>
          <w:rtl/>
        </w:rPr>
        <w:t xml:space="preserve"> عليه وبسبب الافتقار إلى الموارد اللازمة</w:t>
      </w:r>
      <w:r>
        <w:rPr>
          <w:rFonts w:hint="cs"/>
          <w:rtl/>
        </w:rPr>
        <w:t xml:space="preserve">، وأنه أنشئ في عام 2010 فريق عامل جديد لمراجعته. </w:t>
      </w:r>
      <w:r w:rsidR="00F618BC">
        <w:rPr>
          <w:rFonts w:hint="cs"/>
          <w:rtl/>
        </w:rPr>
        <w:t>و</w:t>
      </w:r>
      <w:r>
        <w:rPr>
          <w:rFonts w:hint="cs"/>
          <w:rtl/>
        </w:rPr>
        <w:t>يرجى تقديم معلومات عن الخطوات المتبعة منذ عام 2010 لمراجعة ذلك القانون واعتماده، ويرجى أيض</w:t>
      </w:r>
      <w:r w:rsidR="003249F4">
        <w:rPr>
          <w:rFonts w:hint="cs"/>
          <w:rtl/>
        </w:rPr>
        <w:t xml:space="preserve">اً </w:t>
      </w:r>
      <w:r>
        <w:rPr>
          <w:rFonts w:hint="cs"/>
          <w:rtl/>
        </w:rPr>
        <w:t>توضيح ما إذا كانت خُصصت الموارد اللازمة لمراجعة القانون واعتماده أو تنفيذه بعد اعتماده.</w:t>
      </w:r>
    </w:p>
    <w:p w:rsidR="004E4EAA" w:rsidRDefault="004E4EAA" w:rsidP="00F618BC">
      <w:pPr>
        <w:pStyle w:val="SingleTxtGA"/>
        <w:rPr>
          <w:rFonts w:hint="cs"/>
          <w:rtl/>
        </w:rPr>
      </w:pPr>
      <w:r>
        <w:rPr>
          <w:rFonts w:hint="cs"/>
          <w:sz w:val="22"/>
          <w:rtl/>
        </w:rPr>
        <w:t>10-</w:t>
      </w:r>
      <w:r>
        <w:rPr>
          <w:rFonts w:hint="cs"/>
          <w:sz w:val="22"/>
          <w:rtl/>
        </w:rPr>
        <w:tab/>
        <w:t xml:space="preserve">وبالإشارة إلى </w:t>
      </w:r>
      <w:r>
        <w:rPr>
          <w:rtl/>
        </w:rPr>
        <w:t xml:space="preserve">الأمر </w:t>
      </w:r>
      <w:r w:rsidRPr="00EC5BAB">
        <w:rPr>
          <w:rtl/>
        </w:rPr>
        <w:t>271</w:t>
      </w:r>
      <w:r>
        <w:rPr>
          <w:rtl/>
        </w:rPr>
        <w:t xml:space="preserve"> الصادر في </w:t>
      </w:r>
      <w:r w:rsidRPr="00EC5BAB">
        <w:rPr>
          <w:rtl/>
        </w:rPr>
        <w:t>17</w:t>
      </w:r>
      <w:r>
        <w:rPr>
          <w:rtl/>
        </w:rPr>
        <w:t xml:space="preserve"> آذار/مارس </w:t>
      </w:r>
      <w:r w:rsidRPr="00EC5BAB">
        <w:rPr>
          <w:rtl/>
        </w:rPr>
        <w:t>2010</w:t>
      </w:r>
      <w:r>
        <w:rPr>
          <w:rtl/>
        </w:rPr>
        <w:t xml:space="preserve"> عن وزارة الداخلية </w:t>
      </w:r>
      <w:r>
        <w:rPr>
          <w:rFonts w:hint="cs"/>
          <w:rtl/>
        </w:rPr>
        <w:t>(الفقرة 38)، يرجى تقديم معلومات عن ولاية المفتشين لمكافحة العنف المنزلي. ويرجى أيضا</w:t>
      </w:r>
      <w:r w:rsidR="00F05733">
        <w:rPr>
          <w:rFonts w:hint="cs"/>
          <w:rtl/>
        </w:rPr>
        <w:t>ً</w:t>
      </w:r>
      <w:r>
        <w:rPr>
          <w:rFonts w:hint="cs"/>
          <w:rtl/>
        </w:rPr>
        <w:t xml:space="preserve"> تقديم معلومات عن تفشي العنف المنزلي وغيره من أشكال العنف الممارس على المرأة، وآليات جمع تلك البيانات، وكيف ينظر الناس إلى العنف بالمرأة بشتى أنواعه، كما يرجى الإشارة إلى ما إذا كان للدولة الطرف أي خطط أو استراتيجيات شاملة لمكافحة العنف المسلط على المرأة بمختلِف أشكاله.</w:t>
      </w:r>
    </w:p>
    <w:p w:rsidR="004E4EAA" w:rsidRPr="00093219" w:rsidRDefault="00053D8D" w:rsidP="001A18BA">
      <w:pPr>
        <w:pStyle w:val="H23GA"/>
        <w:spacing w:line="360" w:lineRule="exact"/>
        <w:rPr>
          <w:rFonts w:hint="cs"/>
          <w:rtl/>
        </w:rPr>
      </w:pPr>
      <w:r>
        <w:rPr>
          <w:rFonts w:hint="cs"/>
          <w:rtl/>
        </w:rPr>
        <w:tab/>
      </w:r>
      <w:r>
        <w:rPr>
          <w:rFonts w:hint="cs"/>
          <w:rtl/>
        </w:rPr>
        <w:tab/>
      </w:r>
      <w:r w:rsidR="004E4EAA" w:rsidRPr="00093219">
        <w:rPr>
          <w:rFonts w:hint="cs"/>
          <w:rtl/>
        </w:rPr>
        <w:t xml:space="preserve">الاتجار </w:t>
      </w:r>
      <w:r w:rsidR="00397E78">
        <w:rPr>
          <w:rFonts w:hint="cs"/>
          <w:rtl/>
        </w:rPr>
        <w:t>بالبشر واستغلال البغاء</w:t>
      </w:r>
    </w:p>
    <w:p w:rsidR="004E4EAA" w:rsidRDefault="004E4EAA" w:rsidP="001A18BA">
      <w:pPr>
        <w:pStyle w:val="SingleTxtGA"/>
        <w:spacing w:line="360" w:lineRule="exact"/>
        <w:rPr>
          <w:rFonts w:hint="cs"/>
          <w:rtl/>
        </w:rPr>
      </w:pPr>
      <w:r>
        <w:rPr>
          <w:rFonts w:hint="cs"/>
          <w:rtl/>
        </w:rPr>
        <w:t>11-</w:t>
      </w:r>
      <w:r w:rsidRPr="004E5412">
        <w:rPr>
          <w:rFonts w:hint="cs"/>
          <w:spacing w:val="4"/>
          <w:rtl/>
        </w:rPr>
        <w:tab/>
        <w:t xml:space="preserve">يشير التقرير (الفقرة 71) إلى أن </w:t>
      </w:r>
      <w:r w:rsidRPr="004E5412">
        <w:rPr>
          <w:spacing w:val="4"/>
          <w:rtl/>
        </w:rPr>
        <w:t xml:space="preserve">البرنامج الشامل لمكافحة الاتجار </w:t>
      </w:r>
      <w:r w:rsidRPr="004E5412">
        <w:rPr>
          <w:rFonts w:hint="cs"/>
          <w:spacing w:val="4"/>
          <w:rtl/>
        </w:rPr>
        <w:t>بالبشر</w:t>
      </w:r>
      <w:r w:rsidRPr="004E5412">
        <w:rPr>
          <w:spacing w:val="4"/>
          <w:rtl/>
        </w:rPr>
        <w:t xml:space="preserve"> </w:t>
      </w:r>
      <w:r w:rsidRPr="004E5412">
        <w:rPr>
          <w:rFonts w:hint="cs"/>
          <w:spacing w:val="4"/>
          <w:rtl/>
        </w:rPr>
        <w:t>(</w:t>
      </w:r>
      <w:r w:rsidRPr="004E5412">
        <w:rPr>
          <w:spacing w:val="4"/>
          <w:rtl/>
        </w:rPr>
        <w:t>2011-2013</w:t>
      </w:r>
      <w:r w:rsidRPr="004E5412">
        <w:rPr>
          <w:rFonts w:hint="cs"/>
          <w:spacing w:val="4"/>
          <w:rtl/>
        </w:rPr>
        <w:t>)</w:t>
      </w:r>
      <w:r>
        <w:rPr>
          <w:rFonts w:hint="cs"/>
          <w:spacing w:val="-2"/>
          <w:rtl/>
        </w:rPr>
        <w:t xml:space="preserve"> كان من المقرر اعتماده وقت إعداد التقرير.</w:t>
      </w:r>
      <w:r>
        <w:rPr>
          <w:rFonts w:hint="cs"/>
          <w:rtl/>
        </w:rPr>
        <w:t xml:space="preserve"> </w:t>
      </w:r>
      <w:r w:rsidR="00462520">
        <w:rPr>
          <w:rFonts w:hint="cs"/>
          <w:rtl/>
        </w:rPr>
        <w:t>و</w:t>
      </w:r>
      <w:r>
        <w:rPr>
          <w:rFonts w:hint="cs"/>
          <w:rtl/>
        </w:rPr>
        <w:t>يرجى تقديم آخر المعلومات عن حالة هذا البرنامج وتنفيذه. ويرجى أيض</w:t>
      </w:r>
      <w:r w:rsidR="003249F4">
        <w:rPr>
          <w:rFonts w:hint="cs"/>
          <w:rtl/>
        </w:rPr>
        <w:t xml:space="preserve">اً </w:t>
      </w:r>
      <w:r>
        <w:rPr>
          <w:rFonts w:hint="cs"/>
          <w:rtl/>
        </w:rPr>
        <w:t xml:space="preserve">تقديم معلومات عن استغلال </w:t>
      </w:r>
      <w:r w:rsidR="00462520">
        <w:rPr>
          <w:rFonts w:hint="cs"/>
          <w:rtl/>
        </w:rPr>
        <w:t>البغاء، وما</w:t>
      </w:r>
      <w:r>
        <w:rPr>
          <w:rFonts w:hint="cs"/>
          <w:rtl/>
        </w:rPr>
        <w:t xml:space="preserve"> إذا كان ذلك الاستغلال </w:t>
      </w:r>
      <w:r w:rsidR="00462520">
        <w:rPr>
          <w:rFonts w:hint="cs"/>
          <w:rtl/>
        </w:rPr>
        <w:t>مجرَّماً على وجه الخصوص</w:t>
      </w:r>
      <w:r>
        <w:rPr>
          <w:rFonts w:hint="cs"/>
          <w:rtl/>
        </w:rPr>
        <w:t xml:space="preserve">، وذكر التدابير التي اتخذت </w:t>
      </w:r>
      <w:r w:rsidR="00462520">
        <w:rPr>
          <w:rFonts w:hint="cs"/>
          <w:rtl/>
        </w:rPr>
        <w:t>للتصدي للأسباب الجذرية</w:t>
      </w:r>
      <w:r>
        <w:rPr>
          <w:rFonts w:hint="cs"/>
          <w:rtl/>
        </w:rPr>
        <w:t>، مثل الفقر، والبرامج البديلة لدر</w:t>
      </w:r>
      <w:r w:rsidR="003C6EE6">
        <w:rPr>
          <w:rFonts w:hint="cs"/>
          <w:rtl/>
        </w:rPr>
        <w:t>ِّ</w:t>
      </w:r>
      <w:r>
        <w:rPr>
          <w:rFonts w:hint="cs"/>
          <w:rtl/>
        </w:rPr>
        <w:t xml:space="preserve"> الدخل.</w:t>
      </w:r>
    </w:p>
    <w:p w:rsidR="004E4EAA" w:rsidRPr="00093219" w:rsidRDefault="00487D59" w:rsidP="001A18BA">
      <w:pPr>
        <w:pStyle w:val="H23GA"/>
        <w:spacing w:line="360" w:lineRule="exact"/>
        <w:rPr>
          <w:rFonts w:hint="cs"/>
          <w:rtl/>
        </w:rPr>
      </w:pPr>
      <w:r>
        <w:rPr>
          <w:rFonts w:hint="cs"/>
          <w:rtl/>
        </w:rPr>
        <w:tab/>
      </w:r>
      <w:r>
        <w:rPr>
          <w:rFonts w:hint="cs"/>
          <w:rtl/>
        </w:rPr>
        <w:tab/>
      </w:r>
      <w:r w:rsidR="004E4EAA" w:rsidRPr="00093219">
        <w:rPr>
          <w:rFonts w:hint="cs"/>
          <w:rtl/>
        </w:rPr>
        <w:t>المشاركة في الحياة السياسة والعامة واتخاذ القرار</w:t>
      </w:r>
    </w:p>
    <w:p w:rsidR="004E4EAA" w:rsidRDefault="004E4EAA" w:rsidP="001A18BA">
      <w:pPr>
        <w:pStyle w:val="SingleTxtGA"/>
        <w:spacing w:line="360" w:lineRule="exact"/>
        <w:rPr>
          <w:rFonts w:hint="cs"/>
          <w:sz w:val="22"/>
          <w:rtl/>
        </w:rPr>
      </w:pPr>
      <w:r>
        <w:rPr>
          <w:rFonts w:hint="cs"/>
          <w:sz w:val="22"/>
          <w:rtl/>
        </w:rPr>
        <w:t>12-</w:t>
      </w:r>
      <w:r>
        <w:rPr>
          <w:rFonts w:hint="cs"/>
          <w:sz w:val="22"/>
          <w:rtl/>
        </w:rPr>
        <w:tab/>
      </w:r>
      <w:proofErr w:type="spellStart"/>
      <w:r>
        <w:rPr>
          <w:rFonts w:hint="cs"/>
          <w:sz w:val="22"/>
          <w:rtl/>
        </w:rPr>
        <w:t>يعترف</w:t>
      </w:r>
      <w:proofErr w:type="spellEnd"/>
      <w:r>
        <w:rPr>
          <w:rFonts w:hint="cs"/>
          <w:sz w:val="22"/>
          <w:rtl/>
        </w:rPr>
        <w:t xml:space="preserve"> التقرير (الفقرتان 88 </w:t>
      </w:r>
      <w:proofErr w:type="spellStart"/>
      <w:r>
        <w:rPr>
          <w:rFonts w:hint="cs"/>
          <w:sz w:val="22"/>
          <w:rtl/>
        </w:rPr>
        <w:t>و89</w:t>
      </w:r>
      <w:proofErr w:type="spellEnd"/>
      <w:r>
        <w:rPr>
          <w:rFonts w:hint="cs"/>
          <w:sz w:val="22"/>
          <w:rtl/>
        </w:rPr>
        <w:t>) ب</w:t>
      </w:r>
      <w:r>
        <w:rPr>
          <w:rFonts w:hint="cs"/>
          <w:rtl/>
        </w:rPr>
        <w:t>أنه "على</w:t>
      </w:r>
      <w:r>
        <w:rPr>
          <w:rtl/>
        </w:rPr>
        <w:t xml:space="preserve"> الرغم من المساواة بين الرجال والنساء في التمثيل السياسي بموجب القانون، فإن المرأة تواجه صعوبات معينة لأنها عموماً لا</w:t>
      </w:r>
      <w:r>
        <w:rPr>
          <w:rFonts w:hint="cs"/>
          <w:rtl/>
        </w:rPr>
        <w:t> </w:t>
      </w:r>
      <w:r>
        <w:rPr>
          <w:rtl/>
        </w:rPr>
        <w:t>تتمتع بمهارات وصِلات سياسية كافية ولا ما يلزم من خبرة وثقافة</w:t>
      </w:r>
      <w:r>
        <w:rPr>
          <w:rFonts w:hint="cs"/>
          <w:rtl/>
        </w:rPr>
        <w:t>"، وبأن هدف "</w:t>
      </w:r>
      <w:r>
        <w:rPr>
          <w:rtl/>
        </w:rPr>
        <w:t>تمثيل المرأة في الوظائف العليا في وكالات الحكومة</w:t>
      </w:r>
      <w:r>
        <w:rPr>
          <w:rFonts w:hint="cs"/>
          <w:rtl/>
        </w:rPr>
        <w:t xml:space="preserve"> (...)</w:t>
      </w:r>
      <w:r>
        <w:rPr>
          <w:rtl/>
        </w:rPr>
        <w:t xml:space="preserve"> سيتحقق </w:t>
      </w:r>
      <w:r>
        <w:rPr>
          <w:rFonts w:hint="cs"/>
          <w:rtl/>
        </w:rPr>
        <w:t xml:space="preserve">(...) </w:t>
      </w:r>
      <w:r>
        <w:rPr>
          <w:rtl/>
        </w:rPr>
        <w:t xml:space="preserve">إذا بلغت نسبة المرأة </w:t>
      </w:r>
      <w:r w:rsidRPr="00EC5BAB">
        <w:rPr>
          <w:rtl/>
        </w:rPr>
        <w:t>30</w:t>
      </w:r>
      <w:r>
        <w:rPr>
          <w:rtl/>
        </w:rPr>
        <w:t xml:space="preserve"> في المائة على الأقل بين موظفي السلطات التشريعية والتنفيذية والقضائية</w:t>
      </w:r>
      <w:r>
        <w:rPr>
          <w:rFonts w:hint="cs"/>
          <w:rtl/>
        </w:rPr>
        <w:t xml:space="preserve">". </w:t>
      </w:r>
      <w:r w:rsidR="000254F8">
        <w:rPr>
          <w:rFonts w:hint="cs"/>
          <w:rtl/>
        </w:rPr>
        <w:t>و</w:t>
      </w:r>
      <w:r>
        <w:rPr>
          <w:rFonts w:hint="cs"/>
          <w:rtl/>
        </w:rPr>
        <w:t xml:space="preserve">يرجى تقديم معلومات عن التدابير الملموسة التي اتخذتها الدولة الطرف لرفع نسبة </w:t>
      </w:r>
      <w:r w:rsidR="002C5DE5">
        <w:rPr>
          <w:rFonts w:hint="cs"/>
          <w:rtl/>
        </w:rPr>
        <w:t>ال</w:t>
      </w:r>
      <w:r>
        <w:rPr>
          <w:rFonts w:hint="cs"/>
          <w:rtl/>
        </w:rPr>
        <w:t>تمثيل ا</w:t>
      </w:r>
      <w:r w:rsidR="002C5DE5">
        <w:rPr>
          <w:rFonts w:hint="cs"/>
          <w:rtl/>
        </w:rPr>
        <w:t>لسياسي ل</w:t>
      </w:r>
      <w:r>
        <w:rPr>
          <w:rFonts w:hint="cs"/>
          <w:rtl/>
        </w:rPr>
        <w:t>لمرأة في المناصب الانتخابية</w:t>
      </w:r>
      <w:r>
        <w:rPr>
          <w:rFonts w:hint="cs"/>
          <w:sz w:val="22"/>
          <w:rtl/>
        </w:rPr>
        <w:t>، مثلا</w:t>
      </w:r>
      <w:r w:rsidR="000254F8">
        <w:rPr>
          <w:rFonts w:hint="cs"/>
          <w:sz w:val="22"/>
          <w:rtl/>
        </w:rPr>
        <w:t>ً</w:t>
      </w:r>
      <w:r>
        <w:rPr>
          <w:rFonts w:hint="cs"/>
          <w:sz w:val="22"/>
          <w:rtl/>
        </w:rPr>
        <w:t xml:space="preserve"> بواسطة تحديد حصص قانونية وتدريب المرشحات المحتملات وفقا</w:t>
      </w:r>
      <w:r w:rsidR="002C5DE5">
        <w:rPr>
          <w:rFonts w:hint="cs"/>
          <w:sz w:val="22"/>
          <w:rtl/>
        </w:rPr>
        <w:t>ً</w:t>
      </w:r>
      <w:r w:rsidR="001E7F6A">
        <w:rPr>
          <w:rFonts w:hint="cs"/>
          <w:sz w:val="22"/>
          <w:rtl/>
        </w:rPr>
        <w:t xml:space="preserve"> لتوصية اللجنة العامة رقم 23</w:t>
      </w:r>
      <w:r>
        <w:rPr>
          <w:rFonts w:hint="cs"/>
          <w:sz w:val="22"/>
          <w:rtl/>
        </w:rPr>
        <w:t xml:space="preserve">(1997). ويرجى بيان الطريقة التي تعتزم بها الدولة الطرف تحقيق </w:t>
      </w:r>
      <w:r w:rsidR="002C5DE5">
        <w:rPr>
          <w:rFonts w:hint="cs"/>
          <w:sz w:val="22"/>
          <w:rtl/>
        </w:rPr>
        <w:t>هدفها المتمثل في نسبة مشاركة نسائية لا تقل عن 30 في المائة في المناصب العليا في الوكالات الحكومية والسلطتين التشريعية والقضائية</w:t>
      </w:r>
      <w:r>
        <w:rPr>
          <w:rFonts w:hint="cs"/>
          <w:sz w:val="22"/>
          <w:rtl/>
        </w:rPr>
        <w:t>. ويرجى أيضا</w:t>
      </w:r>
      <w:r w:rsidR="000254F8">
        <w:rPr>
          <w:rFonts w:hint="cs"/>
          <w:sz w:val="22"/>
          <w:rtl/>
        </w:rPr>
        <w:t>ً</w:t>
      </w:r>
      <w:r>
        <w:rPr>
          <w:rFonts w:hint="cs"/>
          <w:sz w:val="22"/>
          <w:rtl/>
        </w:rPr>
        <w:t xml:space="preserve"> تقديم معلومات عن التدابير الملموسة لترقية المرأة إلى المناصب العليا في السلك الدبلوماسي، مثلاً بصفتهن سفيرات ورئيسات بعثات إلى الخارج.</w:t>
      </w:r>
    </w:p>
    <w:p w:rsidR="004E4EAA" w:rsidRPr="00093219" w:rsidRDefault="00367EB3" w:rsidP="001A18BA">
      <w:pPr>
        <w:pStyle w:val="H23GA"/>
        <w:spacing w:line="360" w:lineRule="exact"/>
        <w:rPr>
          <w:rFonts w:hint="cs"/>
          <w:rtl/>
        </w:rPr>
      </w:pPr>
      <w:r>
        <w:rPr>
          <w:rFonts w:hint="cs"/>
          <w:rtl/>
        </w:rPr>
        <w:tab/>
      </w:r>
      <w:r>
        <w:rPr>
          <w:rFonts w:hint="cs"/>
          <w:rtl/>
        </w:rPr>
        <w:tab/>
      </w:r>
      <w:r w:rsidR="004E4EAA" w:rsidRPr="00093219">
        <w:rPr>
          <w:rFonts w:hint="cs"/>
          <w:rtl/>
        </w:rPr>
        <w:t>التعليم</w:t>
      </w:r>
    </w:p>
    <w:p w:rsidR="004E4EAA" w:rsidRDefault="004E4EAA" w:rsidP="00AE4308">
      <w:pPr>
        <w:pStyle w:val="SingleTxtGA"/>
        <w:rPr>
          <w:rFonts w:hint="cs"/>
          <w:rtl/>
        </w:rPr>
      </w:pPr>
      <w:r>
        <w:rPr>
          <w:rFonts w:hint="cs"/>
          <w:rtl/>
        </w:rPr>
        <w:t>13-</w:t>
      </w:r>
      <w:r>
        <w:rPr>
          <w:rFonts w:hint="cs"/>
          <w:rtl/>
        </w:rPr>
        <w:tab/>
        <w:t xml:space="preserve">يشير التقرير (الفقرة 127) إلى أن إطارا للسياسات يهدف إلى الانتقال من نظام التعليم العام السائد إلى نظام جديد يدوم 12 سنة </w:t>
      </w:r>
      <w:r w:rsidR="0027767B">
        <w:rPr>
          <w:rFonts w:hint="cs"/>
          <w:rtl/>
        </w:rPr>
        <w:t>معروض على نظر الحكومة</w:t>
      </w:r>
      <w:r>
        <w:rPr>
          <w:rFonts w:hint="cs"/>
          <w:rtl/>
        </w:rPr>
        <w:t xml:space="preserve"> </w:t>
      </w:r>
      <w:r>
        <w:rPr>
          <w:rFonts w:hint="cs"/>
          <w:spacing w:val="-2"/>
          <w:rtl/>
        </w:rPr>
        <w:t xml:space="preserve">وقت إعداد التقرير. </w:t>
      </w:r>
      <w:r w:rsidR="0027767B">
        <w:rPr>
          <w:rFonts w:hint="cs"/>
          <w:spacing w:val="-2"/>
          <w:rtl/>
        </w:rPr>
        <w:t>و</w:t>
      </w:r>
      <w:r>
        <w:rPr>
          <w:rFonts w:hint="cs"/>
          <w:spacing w:val="-2"/>
          <w:rtl/>
        </w:rPr>
        <w:t>يرجى تقديم آخر المعلومات عما إذا كان نظام التعليم العام الحالي قد غُير أم لا. فإن غُير، فهل أدرج المنظور الجنساني في النظام الجديد أم لا.</w:t>
      </w:r>
    </w:p>
    <w:p w:rsidR="004E4EAA" w:rsidRDefault="004E4EAA" w:rsidP="001A18BA">
      <w:pPr>
        <w:pStyle w:val="SingleTxtGA"/>
        <w:rPr>
          <w:rFonts w:hint="cs"/>
          <w:rtl/>
        </w:rPr>
      </w:pPr>
      <w:r>
        <w:rPr>
          <w:rFonts w:hint="cs"/>
          <w:rtl/>
        </w:rPr>
        <w:t>14-</w:t>
      </w:r>
      <w:r>
        <w:rPr>
          <w:rFonts w:hint="cs"/>
          <w:rtl/>
        </w:rPr>
        <w:tab/>
        <w:t xml:space="preserve">وتحدث التقرير عن استمرار القوالب النمطية المتعلقة بدور الرجل والمرأة في الدولة الطرف، لاسيما في المناطق الريفية. ولا </w:t>
      </w:r>
      <w:r w:rsidR="00DD4FB7">
        <w:rPr>
          <w:rFonts w:hint="cs"/>
          <w:rtl/>
        </w:rPr>
        <w:t>يأت</w:t>
      </w:r>
      <w:r>
        <w:rPr>
          <w:rFonts w:hint="cs"/>
          <w:rtl/>
        </w:rPr>
        <w:t xml:space="preserve"> التقرير </w:t>
      </w:r>
      <w:r w:rsidR="00DD4FB7">
        <w:rPr>
          <w:rFonts w:hint="cs"/>
          <w:rtl/>
        </w:rPr>
        <w:t>على ذكر</w:t>
      </w:r>
      <w:r>
        <w:rPr>
          <w:rFonts w:hint="cs"/>
          <w:rtl/>
        </w:rPr>
        <w:t xml:space="preserve"> معدلات التحاق الفتيات وتسربهن، والأسباب الرئيسة التي تفسر انقطاع النساء والفتيات عن التعليم. ولا يذكر التقرير شيئ</w:t>
      </w:r>
      <w:r w:rsidR="003249F4">
        <w:rPr>
          <w:rFonts w:hint="cs"/>
          <w:rtl/>
        </w:rPr>
        <w:t xml:space="preserve">اً </w:t>
      </w:r>
      <w:r>
        <w:rPr>
          <w:rFonts w:hint="cs"/>
          <w:rtl/>
        </w:rPr>
        <w:t xml:space="preserve">عن التحاق الفتيات المعاقات بالتعليم، ولا التحديات التي تعترضهن، ولا التدابير التي اتخذتها الدولة الطرف للتغلب على هذه التحديات. </w:t>
      </w:r>
      <w:r w:rsidR="00DD4FB7">
        <w:rPr>
          <w:rFonts w:hint="cs"/>
          <w:rtl/>
        </w:rPr>
        <w:t>و</w:t>
      </w:r>
      <w:r>
        <w:rPr>
          <w:rFonts w:hint="cs"/>
          <w:rtl/>
        </w:rPr>
        <w:t>يرجى تقديم معلومات عن التدابير المتخذة للتصدي للقوالب النمطية الجنسانية التي تعيق سبل التحاق النساء والفتيات بالتعليم، وآخر المعلومات عن معدلات التحاق الفتيات وتسربهن، والفصل الجنساني في التعليم، ومعلومات عن سبل التحاق النساء والفتيات المعاقات بالتعليم.</w:t>
      </w:r>
    </w:p>
    <w:p w:rsidR="004E4EAA" w:rsidRPr="00093219" w:rsidRDefault="00193F93" w:rsidP="00093219">
      <w:pPr>
        <w:pStyle w:val="H23GA"/>
        <w:rPr>
          <w:rFonts w:hint="cs"/>
          <w:rtl/>
        </w:rPr>
      </w:pPr>
      <w:r>
        <w:rPr>
          <w:rFonts w:hint="cs"/>
          <w:rtl/>
        </w:rPr>
        <w:tab/>
      </w:r>
      <w:r>
        <w:rPr>
          <w:rFonts w:hint="cs"/>
          <w:rtl/>
        </w:rPr>
        <w:tab/>
      </w:r>
      <w:r w:rsidR="004E4EAA" w:rsidRPr="00093219">
        <w:rPr>
          <w:rFonts w:hint="cs"/>
          <w:rtl/>
        </w:rPr>
        <w:t>العمالة</w:t>
      </w:r>
    </w:p>
    <w:p w:rsidR="004E4EAA" w:rsidRDefault="004E4EAA" w:rsidP="001A18BA">
      <w:pPr>
        <w:pStyle w:val="SingleTxtGA"/>
        <w:rPr>
          <w:rFonts w:hint="cs"/>
          <w:rtl/>
        </w:rPr>
      </w:pPr>
      <w:r>
        <w:rPr>
          <w:rFonts w:hint="cs"/>
          <w:rtl/>
        </w:rPr>
        <w:t>15-</w:t>
      </w:r>
      <w:r>
        <w:rPr>
          <w:rFonts w:hint="cs"/>
          <w:rtl/>
        </w:rPr>
        <w:tab/>
      </w:r>
      <w:proofErr w:type="spellStart"/>
      <w:r>
        <w:rPr>
          <w:rFonts w:hint="cs"/>
          <w:rtl/>
        </w:rPr>
        <w:t>يعترف</w:t>
      </w:r>
      <w:proofErr w:type="spellEnd"/>
      <w:r>
        <w:rPr>
          <w:rFonts w:hint="cs"/>
          <w:rtl/>
        </w:rPr>
        <w:t xml:space="preserve"> التقرير (الفقرة 152) بوجود انتهاكات لحقوق المرأة </w:t>
      </w:r>
      <w:r w:rsidR="00474236">
        <w:rPr>
          <w:rFonts w:hint="cs"/>
          <w:rtl/>
        </w:rPr>
        <w:t>تتعلق بطول الدوام اليومي</w:t>
      </w:r>
      <w:r>
        <w:rPr>
          <w:rFonts w:hint="cs"/>
          <w:rtl/>
        </w:rPr>
        <w:t>، و</w:t>
      </w:r>
      <w:r w:rsidR="00474236">
        <w:rPr>
          <w:rFonts w:hint="cs"/>
          <w:rtl/>
        </w:rPr>
        <w:t xml:space="preserve">حالات </w:t>
      </w:r>
      <w:r>
        <w:rPr>
          <w:rFonts w:hint="cs"/>
          <w:rtl/>
        </w:rPr>
        <w:t xml:space="preserve">إجبار نساء على العمل ساعات إضافية بدون أجر إضافي. ويشير التقرير (الفقرة 129) إلى أن المادة 35 من الدستور تقضي بأنه لا يحق استخدام أي شخص سُخْرةً، إلا في الحالات التي ينص عليها القانون. </w:t>
      </w:r>
      <w:r w:rsidR="00474236">
        <w:rPr>
          <w:rFonts w:hint="cs"/>
          <w:rtl/>
        </w:rPr>
        <w:t>و</w:t>
      </w:r>
      <w:r>
        <w:rPr>
          <w:rFonts w:hint="cs"/>
          <w:rtl/>
        </w:rPr>
        <w:t>يرجى توضيح الاستثناءات التي يقضي بها القانون. ويرجى أيضا</w:t>
      </w:r>
      <w:r w:rsidR="007A0213">
        <w:rPr>
          <w:rFonts w:hint="cs"/>
          <w:rtl/>
        </w:rPr>
        <w:t>ً</w:t>
      </w:r>
      <w:r>
        <w:rPr>
          <w:rFonts w:hint="cs"/>
          <w:rtl/>
        </w:rPr>
        <w:t xml:space="preserve"> تقديم معلومات عن التدابير التي اتخذت للتصدي للتمييز في حق النساء في</w:t>
      </w:r>
      <w:r w:rsidR="0091138B">
        <w:rPr>
          <w:rFonts w:hint="eastAsia"/>
          <w:rtl/>
        </w:rPr>
        <w:t> </w:t>
      </w:r>
      <w:r>
        <w:rPr>
          <w:rFonts w:hint="cs"/>
          <w:rtl/>
        </w:rPr>
        <w:t>العمل، بما في ذلك ترقية النساء إلى مراكز صنع القرار في سوق العمل الرسمية، والتمييز في</w:t>
      </w:r>
      <w:r w:rsidR="0091138B">
        <w:rPr>
          <w:rFonts w:hint="eastAsia"/>
          <w:rtl/>
        </w:rPr>
        <w:t> </w:t>
      </w:r>
      <w:r>
        <w:rPr>
          <w:rFonts w:hint="cs"/>
          <w:rtl/>
        </w:rPr>
        <w:t xml:space="preserve">الوظائف، ودفع أجر ساعات العمل الإضافية. ويرجى بيان ما إذا كانت توجد آليات </w:t>
      </w:r>
      <w:r w:rsidR="00474236">
        <w:rPr>
          <w:rFonts w:hint="cs"/>
          <w:rtl/>
        </w:rPr>
        <w:t>تظلم</w:t>
      </w:r>
      <w:r>
        <w:rPr>
          <w:rFonts w:hint="cs"/>
          <w:rtl/>
        </w:rPr>
        <w:t xml:space="preserve"> يمكن للنساء أن </w:t>
      </w:r>
      <w:r w:rsidR="00474236">
        <w:rPr>
          <w:rFonts w:hint="cs"/>
          <w:rtl/>
        </w:rPr>
        <w:t>يلجأن إليها</w:t>
      </w:r>
      <w:r>
        <w:rPr>
          <w:rFonts w:hint="cs"/>
          <w:rtl/>
        </w:rPr>
        <w:t xml:space="preserve"> والعقوبات التي يمكن تطبيقها على أرباب العمل الذين يمارسون التمييز في حق النساء وينتهكون حقوقهن، إضافة إلى عدد القضايا التي رفعتها نساء في إطار هذه الآليات. ويرجى تقديم معلومات عن التدابير التي اتخذتها الدولة الطرف لمعالجة وضع النساء اللائي يُضطررن إلى الخروج من سوق العمل الممتازة وما يستتبع ذلك (الفقرة</w:t>
      </w:r>
      <w:r w:rsidR="001A18BA">
        <w:rPr>
          <w:rFonts w:hint="eastAsia"/>
          <w:rtl/>
        </w:rPr>
        <w:t> </w:t>
      </w:r>
      <w:r>
        <w:rPr>
          <w:rFonts w:hint="cs"/>
          <w:rtl/>
        </w:rPr>
        <w:t>135)، وتنامي البطالة بين النساء (الفقرة 137)، والإشارة إلى التدابير المتخذة لحماية العاملات المهاجرات.</w:t>
      </w:r>
    </w:p>
    <w:p w:rsidR="004E4EAA" w:rsidRPr="00093219" w:rsidRDefault="00E63275" w:rsidP="00093219">
      <w:pPr>
        <w:pStyle w:val="H23GA"/>
        <w:rPr>
          <w:rFonts w:hint="cs"/>
          <w:rtl/>
        </w:rPr>
      </w:pPr>
      <w:r>
        <w:rPr>
          <w:rFonts w:hint="cs"/>
          <w:rtl/>
        </w:rPr>
        <w:tab/>
      </w:r>
      <w:r>
        <w:rPr>
          <w:rFonts w:hint="cs"/>
          <w:rtl/>
        </w:rPr>
        <w:tab/>
      </w:r>
      <w:r w:rsidR="004E4EAA" w:rsidRPr="00093219">
        <w:rPr>
          <w:rFonts w:hint="cs"/>
          <w:rtl/>
        </w:rPr>
        <w:t>الصحة</w:t>
      </w:r>
    </w:p>
    <w:p w:rsidR="004E4EAA" w:rsidRDefault="004E4EAA" w:rsidP="0081208B">
      <w:pPr>
        <w:pStyle w:val="SingleTxtGA"/>
        <w:rPr>
          <w:rFonts w:hint="cs"/>
          <w:rtl/>
        </w:rPr>
      </w:pPr>
      <w:r>
        <w:rPr>
          <w:rFonts w:hint="cs"/>
          <w:rtl/>
        </w:rPr>
        <w:t>16-</w:t>
      </w:r>
      <w:r>
        <w:rPr>
          <w:rFonts w:hint="cs"/>
          <w:rtl/>
        </w:rPr>
        <w:tab/>
        <w:t xml:space="preserve">يشير التقرير (الفقرة 161) إلى أن معدل </w:t>
      </w:r>
      <w:r w:rsidR="0022759D">
        <w:rPr>
          <w:rFonts w:hint="cs"/>
          <w:rtl/>
        </w:rPr>
        <w:t>الوفيات النفاسية</w:t>
      </w:r>
      <w:r>
        <w:rPr>
          <w:rFonts w:hint="cs"/>
          <w:rtl/>
        </w:rPr>
        <w:t xml:space="preserve"> مرتفع بسبب كثرة الإجهاض (97.4 من بين كل </w:t>
      </w:r>
      <w:r w:rsidR="0022759D">
        <w:rPr>
          <w:rFonts w:hint="cs"/>
          <w:rtl/>
        </w:rPr>
        <w:t>000 1</w:t>
      </w:r>
      <w:r>
        <w:rPr>
          <w:rFonts w:hint="cs"/>
          <w:rtl/>
        </w:rPr>
        <w:t xml:space="preserve"> </w:t>
      </w:r>
      <w:r w:rsidR="0022759D">
        <w:rPr>
          <w:rFonts w:hint="cs"/>
          <w:rtl/>
        </w:rPr>
        <w:t>مولود حي</w:t>
      </w:r>
      <w:r>
        <w:rPr>
          <w:rFonts w:hint="cs"/>
          <w:rtl/>
        </w:rPr>
        <w:t xml:space="preserve"> في عام 2009)، والحمل المبكر، وقصر فترات ما بين الحمل والحمل، إضافة إلى </w:t>
      </w:r>
      <w:r>
        <w:rPr>
          <w:rtl/>
          <w:lang w:eastAsia="ar-SA"/>
        </w:rPr>
        <w:t>مستوى الوعي العام</w:t>
      </w:r>
      <w:r>
        <w:rPr>
          <w:rFonts w:hint="cs"/>
          <w:rtl/>
          <w:lang w:eastAsia="ar-SA"/>
        </w:rPr>
        <w:t xml:space="preserve"> المنخفض</w:t>
      </w:r>
      <w:r>
        <w:rPr>
          <w:rtl/>
          <w:lang w:eastAsia="ar-SA"/>
        </w:rPr>
        <w:t xml:space="preserve"> والنهُج التقليدية إزاء الرعاية الصحية عموماً،</w:t>
      </w:r>
      <w:r>
        <w:rPr>
          <w:rFonts w:hint="cs"/>
          <w:rtl/>
          <w:lang w:eastAsia="ar-SA"/>
        </w:rPr>
        <w:t xml:space="preserve"> </w:t>
      </w:r>
      <w:r>
        <w:rPr>
          <w:rtl/>
          <w:lang w:eastAsia="ar-SA"/>
        </w:rPr>
        <w:t>وكذلك إزاء الصحة الإنجابية</w:t>
      </w:r>
      <w:r>
        <w:rPr>
          <w:rFonts w:hint="cs"/>
          <w:rtl/>
          <w:lang w:eastAsia="ar-SA"/>
        </w:rPr>
        <w:t>. ويشير التقرير أيض</w:t>
      </w:r>
      <w:r w:rsidR="003249F4">
        <w:rPr>
          <w:rFonts w:hint="cs"/>
          <w:rtl/>
          <w:lang w:eastAsia="ar-SA"/>
        </w:rPr>
        <w:t xml:space="preserve">اً </w:t>
      </w:r>
      <w:r>
        <w:rPr>
          <w:rFonts w:hint="cs"/>
          <w:rtl/>
          <w:lang w:eastAsia="ar-SA"/>
        </w:rPr>
        <w:t>(الفقرة 175) إلى أن القوالب النمطية التقليدية</w:t>
      </w:r>
      <w:r>
        <w:rPr>
          <w:rFonts w:hint="cs"/>
          <w:rtl/>
        </w:rPr>
        <w:t xml:space="preserve"> تعيق تحصيل النساء والفتيات المعرفة بالصحة الإنجابية. </w:t>
      </w:r>
      <w:r w:rsidR="00797DAC">
        <w:rPr>
          <w:rFonts w:hint="cs"/>
          <w:rtl/>
        </w:rPr>
        <w:t>و</w:t>
      </w:r>
      <w:r>
        <w:rPr>
          <w:rFonts w:hint="cs"/>
          <w:rtl/>
        </w:rPr>
        <w:t xml:space="preserve">يرجى تقديم معلومات عن التدابير التي اتخذتها الدولة الطرف للحد من معدل </w:t>
      </w:r>
      <w:r w:rsidR="00797DAC">
        <w:rPr>
          <w:rFonts w:hint="cs"/>
          <w:rtl/>
        </w:rPr>
        <w:t>الوفيات النفاسية</w:t>
      </w:r>
      <w:r>
        <w:rPr>
          <w:rFonts w:hint="cs"/>
          <w:rtl/>
        </w:rPr>
        <w:t xml:space="preserve"> المرتفع، خاصة تلك المتعلقة بتهيئة سبل الإجهاض المأمون، وتدابير معالجة مسألة قلة استعمال وسائل منع الحمل، مثل</w:t>
      </w:r>
      <w:r w:rsidR="003249F4">
        <w:rPr>
          <w:rFonts w:hint="cs"/>
          <w:rtl/>
        </w:rPr>
        <w:t xml:space="preserve">اً </w:t>
      </w:r>
      <w:r>
        <w:rPr>
          <w:rFonts w:hint="cs"/>
          <w:rtl/>
        </w:rPr>
        <w:t>بتوفيرها وتيسير سبل الحصول عليها وجعلها في المتناول، وتوعية النساء والفتيات بوسائل منع الحمل الحديثة وتنظيم الأسرة، إضافة إلى تسهيل تلقي النساء والفتيات الخدمات الصحية واللجوء إلى مراكز الصحة الإنجابية.</w:t>
      </w:r>
    </w:p>
    <w:p w:rsidR="004E4EAA" w:rsidRPr="00093219" w:rsidRDefault="002E4D03" w:rsidP="00093219">
      <w:pPr>
        <w:pStyle w:val="H23GA"/>
        <w:rPr>
          <w:rFonts w:hint="cs"/>
          <w:rtl/>
        </w:rPr>
      </w:pPr>
      <w:r>
        <w:rPr>
          <w:rFonts w:hint="cs"/>
          <w:rtl/>
        </w:rPr>
        <w:tab/>
      </w:r>
      <w:r>
        <w:rPr>
          <w:rFonts w:hint="cs"/>
          <w:rtl/>
        </w:rPr>
        <w:tab/>
      </w:r>
      <w:r w:rsidR="004E4EAA" w:rsidRPr="00093219">
        <w:rPr>
          <w:rFonts w:hint="cs"/>
          <w:rtl/>
        </w:rPr>
        <w:t>الريفيات</w:t>
      </w:r>
    </w:p>
    <w:p w:rsidR="004E4EAA" w:rsidRDefault="004E4EAA" w:rsidP="00480BE2">
      <w:pPr>
        <w:pStyle w:val="SingleTxtGA"/>
        <w:rPr>
          <w:rFonts w:hint="cs"/>
          <w:rtl/>
        </w:rPr>
      </w:pPr>
      <w:r>
        <w:rPr>
          <w:rFonts w:hint="cs"/>
          <w:rtl/>
        </w:rPr>
        <w:t>17-</w:t>
      </w:r>
      <w:r>
        <w:rPr>
          <w:rFonts w:hint="cs"/>
          <w:rtl/>
        </w:rPr>
        <w:tab/>
        <w:t xml:space="preserve">أورد التقرير معلومات (الفقرة 158) مفادها أن 73 في المائة من سكان الدولة الطرف يعيشون في المناطق الريفية. ويذكر التقرير (الفقرتان 189 </w:t>
      </w:r>
      <w:proofErr w:type="spellStart"/>
      <w:r>
        <w:rPr>
          <w:rFonts w:hint="cs"/>
          <w:rtl/>
        </w:rPr>
        <w:t>و190</w:t>
      </w:r>
      <w:proofErr w:type="spellEnd"/>
      <w:r>
        <w:rPr>
          <w:rFonts w:hint="cs"/>
          <w:rtl/>
        </w:rPr>
        <w:t>) أن وزارة الزراعة أنشأت في عام 2009 فريقا</w:t>
      </w:r>
      <w:r w:rsidR="00EE7862">
        <w:rPr>
          <w:rFonts w:hint="cs"/>
          <w:rtl/>
        </w:rPr>
        <w:t>ً</w:t>
      </w:r>
      <w:r>
        <w:rPr>
          <w:rFonts w:hint="cs"/>
          <w:rtl/>
        </w:rPr>
        <w:t xml:space="preserve"> عاملا</w:t>
      </w:r>
      <w:r w:rsidR="00EE7862">
        <w:rPr>
          <w:rFonts w:hint="cs"/>
          <w:rtl/>
        </w:rPr>
        <w:t>ً</w:t>
      </w:r>
      <w:r>
        <w:rPr>
          <w:rFonts w:hint="cs"/>
          <w:rtl/>
        </w:rPr>
        <w:t xml:space="preserve"> معنيا</w:t>
      </w:r>
      <w:r w:rsidR="00EE7862">
        <w:rPr>
          <w:rFonts w:hint="cs"/>
          <w:rtl/>
        </w:rPr>
        <w:t>ً</w:t>
      </w:r>
      <w:r>
        <w:rPr>
          <w:rFonts w:hint="cs"/>
          <w:rtl/>
        </w:rPr>
        <w:t xml:space="preserve"> بالمسائل الجنسانية لبحث موضوع مشاركة المرأة في تنمية جميع قطاعات الزراعة، واعتَمدت أكثر من 154 برنامجا</w:t>
      </w:r>
      <w:r w:rsidR="00BC0481">
        <w:rPr>
          <w:rFonts w:hint="cs"/>
          <w:rtl/>
        </w:rPr>
        <w:t>ً</w:t>
      </w:r>
      <w:r>
        <w:rPr>
          <w:rFonts w:hint="cs"/>
          <w:rtl/>
        </w:rPr>
        <w:t xml:space="preserve"> قطاعيا</w:t>
      </w:r>
      <w:r w:rsidR="00BC0481">
        <w:rPr>
          <w:rFonts w:hint="cs"/>
          <w:rtl/>
        </w:rPr>
        <w:t>ً</w:t>
      </w:r>
      <w:r>
        <w:rPr>
          <w:rFonts w:hint="cs"/>
          <w:rtl/>
        </w:rPr>
        <w:t xml:space="preserve"> لفائدة الريفيات. </w:t>
      </w:r>
      <w:r w:rsidR="00480BE2">
        <w:rPr>
          <w:rFonts w:hint="cs"/>
          <w:rtl/>
        </w:rPr>
        <w:t>و</w:t>
      </w:r>
      <w:r>
        <w:rPr>
          <w:rFonts w:hint="cs"/>
          <w:rtl/>
        </w:rPr>
        <w:t>يرجى تقديم معلومات عن التدابير المتخذة لزيادة نسبة مشاركة المرأة الريفية في الحياة السياسة والعامة، وتيسير المزيد من فرص لجوئهن إلى القضاء، وملكية الأرض وإدارتها، والفرص الاقتصادية.</w:t>
      </w:r>
    </w:p>
    <w:p w:rsidR="004E4EAA" w:rsidRPr="00093219" w:rsidRDefault="00483B29" w:rsidP="00093219">
      <w:pPr>
        <w:pStyle w:val="H23GA"/>
        <w:rPr>
          <w:rFonts w:hint="cs"/>
          <w:rtl/>
        </w:rPr>
      </w:pPr>
      <w:r>
        <w:rPr>
          <w:rFonts w:hint="cs"/>
          <w:rtl/>
        </w:rPr>
        <w:tab/>
      </w:r>
      <w:r>
        <w:rPr>
          <w:rFonts w:hint="cs"/>
          <w:rtl/>
        </w:rPr>
        <w:tab/>
      </w:r>
      <w:r w:rsidR="004E4EAA" w:rsidRPr="00093219">
        <w:rPr>
          <w:rFonts w:hint="cs"/>
          <w:rtl/>
        </w:rPr>
        <w:t>الزواج والحياة الأسرية</w:t>
      </w:r>
    </w:p>
    <w:p w:rsidR="004E4EAA" w:rsidRDefault="004E4EAA" w:rsidP="007D48EA">
      <w:pPr>
        <w:pStyle w:val="SingleTxtGA"/>
        <w:rPr>
          <w:rFonts w:hint="cs"/>
          <w:rtl/>
        </w:rPr>
      </w:pPr>
      <w:r>
        <w:rPr>
          <w:rFonts w:hint="cs"/>
          <w:rtl/>
        </w:rPr>
        <w:t>18-</w:t>
      </w:r>
      <w:r>
        <w:rPr>
          <w:rFonts w:hint="cs"/>
          <w:rtl/>
        </w:rPr>
        <w:tab/>
        <w:t xml:space="preserve">يقر التقرير (الفقرة 58) بوجود حالات زواج باثنتين </w:t>
      </w:r>
      <w:r w:rsidR="00C1175D">
        <w:rPr>
          <w:rFonts w:hint="cs"/>
          <w:rtl/>
        </w:rPr>
        <w:t>أو أكثر في الدولة الطرف رغم أنه ي</w:t>
      </w:r>
      <w:r>
        <w:rPr>
          <w:rFonts w:hint="cs"/>
          <w:rtl/>
        </w:rPr>
        <w:t>شير إلى أن المادة 170 من القانون الجنائي تنص على أنها جُرم. وجاء في التقرير أيض</w:t>
      </w:r>
      <w:r w:rsidR="003249F4">
        <w:rPr>
          <w:rFonts w:hint="cs"/>
          <w:rtl/>
        </w:rPr>
        <w:t xml:space="preserve">اً </w:t>
      </w:r>
      <w:r>
        <w:rPr>
          <w:rFonts w:hint="cs"/>
          <w:rtl/>
        </w:rPr>
        <w:t>أن النساء، لأسباب شتى، لا يزلن يوافقن على أشكال الزواج تلك، رغم أن تلك الزيجات تعقد في حفل نكاح ديني (</w:t>
      </w:r>
      <w:proofErr w:type="spellStart"/>
      <w:r w:rsidRPr="005578BE">
        <w:rPr>
          <w:rFonts w:hint="cs"/>
          <w:i/>
          <w:iCs/>
          <w:rtl/>
        </w:rPr>
        <w:t>نيكوخ</w:t>
      </w:r>
      <w:proofErr w:type="spellEnd"/>
      <w:r>
        <w:rPr>
          <w:rFonts w:hint="cs"/>
          <w:rtl/>
        </w:rPr>
        <w:t xml:space="preserve">) ولا </w:t>
      </w:r>
      <w:proofErr w:type="spellStart"/>
      <w:r>
        <w:rPr>
          <w:rFonts w:hint="cs"/>
          <w:rtl/>
        </w:rPr>
        <w:t>يعترف</w:t>
      </w:r>
      <w:proofErr w:type="spellEnd"/>
      <w:r>
        <w:rPr>
          <w:rFonts w:hint="cs"/>
          <w:rtl/>
        </w:rPr>
        <w:t xml:space="preserve"> بها القانون المدني. </w:t>
      </w:r>
      <w:r w:rsidR="00C1175D">
        <w:rPr>
          <w:rFonts w:hint="cs"/>
          <w:rtl/>
        </w:rPr>
        <w:t>و</w:t>
      </w:r>
      <w:r>
        <w:rPr>
          <w:rFonts w:hint="cs"/>
          <w:rtl/>
        </w:rPr>
        <w:t xml:space="preserve">يرجى تقديم معلومات عن التدابير المتخذة لمنع تلك الزيجات وعن العقوبات المطبقة على الزعماء الدينيين الذين </w:t>
      </w:r>
      <w:r w:rsidR="007D48EA">
        <w:rPr>
          <w:rFonts w:hint="cs"/>
          <w:rtl/>
        </w:rPr>
        <w:t>يقومون على</w:t>
      </w:r>
      <w:r>
        <w:rPr>
          <w:rFonts w:hint="cs"/>
          <w:rtl/>
        </w:rPr>
        <w:t xml:space="preserve"> تلك </w:t>
      </w:r>
      <w:r w:rsidR="007D48EA">
        <w:rPr>
          <w:rFonts w:hint="cs"/>
          <w:rtl/>
        </w:rPr>
        <w:t xml:space="preserve">المراسم </w:t>
      </w:r>
      <w:r>
        <w:rPr>
          <w:rFonts w:hint="cs"/>
          <w:rtl/>
        </w:rPr>
        <w:t>الدينية. ويرجى أيضا</w:t>
      </w:r>
      <w:r w:rsidR="00C1175D">
        <w:rPr>
          <w:rFonts w:hint="cs"/>
          <w:rtl/>
        </w:rPr>
        <w:t>ً</w:t>
      </w:r>
      <w:r>
        <w:rPr>
          <w:rFonts w:hint="cs"/>
          <w:rtl/>
        </w:rPr>
        <w:t xml:space="preserve"> ذكر التدابير المتخذة لحماية حقوق المرأة في تلك العلاقات من </w:t>
      </w:r>
      <w:r w:rsidR="007D48EA">
        <w:rPr>
          <w:rFonts w:hint="cs"/>
          <w:rtl/>
        </w:rPr>
        <w:t>حيث</w:t>
      </w:r>
      <w:r>
        <w:rPr>
          <w:rFonts w:hint="cs"/>
          <w:rtl/>
        </w:rPr>
        <w:t xml:space="preserve"> الضمان الاجتماعي والسكن، إضافة إلى الأمور المتصلة </w:t>
      </w:r>
      <w:r w:rsidR="007D48EA">
        <w:rPr>
          <w:rFonts w:hint="cs"/>
          <w:rtl/>
        </w:rPr>
        <w:t>بفسخ</w:t>
      </w:r>
      <w:r>
        <w:rPr>
          <w:rFonts w:hint="cs"/>
          <w:rtl/>
        </w:rPr>
        <w:t xml:space="preserve"> تلك العلاقات.</w:t>
      </w:r>
    </w:p>
    <w:p w:rsidR="004E4EAA" w:rsidRDefault="004E4EAA" w:rsidP="005916BF">
      <w:pPr>
        <w:pStyle w:val="SingleTxtGA"/>
        <w:rPr>
          <w:rFonts w:hint="cs"/>
          <w:rtl/>
        </w:rPr>
      </w:pPr>
      <w:r>
        <w:rPr>
          <w:rFonts w:hint="cs"/>
          <w:rtl/>
        </w:rPr>
        <w:t>19-</w:t>
      </w:r>
      <w:r>
        <w:rPr>
          <w:rFonts w:hint="cs"/>
          <w:rtl/>
        </w:rPr>
        <w:tab/>
        <w:t>ويورد التقرير (الفقرة 59) مقترحا</w:t>
      </w:r>
      <w:r w:rsidR="00B7270C">
        <w:rPr>
          <w:rFonts w:hint="cs"/>
          <w:rtl/>
        </w:rPr>
        <w:t>ً</w:t>
      </w:r>
      <w:r>
        <w:rPr>
          <w:rFonts w:hint="cs"/>
          <w:rtl/>
        </w:rPr>
        <w:t xml:space="preserve"> قُدم إلى الحكومة</w:t>
      </w:r>
      <w:r w:rsidRPr="00701163">
        <w:rPr>
          <w:rFonts w:hint="cs"/>
          <w:rtl/>
        </w:rPr>
        <w:t xml:space="preserve"> </w:t>
      </w:r>
      <w:r>
        <w:rPr>
          <w:rFonts w:hint="cs"/>
          <w:rtl/>
        </w:rPr>
        <w:t xml:space="preserve">في عام 2009 لتعيين الحد الأدنى لسن الزواج في 18 سنة. </w:t>
      </w:r>
      <w:r w:rsidR="005916BF">
        <w:rPr>
          <w:rFonts w:hint="cs"/>
          <w:rtl/>
        </w:rPr>
        <w:t>و</w:t>
      </w:r>
      <w:r>
        <w:rPr>
          <w:rFonts w:hint="cs"/>
          <w:rtl/>
        </w:rPr>
        <w:t xml:space="preserve">يرجى تقديم آخر المعلومات عن حالة هذا القرار والتدابير التي اتخذتها الدولة الطرف لمعالجة مشكلة انتشار الزواج المبكر والزواج </w:t>
      </w:r>
      <w:r w:rsidR="005916BF">
        <w:rPr>
          <w:rFonts w:hint="cs"/>
          <w:rtl/>
        </w:rPr>
        <w:t>القسري</w:t>
      </w:r>
      <w:r>
        <w:rPr>
          <w:rFonts w:hint="cs"/>
          <w:rtl/>
        </w:rPr>
        <w:t>.</w:t>
      </w:r>
    </w:p>
    <w:p w:rsidR="004E4EAA" w:rsidRPr="00093219" w:rsidRDefault="00E32D7E" w:rsidP="00093219">
      <w:pPr>
        <w:pStyle w:val="H23GA"/>
        <w:rPr>
          <w:rFonts w:hint="cs"/>
          <w:rtl/>
        </w:rPr>
      </w:pPr>
      <w:r>
        <w:rPr>
          <w:rFonts w:hint="cs"/>
          <w:rtl/>
        </w:rPr>
        <w:tab/>
      </w:r>
      <w:r>
        <w:rPr>
          <w:rFonts w:hint="cs"/>
          <w:rtl/>
        </w:rPr>
        <w:tab/>
      </w:r>
      <w:r w:rsidR="004E4EAA" w:rsidRPr="00093219">
        <w:rPr>
          <w:rFonts w:hint="cs"/>
          <w:rtl/>
        </w:rPr>
        <w:t>البروتوكول الاختياري</w:t>
      </w:r>
    </w:p>
    <w:p w:rsidR="004E4EAA" w:rsidRDefault="004E4EAA" w:rsidP="009929C2">
      <w:pPr>
        <w:pStyle w:val="SingleTxtGA"/>
        <w:rPr>
          <w:rFonts w:hint="cs"/>
          <w:sz w:val="22"/>
          <w:rtl/>
        </w:rPr>
      </w:pPr>
      <w:r>
        <w:rPr>
          <w:rFonts w:hint="cs"/>
          <w:sz w:val="22"/>
          <w:rtl/>
        </w:rPr>
        <w:t>20-</w:t>
      </w:r>
      <w:r>
        <w:rPr>
          <w:rFonts w:hint="cs"/>
          <w:sz w:val="22"/>
          <w:rtl/>
        </w:rPr>
        <w:tab/>
      </w:r>
      <w:r>
        <w:rPr>
          <w:rFonts w:hint="cs"/>
          <w:rtl/>
          <w:lang w:val="fr-CH"/>
        </w:rPr>
        <w:t>يرجى ذكر ما إذا كان قد تَحقق أي تقدم صوب التصديق على البروتوكول الاختياري الملحق بالاتفاقية وقبول التعديل الذي أدخل على الفقرة 1 من المادة 20 من</w:t>
      </w:r>
      <w:r w:rsidR="009929C2">
        <w:rPr>
          <w:rFonts w:hint="eastAsia"/>
          <w:rtl/>
          <w:lang w:val="fr-CH"/>
        </w:rPr>
        <w:t> </w:t>
      </w:r>
      <w:r>
        <w:rPr>
          <w:rFonts w:hint="cs"/>
          <w:rtl/>
          <w:lang w:val="fr-CH"/>
        </w:rPr>
        <w:t>الاتفاقية.</w:t>
      </w:r>
    </w:p>
    <w:p w:rsidR="00B23F95" w:rsidRPr="00B23F95" w:rsidRDefault="00B23F95" w:rsidP="00B23F95">
      <w:pPr>
        <w:spacing w:before="120"/>
        <w:jc w:val="center"/>
        <w:rPr>
          <w:rFonts w:hint="cs"/>
          <w:u w:val="single"/>
          <w:rtl/>
        </w:rPr>
      </w:pPr>
      <w:r>
        <w:rPr>
          <w:u w:val="single"/>
          <w:rtl/>
        </w:rPr>
        <w:tab/>
      </w:r>
      <w:r>
        <w:rPr>
          <w:u w:val="single"/>
          <w:rtl/>
        </w:rPr>
        <w:tab/>
      </w:r>
      <w:r>
        <w:rPr>
          <w:u w:val="single"/>
          <w:rtl/>
        </w:rPr>
        <w:tab/>
      </w:r>
    </w:p>
    <w:sectPr w:rsidR="00B23F95" w:rsidRPr="00B23F95"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E8" w:rsidRPr="00FE6865" w:rsidRDefault="007937E8" w:rsidP="00FE6865">
      <w:pPr>
        <w:pStyle w:val="Footer"/>
      </w:pPr>
    </w:p>
  </w:endnote>
  <w:endnote w:type="continuationSeparator" w:id="0">
    <w:p w:rsidR="007937E8" w:rsidRDefault="00793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CD" w:rsidRPr="008F31CD" w:rsidRDefault="008F31CD" w:rsidP="008F31CD">
    <w:pPr>
      <w:pStyle w:val="Footer"/>
      <w:tabs>
        <w:tab w:val="right" w:pos="9598"/>
      </w:tabs>
    </w:pPr>
    <w:r>
      <w:t>GE.13-42104</w:t>
    </w:r>
    <w:r>
      <w:tab/>
    </w:r>
    <w:r w:rsidRPr="008F31CD">
      <w:rPr>
        <w:b/>
        <w:sz w:val="18"/>
      </w:rPr>
      <w:fldChar w:fldCharType="begin"/>
    </w:r>
    <w:r w:rsidRPr="008F31CD">
      <w:rPr>
        <w:b/>
        <w:sz w:val="18"/>
      </w:rPr>
      <w:instrText xml:space="preserve"> PAGE  \* MERGEFORMAT </w:instrText>
    </w:r>
    <w:r w:rsidRPr="008F31CD">
      <w:rPr>
        <w:b/>
        <w:sz w:val="18"/>
      </w:rPr>
      <w:fldChar w:fldCharType="separate"/>
    </w:r>
    <w:r w:rsidR="00956C17">
      <w:rPr>
        <w:b/>
        <w:noProof/>
        <w:sz w:val="18"/>
      </w:rPr>
      <w:t>2</w:t>
    </w:r>
    <w:r w:rsidRPr="008F31CD">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CD" w:rsidRPr="008F31CD" w:rsidRDefault="008F31CD" w:rsidP="008F31CD">
    <w:pPr>
      <w:pStyle w:val="Footer"/>
      <w:tabs>
        <w:tab w:val="right" w:pos="9598"/>
      </w:tabs>
      <w:rPr>
        <w:b/>
        <w:sz w:val="18"/>
      </w:rPr>
    </w:pPr>
    <w:r w:rsidRPr="008F31CD">
      <w:rPr>
        <w:b/>
        <w:sz w:val="18"/>
      </w:rPr>
      <w:fldChar w:fldCharType="begin"/>
    </w:r>
    <w:r w:rsidRPr="008F31CD">
      <w:rPr>
        <w:b/>
        <w:sz w:val="18"/>
      </w:rPr>
      <w:instrText xml:space="preserve"> PAGE  \* MERGEFORMAT </w:instrText>
    </w:r>
    <w:r w:rsidRPr="008F31CD">
      <w:rPr>
        <w:b/>
        <w:sz w:val="18"/>
      </w:rPr>
      <w:fldChar w:fldCharType="separate"/>
    </w:r>
    <w:r w:rsidR="00956C17">
      <w:rPr>
        <w:b/>
        <w:noProof/>
        <w:sz w:val="18"/>
      </w:rPr>
      <w:t>3</w:t>
    </w:r>
    <w:r w:rsidRPr="008F31CD">
      <w:rPr>
        <w:b/>
        <w:sz w:val="18"/>
      </w:rPr>
      <w:fldChar w:fldCharType="end"/>
    </w:r>
    <w:r>
      <w:rPr>
        <w:b/>
        <w:sz w:val="18"/>
      </w:rPr>
      <w:tab/>
    </w:r>
    <w:r>
      <w:t>GE.13-42104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3" w:rsidRDefault="008F31CD" w:rsidP="008F31CD">
    <w:pPr>
      <w:pStyle w:val="Footer"/>
      <w:jc w:val="right"/>
    </w:pPr>
    <w:r>
      <w:rPr>
        <w:sz w:val="20"/>
      </w:rPr>
      <w:t>(A)   GE.13-42104</w:t>
    </w:r>
    <w:r w:rsidR="00475A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pt;margin-top:-1.45pt;width:91.5pt;height:25.5pt;z-index:-2;mso-position-horizontal-relative:text;mso-position-vertical-relative:text" wrapcoords="-177 0 -177 20965 21600 20965 21600 0 -177 0" o:allowincell="f">
          <v:imagedata r:id="rId1" o:title="PleaseRecycleArabic"/>
          <w10:wrap type="tight"/>
          <w10:anchorlock/>
        </v:shape>
      </w:pict>
    </w:r>
    <w:r w:rsidR="007072EA">
      <w:rPr>
        <w:sz w:val="20"/>
      </w:rPr>
      <w:t xml:space="preserve">    230413    230413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E8" w:rsidRDefault="007937E8" w:rsidP="00834FF4">
      <w:pPr>
        <w:pStyle w:val="Footer"/>
        <w:bidi/>
        <w:spacing w:after="80" w:line="200" w:lineRule="exact"/>
        <w:ind w:left="680"/>
      </w:pPr>
      <w:r>
        <w:rPr>
          <w:rFonts w:hint="cs"/>
          <w:rtl/>
        </w:rPr>
        <w:t>__________</w:t>
      </w:r>
    </w:p>
  </w:footnote>
  <w:footnote w:type="continuationSeparator" w:id="0">
    <w:p w:rsidR="007937E8" w:rsidRDefault="007937E8" w:rsidP="00834FF4">
      <w:pPr>
        <w:pStyle w:val="Footer"/>
        <w:bidi/>
        <w:spacing w:after="80" w:line="200" w:lineRule="exact"/>
        <w:ind w:left="680"/>
      </w:pPr>
      <w:r>
        <w:rPr>
          <w:rFonts w:hint="cs"/>
          <w:rtl/>
        </w:rPr>
        <w:t>__________</w:t>
      </w:r>
    </w:p>
  </w:footnote>
  <w:footnote w:id="1">
    <w:p w:rsidR="004E4EAA" w:rsidRPr="00E53504" w:rsidRDefault="004E4EAA" w:rsidP="00316454">
      <w:pPr>
        <w:pStyle w:val="FootnoteText"/>
        <w:numPr>
          <w:ilvl w:val="0"/>
          <w:numId w:val="37"/>
        </w:numPr>
        <w:tabs>
          <w:tab w:val="clear" w:pos="1292"/>
          <w:tab w:val="right" w:pos="1239"/>
        </w:tabs>
        <w:spacing w:after="60" w:line="300" w:lineRule="exact"/>
        <w:ind w:left="1248" w:right="1247"/>
        <w:rPr>
          <w:rFonts w:hint="cs"/>
          <w:sz w:val="18"/>
          <w:szCs w:val="26"/>
        </w:rPr>
      </w:pPr>
      <w:r w:rsidRPr="00E53504">
        <w:rPr>
          <w:sz w:val="18"/>
          <w:szCs w:val="26"/>
          <w:rtl/>
        </w:rPr>
        <w:t xml:space="preserve">ما لم </w:t>
      </w:r>
      <w:r w:rsidR="00316454" w:rsidRPr="00E53504">
        <w:rPr>
          <w:rFonts w:hint="cs"/>
          <w:sz w:val="18"/>
          <w:szCs w:val="26"/>
          <w:rtl/>
        </w:rPr>
        <w:t>يشر إلى خلاف ذلك</w:t>
      </w:r>
      <w:r w:rsidRPr="00E53504">
        <w:rPr>
          <w:sz w:val="18"/>
          <w:szCs w:val="26"/>
          <w:rtl/>
        </w:rPr>
        <w:t>، تشير أرقام الفقرات إلى التقرير الجامع للتقريرين الرابع والخامس للدولة الطرف (</w:t>
      </w:r>
      <w:r w:rsidRPr="00E53504">
        <w:rPr>
          <w:sz w:val="18"/>
          <w:szCs w:val="26"/>
        </w:rPr>
        <w:t>CEDAW/C/TJK/4-5</w:t>
      </w:r>
      <w:r w:rsidRPr="00E53504">
        <w:rPr>
          <w:sz w:val="18"/>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CD" w:rsidRPr="008F31CD" w:rsidRDefault="008F31CD" w:rsidP="008F31CD">
    <w:pPr>
      <w:pStyle w:val="Header"/>
      <w:jc w:val="right"/>
    </w:pPr>
    <w:r w:rsidRPr="008F31CD">
      <w:t>CEDAW/C/TJK/Q/4-5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3" w:rsidRPr="008F31CD" w:rsidRDefault="008F31CD" w:rsidP="008F31CD">
    <w:pPr>
      <w:pStyle w:val="Header"/>
      <w:jc w:val="left"/>
    </w:pPr>
    <w:r w:rsidRPr="008F31CD">
      <w:t>CEDAW/C/TJK/Q/4-5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D3" w:rsidRDefault="00475AD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475AD3" w:rsidRPr="00460CB7" w:rsidRDefault="00475AD3"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CD2CCD10">
      <w:start w:val="1"/>
      <w:numFmt w:val="bullet"/>
      <w:pStyle w:val="Bullet2GA"/>
      <w:lvlText w:val=""/>
      <w:lvlJc w:val="left"/>
      <w:pPr>
        <w:tabs>
          <w:tab w:val="num" w:pos="1644"/>
        </w:tabs>
        <w:ind w:left="2041" w:firstLine="0"/>
      </w:pPr>
      <w:rPr>
        <w:rFonts w:ascii="Symbol" w:hAnsi="Symbol" w:hint="default"/>
      </w:rPr>
    </w:lvl>
    <w:lvl w:ilvl="1" w:tplc="04090019" w:tentative="1">
      <w:start w:val="1"/>
      <w:numFmt w:val="bullet"/>
      <w:lvlText w:val="o"/>
      <w:lvlJc w:val="left"/>
      <w:pPr>
        <w:tabs>
          <w:tab w:val="num" w:pos="3935"/>
        </w:tabs>
        <w:ind w:left="3935" w:hanging="360"/>
      </w:pPr>
      <w:rPr>
        <w:rFonts w:ascii="Courier New" w:hAnsi="Courier New" w:cs="Courier New" w:hint="default"/>
      </w:rPr>
    </w:lvl>
    <w:lvl w:ilvl="2" w:tplc="0409001B" w:tentative="1">
      <w:start w:val="1"/>
      <w:numFmt w:val="bullet"/>
      <w:lvlText w:val=""/>
      <w:lvlJc w:val="left"/>
      <w:pPr>
        <w:tabs>
          <w:tab w:val="num" w:pos="4655"/>
        </w:tabs>
        <w:ind w:left="4655" w:hanging="360"/>
      </w:pPr>
      <w:rPr>
        <w:rFonts w:ascii="Wingdings" w:hAnsi="Wingdings" w:hint="default"/>
      </w:rPr>
    </w:lvl>
    <w:lvl w:ilvl="3" w:tplc="0409000F" w:tentative="1">
      <w:start w:val="1"/>
      <w:numFmt w:val="bullet"/>
      <w:lvlText w:val=""/>
      <w:lvlJc w:val="left"/>
      <w:pPr>
        <w:tabs>
          <w:tab w:val="num" w:pos="5375"/>
        </w:tabs>
        <w:ind w:left="5375" w:hanging="360"/>
      </w:pPr>
      <w:rPr>
        <w:rFonts w:ascii="Symbol" w:hAnsi="Symbol" w:hint="default"/>
      </w:rPr>
    </w:lvl>
    <w:lvl w:ilvl="4" w:tplc="04090019" w:tentative="1">
      <w:start w:val="1"/>
      <w:numFmt w:val="bullet"/>
      <w:lvlText w:val="o"/>
      <w:lvlJc w:val="left"/>
      <w:pPr>
        <w:tabs>
          <w:tab w:val="num" w:pos="6095"/>
        </w:tabs>
        <w:ind w:left="6095" w:hanging="360"/>
      </w:pPr>
      <w:rPr>
        <w:rFonts w:ascii="Courier New" w:hAnsi="Courier New" w:cs="Courier New" w:hint="default"/>
      </w:rPr>
    </w:lvl>
    <w:lvl w:ilvl="5" w:tplc="0409001B" w:tentative="1">
      <w:start w:val="1"/>
      <w:numFmt w:val="bullet"/>
      <w:lvlText w:val=""/>
      <w:lvlJc w:val="left"/>
      <w:pPr>
        <w:tabs>
          <w:tab w:val="num" w:pos="6815"/>
        </w:tabs>
        <w:ind w:left="6815" w:hanging="360"/>
      </w:pPr>
      <w:rPr>
        <w:rFonts w:ascii="Wingdings" w:hAnsi="Wingdings" w:hint="default"/>
      </w:rPr>
    </w:lvl>
    <w:lvl w:ilvl="6" w:tplc="0409000F" w:tentative="1">
      <w:start w:val="1"/>
      <w:numFmt w:val="bullet"/>
      <w:lvlText w:val=""/>
      <w:lvlJc w:val="left"/>
      <w:pPr>
        <w:tabs>
          <w:tab w:val="num" w:pos="7535"/>
        </w:tabs>
        <w:ind w:left="7535" w:hanging="360"/>
      </w:pPr>
      <w:rPr>
        <w:rFonts w:ascii="Symbol" w:hAnsi="Symbol" w:hint="default"/>
      </w:rPr>
    </w:lvl>
    <w:lvl w:ilvl="7" w:tplc="04090019" w:tentative="1">
      <w:start w:val="1"/>
      <w:numFmt w:val="bullet"/>
      <w:lvlText w:val="o"/>
      <w:lvlJc w:val="left"/>
      <w:pPr>
        <w:tabs>
          <w:tab w:val="num" w:pos="8255"/>
        </w:tabs>
        <w:ind w:left="8255" w:hanging="360"/>
      </w:pPr>
      <w:rPr>
        <w:rFonts w:ascii="Courier New" w:hAnsi="Courier New" w:cs="Courier New" w:hint="default"/>
      </w:rPr>
    </w:lvl>
    <w:lvl w:ilvl="8" w:tplc="0409001B"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AD3"/>
    <w:rsid w:val="000254F8"/>
    <w:rsid w:val="00033A54"/>
    <w:rsid w:val="00040E25"/>
    <w:rsid w:val="00042149"/>
    <w:rsid w:val="000448E5"/>
    <w:rsid w:val="00053D8D"/>
    <w:rsid w:val="000648EA"/>
    <w:rsid w:val="00086934"/>
    <w:rsid w:val="00093219"/>
    <w:rsid w:val="000957C8"/>
    <w:rsid w:val="00097049"/>
    <w:rsid w:val="000A04D5"/>
    <w:rsid w:val="000A0AA9"/>
    <w:rsid w:val="000B52F2"/>
    <w:rsid w:val="000D0EAE"/>
    <w:rsid w:val="000D5380"/>
    <w:rsid w:val="000D6654"/>
    <w:rsid w:val="000E103D"/>
    <w:rsid w:val="000F0264"/>
    <w:rsid w:val="000F2EBF"/>
    <w:rsid w:val="000F3A9F"/>
    <w:rsid w:val="000F5FF6"/>
    <w:rsid w:val="001022B5"/>
    <w:rsid w:val="00113FA5"/>
    <w:rsid w:val="001455A0"/>
    <w:rsid w:val="001602A3"/>
    <w:rsid w:val="00193D9B"/>
    <w:rsid w:val="00193F93"/>
    <w:rsid w:val="001A18BA"/>
    <w:rsid w:val="001A5161"/>
    <w:rsid w:val="001A60BD"/>
    <w:rsid w:val="001E7F6A"/>
    <w:rsid w:val="002225D3"/>
    <w:rsid w:val="002244FB"/>
    <w:rsid w:val="0022759D"/>
    <w:rsid w:val="00232277"/>
    <w:rsid w:val="0023736D"/>
    <w:rsid w:val="00257225"/>
    <w:rsid w:val="0027767B"/>
    <w:rsid w:val="002B3A2E"/>
    <w:rsid w:val="002C5DE5"/>
    <w:rsid w:val="002D2924"/>
    <w:rsid w:val="002E4D03"/>
    <w:rsid w:val="00310160"/>
    <w:rsid w:val="00316454"/>
    <w:rsid w:val="003249F4"/>
    <w:rsid w:val="00341A8C"/>
    <w:rsid w:val="00344D62"/>
    <w:rsid w:val="003519E6"/>
    <w:rsid w:val="003521C7"/>
    <w:rsid w:val="00356BB9"/>
    <w:rsid w:val="00367EB3"/>
    <w:rsid w:val="00397E78"/>
    <w:rsid w:val="003A193B"/>
    <w:rsid w:val="003B4356"/>
    <w:rsid w:val="003C6EE6"/>
    <w:rsid w:val="003E0E36"/>
    <w:rsid w:val="003F08A8"/>
    <w:rsid w:val="004250E3"/>
    <w:rsid w:val="004517BF"/>
    <w:rsid w:val="00460CB7"/>
    <w:rsid w:val="00462520"/>
    <w:rsid w:val="00471F9A"/>
    <w:rsid w:val="00472A81"/>
    <w:rsid w:val="00474236"/>
    <w:rsid w:val="00475AD3"/>
    <w:rsid w:val="00480BE2"/>
    <w:rsid w:val="00483B29"/>
    <w:rsid w:val="00487D59"/>
    <w:rsid w:val="004A20A6"/>
    <w:rsid w:val="004B2C92"/>
    <w:rsid w:val="004D6A3A"/>
    <w:rsid w:val="004E4EAA"/>
    <w:rsid w:val="004E5412"/>
    <w:rsid w:val="004F306B"/>
    <w:rsid w:val="004F4AD7"/>
    <w:rsid w:val="00502B9D"/>
    <w:rsid w:val="0055484B"/>
    <w:rsid w:val="00557CD3"/>
    <w:rsid w:val="00571432"/>
    <w:rsid w:val="005732A2"/>
    <w:rsid w:val="005762A5"/>
    <w:rsid w:val="005877DD"/>
    <w:rsid w:val="00587AF1"/>
    <w:rsid w:val="00590BA3"/>
    <w:rsid w:val="005916BF"/>
    <w:rsid w:val="005B1BDA"/>
    <w:rsid w:val="005B46D9"/>
    <w:rsid w:val="005B7AE0"/>
    <w:rsid w:val="005F146F"/>
    <w:rsid w:val="005F71B6"/>
    <w:rsid w:val="00654786"/>
    <w:rsid w:val="00660BB8"/>
    <w:rsid w:val="00660FD4"/>
    <w:rsid w:val="006A4425"/>
    <w:rsid w:val="006B00A4"/>
    <w:rsid w:val="006B4669"/>
    <w:rsid w:val="006D2D38"/>
    <w:rsid w:val="006F6BF8"/>
    <w:rsid w:val="007072EA"/>
    <w:rsid w:val="00707BDF"/>
    <w:rsid w:val="00710727"/>
    <w:rsid w:val="00715F45"/>
    <w:rsid w:val="00731815"/>
    <w:rsid w:val="00731B84"/>
    <w:rsid w:val="00734AE7"/>
    <w:rsid w:val="0079344E"/>
    <w:rsid w:val="007937E8"/>
    <w:rsid w:val="00797DAC"/>
    <w:rsid w:val="007A0213"/>
    <w:rsid w:val="007A794E"/>
    <w:rsid w:val="007D48EA"/>
    <w:rsid w:val="007E197F"/>
    <w:rsid w:val="007F68C4"/>
    <w:rsid w:val="00800D7E"/>
    <w:rsid w:val="0081208B"/>
    <w:rsid w:val="008153DE"/>
    <w:rsid w:val="00834FF4"/>
    <w:rsid w:val="00852A10"/>
    <w:rsid w:val="00862634"/>
    <w:rsid w:val="00866C59"/>
    <w:rsid w:val="00877306"/>
    <w:rsid w:val="00892D14"/>
    <w:rsid w:val="008A6242"/>
    <w:rsid w:val="008B4BC6"/>
    <w:rsid w:val="008F31CD"/>
    <w:rsid w:val="00901E57"/>
    <w:rsid w:val="009070DF"/>
    <w:rsid w:val="0091138B"/>
    <w:rsid w:val="00922026"/>
    <w:rsid w:val="0092378C"/>
    <w:rsid w:val="00935F0E"/>
    <w:rsid w:val="00941DD1"/>
    <w:rsid w:val="0095208F"/>
    <w:rsid w:val="00956C17"/>
    <w:rsid w:val="00977B3F"/>
    <w:rsid w:val="009814AE"/>
    <w:rsid w:val="009901D3"/>
    <w:rsid w:val="009929C2"/>
    <w:rsid w:val="00996BBE"/>
    <w:rsid w:val="00997969"/>
    <w:rsid w:val="009B2C03"/>
    <w:rsid w:val="009C1469"/>
    <w:rsid w:val="009D1DD5"/>
    <w:rsid w:val="009F722C"/>
    <w:rsid w:val="00A26157"/>
    <w:rsid w:val="00A265C3"/>
    <w:rsid w:val="00A3234F"/>
    <w:rsid w:val="00A362E6"/>
    <w:rsid w:val="00A43F9A"/>
    <w:rsid w:val="00A517EC"/>
    <w:rsid w:val="00A53F38"/>
    <w:rsid w:val="00A543D4"/>
    <w:rsid w:val="00A56469"/>
    <w:rsid w:val="00AD0014"/>
    <w:rsid w:val="00AD4CF2"/>
    <w:rsid w:val="00AE4308"/>
    <w:rsid w:val="00AF0BBA"/>
    <w:rsid w:val="00AF0EF6"/>
    <w:rsid w:val="00B23F95"/>
    <w:rsid w:val="00B25BBD"/>
    <w:rsid w:val="00B30468"/>
    <w:rsid w:val="00B44E31"/>
    <w:rsid w:val="00B7270C"/>
    <w:rsid w:val="00B740B5"/>
    <w:rsid w:val="00BA4F7E"/>
    <w:rsid w:val="00BB2C41"/>
    <w:rsid w:val="00BC0481"/>
    <w:rsid w:val="00BC55C8"/>
    <w:rsid w:val="00BC5C10"/>
    <w:rsid w:val="00BE2964"/>
    <w:rsid w:val="00C1175D"/>
    <w:rsid w:val="00C21623"/>
    <w:rsid w:val="00C24FBD"/>
    <w:rsid w:val="00C473BA"/>
    <w:rsid w:val="00C611ED"/>
    <w:rsid w:val="00C6490A"/>
    <w:rsid w:val="00C64FE1"/>
    <w:rsid w:val="00C73EB8"/>
    <w:rsid w:val="00C74296"/>
    <w:rsid w:val="00C8345E"/>
    <w:rsid w:val="00CA5F7C"/>
    <w:rsid w:val="00D51067"/>
    <w:rsid w:val="00D75657"/>
    <w:rsid w:val="00D960AD"/>
    <w:rsid w:val="00DA0E0E"/>
    <w:rsid w:val="00DB0C39"/>
    <w:rsid w:val="00DB6C86"/>
    <w:rsid w:val="00DB7679"/>
    <w:rsid w:val="00DD4FB7"/>
    <w:rsid w:val="00DF1702"/>
    <w:rsid w:val="00DF4DD8"/>
    <w:rsid w:val="00DF668E"/>
    <w:rsid w:val="00E04826"/>
    <w:rsid w:val="00E14D2B"/>
    <w:rsid w:val="00E20DBA"/>
    <w:rsid w:val="00E32D7E"/>
    <w:rsid w:val="00E53504"/>
    <w:rsid w:val="00E63275"/>
    <w:rsid w:val="00E6524A"/>
    <w:rsid w:val="00E660D6"/>
    <w:rsid w:val="00E6691E"/>
    <w:rsid w:val="00E771AB"/>
    <w:rsid w:val="00EA796F"/>
    <w:rsid w:val="00EB077B"/>
    <w:rsid w:val="00EC50B9"/>
    <w:rsid w:val="00ED26A0"/>
    <w:rsid w:val="00ED6CDE"/>
    <w:rsid w:val="00EE7862"/>
    <w:rsid w:val="00F05733"/>
    <w:rsid w:val="00F15A2A"/>
    <w:rsid w:val="00F1727A"/>
    <w:rsid w:val="00F34764"/>
    <w:rsid w:val="00F54E3C"/>
    <w:rsid w:val="00F618BC"/>
    <w:rsid w:val="00F7225E"/>
    <w:rsid w:val="00F874BD"/>
    <w:rsid w:val="00FA0C45"/>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1">
    <w:name w:val="_ H_1"/>
    <w:basedOn w:val="Normal"/>
    <w:next w:val="Normal"/>
    <w:rsid w:val="008F31CD"/>
    <w:pPr>
      <w:keepNext/>
      <w:keepLines/>
      <w:suppressAutoHyphens/>
      <w:spacing w:line="400" w:lineRule="exact"/>
      <w:outlineLvl w:val="0"/>
    </w:pPr>
    <w:rPr>
      <w:b/>
      <w:bCs/>
      <w:w w:val="103"/>
      <w:kern w:val="14"/>
      <w:sz w:val="24"/>
      <w:szCs w:val="34"/>
    </w:rPr>
  </w:style>
  <w:style w:type="paragraph" w:customStyle="1" w:styleId="H23">
    <w:name w:val="_ H_2/3"/>
    <w:basedOn w:val="H1"/>
    <w:next w:val="Normal"/>
    <w:rsid w:val="008F31CD"/>
    <w:pPr>
      <w:jc w:val="both"/>
      <w:outlineLvl w:val="1"/>
    </w:pPr>
    <w:rPr>
      <w:spacing w:val="2"/>
      <w:sz w:val="20"/>
      <w:szCs w:val="30"/>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0</TotalTime>
  <Pages>6</Pages>
  <Words>1674</Words>
  <Characters>9547</Characters>
  <Application>Microsoft Office Outlook</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CEDAW/C/TJK/Q/4-5</vt:lpstr>
    </vt:vector>
  </TitlesOfParts>
  <Company>CSD</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CEDAW/C/TJK/Q/4-5</dc:title>
  <dc:subject>Ghanammi-Mamoune</dc:subject>
  <dc:creator>Joumana</dc:creator>
  <cp:keywords/>
  <dc:description/>
  <cp:lastModifiedBy>Joumana</cp:lastModifiedBy>
  <cp:revision>2</cp:revision>
  <cp:lastPrinted>2013-04-23T07:46:00Z</cp:lastPrinted>
  <dcterms:created xsi:type="dcterms:W3CDTF">2013-04-23T12:29:00Z</dcterms:created>
  <dcterms:modified xsi:type="dcterms:W3CDTF">2013-04-23T12:29:00Z</dcterms:modified>
</cp:coreProperties>
</file>