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9C" w:rsidRDefault="0053149C" w:rsidP="0053149C">
      <w:pPr>
        <w:spacing w:line="60" w:lineRule="exact"/>
        <w:rPr>
          <w:color w:val="010000"/>
          <w:sz w:val="6"/>
        </w:rPr>
        <w:sectPr w:rsidR="0053149C" w:rsidSect="005314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8B49A7" w:rsidRPr="008B49A7" w:rsidRDefault="008B49A7" w:rsidP="008B49A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B49A7">
        <w:t>Комитет по ликвидации дискриминации</w:t>
      </w:r>
      <w:r w:rsidRPr="008B49A7">
        <w:br/>
        <w:t>в отношении женщин</w:t>
      </w:r>
    </w:p>
    <w:p w:rsidR="008B49A7" w:rsidRP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49A7">
        <w:t>Шестьдесят вторая сессия</w:t>
      </w:r>
    </w:p>
    <w:p w:rsidR="008B49A7" w:rsidRPr="008B49A7" w:rsidRDefault="008B49A7" w:rsidP="008B49A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B49A7">
        <w:t>26</w:t>
      </w:r>
      <w:r w:rsidRPr="008B49A7">
        <w:rPr>
          <w:lang w:val="en-US"/>
        </w:rPr>
        <w:t> </w:t>
      </w:r>
      <w:r w:rsidRPr="008B49A7">
        <w:t>октября</w:t>
      </w:r>
      <w:r w:rsidR="00D13BF4">
        <w:t xml:space="preserve"> — </w:t>
      </w:r>
      <w:r w:rsidRPr="008B49A7">
        <w:t>20</w:t>
      </w:r>
      <w:r w:rsidRPr="008B49A7">
        <w:rPr>
          <w:lang w:val="en-US"/>
        </w:rPr>
        <w:t> </w:t>
      </w:r>
      <w:r w:rsidRPr="008B49A7">
        <w:t>ноября 2015</w:t>
      </w:r>
      <w:r w:rsidRPr="008B49A7">
        <w:rPr>
          <w:lang w:val="en-US"/>
        </w:rPr>
        <w:t> </w:t>
      </w:r>
      <w:r w:rsidRPr="008B49A7">
        <w:t>года</w:t>
      </w:r>
    </w:p>
    <w:p w:rsidR="008B49A7" w:rsidRP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49A7">
        <w:t>Пункт</w:t>
      </w:r>
      <w:r w:rsidRPr="008B49A7">
        <w:rPr>
          <w:lang w:val="en-US"/>
        </w:rPr>
        <w:t> </w:t>
      </w:r>
      <w:r w:rsidRPr="008B49A7">
        <w:t>4 предварительной повестки дня</w:t>
      </w:r>
      <w:r w:rsidRPr="00D13BF4">
        <w:rPr>
          <w:b w:val="0"/>
          <w:vertAlign w:val="superscript"/>
        </w:rPr>
        <w:footnoteReference w:id="1"/>
        <w:t>*</w:t>
      </w:r>
    </w:p>
    <w:p w:rsidR="008B49A7" w:rsidRPr="008B49A7" w:rsidRDefault="008B49A7" w:rsidP="008B49A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8B49A7">
        <w:t xml:space="preserve">Рассмотрение докладов, представленных </w:t>
      </w:r>
      <w:r w:rsidRPr="008B49A7">
        <w:br/>
        <w:t>государствами</w:t>
      </w:r>
      <w:r w:rsidR="0049630A">
        <w:t>-</w:t>
      </w:r>
      <w:r w:rsidRPr="008B49A7">
        <w:t xml:space="preserve">участниками в соответствии </w:t>
      </w:r>
      <w:r w:rsidRPr="008B49A7">
        <w:br/>
        <w:t>со статьей</w:t>
      </w:r>
      <w:r w:rsidRPr="008B49A7">
        <w:rPr>
          <w:lang w:val="en-US"/>
        </w:rPr>
        <w:t> </w:t>
      </w:r>
      <w:r w:rsidRPr="008B49A7">
        <w:t xml:space="preserve">18 Конвенции о ликвидации всех </w:t>
      </w:r>
      <w:r w:rsidRPr="008B49A7">
        <w:br/>
        <w:t xml:space="preserve">форм дискриминации в отношении женщин </w:t>
      </w:r>
    </w:p>
    <w:p w:rsidR="008B49A7" w:rsidRPr="008B49A7" w:rsidRDefault="008B49A7" w:rsidP="008B49A7">
      <w:pPr>
        <w:pStyle w:val="SingleTxt"/>
        <w:spacing w:after="0" w:line="120" w:lineRule="exact"/>
        <w:rPr>
          <w:b/>
          <w:sz w:val="10"/>
        </w:rPr>
      </w:pPr>
    </w:p>
    <w:p w:rsidR="008B49A7" w:rsidRPr="008B49A7" w:rsidRDefault="008B49A7" w:rsidP="008B49A7">
      <w:pPr>
        <w:pStyle w:val="SingleTxt"/>
        <w:spacing w:after="0" w:line="120" w:lineRule="exact"/>
        <w:rPr>
          <w:b/>
          <w:sz w:val="10"/>
        </w:rPr>
      </w:pPr>
    </w:p>
    <w:p w:rsidR="008B49A7" w:rsidRPr="008B49A7" w:rsidRDefault="008B49A7" w:rsidP="008B49A7">
      <w:pPr>
        <w:pStyle w:val="SingleTxt"/>
        <w:spacing w:after="0" w:line="120" w:lineRule="exact"/>
        <w:rPr>
          <w:b/>
          <w:sz w:val="10"/>
        </w:rPr>
      </w:pPr>
    </w:p>
    <w:p w:rsidR="008B49A7" w:rsidRPr="008B49A7" w:rsidRDefault="008B49A7" w:rsidP="008B49A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49A7">
        <w:tab/>
      </w:r>
      <w:r w:rsidRPr="008B49A7">
        <w:tab/>
        <w:t>Перечень тем и вопросов в связи с рассмотрением второго и третьего периодических докладов Тимора</w:t>
      </w:r>
      <w:r w:rsidRPr="008B49A7">
        <w:noBreakHyphen/>
        <w:t>Лешти</w:t>
      </w:r>
    </w:p>
    <w:p w:rsidR="008B49A7" w:rsidRPr="008B49A7" w:rsidRDefault="008B49A7" w:rsidP="008B49A7">
      <w:pPr>
        <w:pStyle w:val="SingleTxt"/>
        <w:spacing w:after="0" w:line="120" w:lineRule="exact"/>
        <w:rPr>
          <w:b/>
          <w:sz w:val="10"/>
        </w:rPr>
      </w:pPr>
    </w:p>
    <w:p w:rsidR="008B49A7" w:rsidRPr="008B49A7" w:rsidRDefault="008B49A7" w:rsidP="008B49A7">
      <w:pPr>
        <w:pStyle w:val="SingleTxt"/>
        <w:spacing w:after="0" w:line="120" w:lineRule="exact"/>
        <w:rPr>
          <w:b/>
          <w:sz w:val="10"/>
        </w:rPr>
      </w:pPr>
    </w:p>
    <w:p w:rsid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9630A">
        <w:tab/>
      </w:r>
      <w:r w:rsidRPr="0049630A">
        <w:tab/>
      </w:r>
      <w:r w:rsidRPr="008B49A7">
        <w:t>Конституционная, законодательная и институциональная база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  <w:lang w:val="en-US"/>
        </w:rPr>
      </w:pPr>
    </w:p>
    <w:p w:rsidR="008B49A7" w:rsidRPr="008B49A7" w:rsidRDefault="008B49A7" w:rsidP="008B49A7">
      <w:pPr>
        <w:pStyle w:val="SingleTxt"/>
      </w:pPr>
      <w:r w:rsidRPr="008B49A7">
        <w:t>1.</w:t>
      </w:r>
      <w:r w:rsidRPr="008B49A7">
        <w:tab/>
        <w:t>Просьба представить информацию о принятых мерах для включения а</w:t>
      </w:r>
      <w:r w:rsidRPr="008B49A7">
        <w:t>н</w:t>
      </w:r>
      <w:r w:rsidRPr="008B49A7">
        <w:t>тидискриминационных стандартов в законодательную и нормативно-правовую базу государства-участника, которые содержат определение понятия прямой и косвенной дискриминации и предусматривают защиту от такой дискримин</w:t>
      </w:r>
      <w:r w:rsidRPr="008B49A7">
        <w:t>а</w:t>
      </w:r>
      <w:r w:rsidRPr="008B49A7">
        <w:t>ции. Просьба представить также обновленную информацию о прогрессе, д</w:t>
      </w:r>
      <w:r w:rsidRPr="008B49A7">
        <w:t>о</w:t>
      </w:r>
      <w:r w:rsidRPr="008B49A7">
        <w:t>стигнутом в принятии закона об отправлении правосудия традиционными м</w:t>
      </w:r>
      <w:r w:rsidRPr="008B49A7">
        <w:t>е</w:t>
      </w:r>
      <w:r w:rsidRPr="008B49A7">
        <w:t>ханизмами, закона о регулировании посреднической деятельности и закона о равенстве мужчин и женщин.</w:t>
      </w:r>
    </w:p>
    <w:p w:rsidR="008B49A7" w:rsidRPr="008B49A7" w:rsidRDefault="008B49A7" w:rsidP="008B49A7">
      <w:pPr>
        <w:pStyle w:val="SingleTxt"/>
      </w:pPr>
      <w:r w:rsidRPr="008B49A7">
        <w:t>2.</w:t>
      </w:r>
      <w:r w:rsidRPr="008B49A7">
        <w:tab/>
        <w:t>Просьба представить информацию о шагах, направленных на внедрение системы регулярного обучения работников судебных органов по вопросам применения положений Конвенции и Факультативного протокола, в том числе общих рекомендаций Комитета, а также о ходе выполнения государством-участником его обязательств в свете информации, содержащейся в его докл</w:t>
      </w:r>
      <w:r w:rsidRPr="008B49A7">
        <w:t>а</w:t>
      </w:r>
      <w:r w:rsidRPr="008B49A7">
        <w:t>дах (</w:t>
      </w:r>
      <w:hyperlink r:id="rId14" w:history="1">
        <w:r w:rsidRPr="00D13BF4">
          <w:rPr>
            <w:rStyle w:val="Hyperlink"/>
          </w:rPr>
          <w:t>CEDAW/C/TSL/2-3</w:t>
        </w:r>
      </w:hyperlink>
      <w:r w:rsidRPr="008B49A7">
        <w:t>, пункт 60)</w:t>
      </w:r>
      <w:r w:rsidRPr="008B49A7">
        <w:rPr>
          <w:vertAlign w:val="superscript"/>
        </w:rPr>
        <w:t>1</w:t>
      </w:r>
      <w:r w:rsidRPr="008B49A7">
        <w:t>. Просьба представить информацию о том, каким образом государство-участник повышает осведомленность и распр</w:t>
      </w:r>
      <w:r w:rsidRPr="008B49A7">
        <w:t>о</w:t>
      </w:r>
      <w:r w:rsidRPr="008B49A7">
        <w:t>страняет знания среди женщин об их правах по Конвенции, в особенности ср</w:t>
      </w:r>
      <w:r w:rsidRPr="008B49A7">
        <w:t>е</w:t>
      </w:r>
      <w:r w:rsidRPr="008B49A7">
        <w:t>ди сельских женщин, женщин-инвалидов и пожилых женщин, а также о проц</w:t>
      </w:r>
      <w:r w:rsidRPr="008B49A7">
        <w:t>е</w:t>
      </w:r>
      <w:r w:rsidRPr="008B49A7">
        <w:t>дурах подачи жалоб и о соответствующих положениях национального закон</w:t>
      </w:r>
      <w:r w:rsidRPr="008B49A7">
        <w:t>о</w:t>
      </w:r>
      <w:r w:rsidRPr="008B49A7">
        <w:t>дательства. Просьба предоставить также информацию о случаях, когда на п</w:t>
      </w:r>
      <w:r w:rsidRPr="008B49A7">
        <w:t>о</w:t>
      </w:r>
      <w:r w:rsidRPr="008B49A7">
        <w:t>ложения Конвенции делались ссылки в судах.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</w:rPr>
      </w:pPr>
    </w:p>
    <w:p w:rsid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B49A7">
        <w:t>Доступ к правосудию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  <w:lang w:val="en-US"/>
        </w:rPr>
      </w:pPr>
    </w:p>
    <w:p w:rsidR="008B49A7" w:rsidRPr="008B49A7" w:rsidRDefault="008B49A7" w:rsidP="008B49A7">
      <w:pPr>
        <w:pStyle w:val="SingleTxt"/>
      </w:pPr>
      <w:r w:rsidRPr="008B49A7">
        <w:t>3.</w:t>
      </w:r>
      <w:r w:rsidRPr="008B49A7">
        <w:tab/>
        <w:t>Просьба представить обновленную информацию об осуществлении зак</w:t>
      </w:r>
      <w:r w:rsidRPr="008B49A7">
        <w:t>о</w:t>
      </w:r>
      <w:r w:rsidRPr="008B49A7">
        <w:t>на о защите свидетелей (Закон №2/2009) и о состоянии проекта закона о пр</w:t>
      </w:r>
      <w:r w:rsidRPr="008B49A7">
        <w:t>и</w:t>
      </w:r>
      <w:r w:rsidRPr="008B49A7">
        <w:t>менении механизмов обычного права в борьбе с вредной практикой, такой как выкуп невесты. Указать также о воздействии на права женщин использования традиционных систем отправления правосудия в решении проблем насилия в семье (пункт 127). Просьба указать шаги, предпринятые государством учас</w:t>
      </w:r>
      <w:r w:rsidRPr="008B49A7">
        <w:t>т</w:t>
      </w:r>
      <w:r w:rsidRPr="008B49A7">
        <w:t>ником в области установления четких процедур подачи жалоб о сексуальной дискриминации, применения надлежащих санкций против такой дискримин</w:t>
      </w:r>
      <w:r w:rsidRPr="008B49A7">
        <w:t>а</w:t>
      </w:r>
      <w:r w:rsidRPr="008B49A7">
        <w:t>ции и обеспечения женщинам доступа к эффективным средствам правовой з</w:t>
      </w:r>
      <w:r w:rsidRPr="008B49A7">
        <w:t>а</w:t>
      </w:r>
      <w:r w:rsidRPr="008B49A7">
        <w:t>щиты в случае нарушения их прав, как это было ранее рекомендовано Комит</w:t>
      </w:r>
      <w:r w:rsidRPr="008B49A7">
        <w:t>е</w:t>
      </w:r>
      <w:r w:rsidRPr="008B49A7">
        <w:t>том (см. </w:t>
      </w:r>
      <w:hyperlink r:id="rId15" w:history="1">
        <w:r w:rsidRPr="00D13BF4">
          <w:rPr>
            <w:rStyle w:val="Hyperlink"/>
          </w:rPr>
          <w:t>CEDAW/C/TLS/CO/1</w:t>
        </w:r>
      </w:hyperlink>
      <w:r w:rsidRPr="008B49A7">
        <w:t>, пункт 18). В докладах указывается о создании канцелярии Омбудсмена по правам человека и по вопросам правосудия, кот</w:t>
      </w:r>
      <w:r w:rsidRPr="008B49A7">
        <w:t>о</w:t>
      </w:r>
      <w:r w:rsidRPr="008B49A7">
        <w:t xml:space="preserve">рая призвана расследовать жалобы о дискриминации (пункт 5). Просьба предоставить информацию о финансовых и людских ресурсах, выделяемых для работы этой канцелярии. </w:t>
      </w:r>
    </w:p>
    <w:p w:rsidR="008B49A7" w:rsidRPr="008B49A7" w:rsidRDefault="008B49A7" w:rsidP="008B49A7">
      <w:pPr>
        <w:pStyle w:val="SingleTxt"/>
      </w:pPr>
      <w:r w:rsidRPr="008B49A7">
        <w:t>4.</w:t>
      </w:r>
      <w:r w:rsidRPr="008B49A7">
        <w:tab/>
        <w:t>Согласно полученной Комитетом информации, барьерами, препятству</w:t>
      </w:r>
      <w:r w:rsidRPr="008B49A7">
        <w:t>ю</w:t>
      </w:r>
      <w:r w:rsidRPr="008B49A7">
        <w:t>щими доступу женщин к правосудию, являются наличие небольшого числа окружных судов; вынесение слишком мягких приговоров лицам, соверша</w:t>
      </w:r>
      <w:r w:rsidRPr="008B49A7">
        <w:t>ю</w:t>
      </w:r>
      <w:r w:rsidRPr="008B49A7">
        <w:t>щим акты насилия в семье; ограниченные меры по защите свидетелей; огран</w:t>
      </w:r>
      <w:r w:rsidRPr="008B49A7">
        <w:t>и</w:t>
      </w:r>
      <w:r w:rsidRPr="008B49A7">
        <w:t>ченный доступ к юридической помощи. К ним относится также отъезд ин</w:t>
      </w:r>
      <w:r w:rsidRPr="008B49A7">
        <w:t>о</w:t>
      </w:r>
      <w:r w:rsidRPr="008B49A7">
        <w:t>странных судей и прокуроров после принятия парламентского постановл</w:t>
      </w:r>
      <w:r w:rsidRPr="008B49A7">
        <w:t>е</w:t>
      </w:r>
      <w:r w:rsidRPr="008B49A7">
        <w:t>ния № 11/2014 и правительственных постановлений № 29/2014 и № 32/2014. Просьбы представить информацию о принятых мерах по укреплению инфр</w:t>
      </w:r>
      <w:r w:rsidRPr="008B49A7">
        <w:t>а</w:t>
      </w:r>
      <w:r w:rsidRPr="008B49A7">
        <w:t xml:space="preserve">структуры и повышению качества государственной системы правосудия и по расширению доступа женщин к правосудию, прежде всего в сельских районах. 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</w:rPr>
      </w:pPr>
    </w:p>
    <w:p w:rsid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B49A7">
        <w:t xml:space="preserve">Стереотипы 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  <w:lang w:val="en-US"/>
        </w:rPr>
      </w:pPr>
    </w:p>
    <w:p w:rsidR="008B49A7" w:rsidRPr="008B49A7" w:rsidRDefault="008B49A7" w:rsidP="008B49A7">
      <w:pPr>
        <w:pStyle w:val="SingleTxt"/>
      </w:pPr>
      <w:r w:rsidRPr="008B49A7">
        <w:t>5.</w:t>
      </w:r>
      <w:r w:rsidRPr="008B49A7">
        <w:tab/>
        <w:t>Просьба представить информацию о предпринятых шагах по разработке всеобъемлющей стратегии, направленной на изменение или ликвидацию ук</w:t>
      </w:r>
      <w:r w:rsidRPr="008B49A7">
        <w:t>о</w:t>
      </w:r>
      <w:r w:rsidRPr="008B49A7">
        <w:t xml:space="preserve">ренившихся культурных обычаев и стереотипов, носящих дискриминационный характер в отношении женщин. К этому процессу необходимо привлекать к участию женщин и мужчин, девочек и мальчиков, религиозных и общинных лидеров, родителей, учителей и чиновников в сотрудничестве с гражданским обществом, в частности с женскими организациями. 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</w:rPr>
      </w:pPr>
    </w:p>
    <w:p w:rsid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B49A7">
        <w:t>Насилие в отношении женщин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  <w:lang w:val="en-US"/>
        </w:rPr>
      </w:pPr>
    </w:p>
    <w:p w:rsidR="008B49A7" w:rsidRPr="008B49A7" w:rsidRDefault="008B49A7" w:rsidP="008B49A7">
      <w:pPr>
        <w:pStyle w:val="SingleTxt"/>
      </w:pPr>
      <w:r w:rsidRPr="008B49A7">
        <w:t>6.</w:t>
      </w:r>
      <w:r w:rsidRPr="008B49A7">
        <w:tab/>
        <w:t>В докладе отмечаются трудности, с которыми сталкивается Группа по з</w:t>
      </w:r>
      <w:r w:rsidRPr="008B49A7">
        <w:t>а</w:t>
      </w:r>
      <w:r w:rsidRPr="008B49A7">
        <w:t>щите уязвимых лиц (ГЗУЛ) в расследовании случаев гендерного насилия (пункт 96). Просьба представить информацию о предпринятых шагах к обе</w:t>
      </w:r>
      <w:r w:rsidRPr="008B49A7">
        <w:t>с</w:t>
      </w:r>
      <w:r w:rsidRPr="008B49A7">
        <w:t>печению того, чтобы районные подразделения ГЗУЛ получали необходимое финансирование и были укомплектованы обученным персоналом с соблюден</w:t>
      </w:r>
      <w:r w:rsidRPr="008B49A7">
        <w:t>и</w:t>
      </w:r>
      <w:r w:rsidRPr="008B49A7">
        <w:t>ем гендерного баланса в кадровом составе. При этом важно, чтобы полице</w:t>
      </w:r>
      <w:r w:rsidRPr="008B49A7">
        <w:t>й</w:t>
      </w:r>
      <w:r w:rsidRPr="008B49A7">
        <w:t>ские сотрудники, работающие в этой структуре, назначались на длительный срок, как это предусмотрено в Национальном плане действий по борьбе с ге</w:t>
      </w:r>
      <w:r w:rsidRPr="008B49A7">
        <w:t>н</w:t>
      </w:r>
      <w:r w:rsidRPr="008B49A7">
        <w:t>дерным насилием. Согласно статье 24 закона о борьбе с насилием в семье (З</w:t>
      </w:r>
      <w:r w:rsidRPr="008B49A7">
        <w:t>а</w:t>
      </w:r>
      <w:r w:rsidRPr="008B49A7">
        <w:t>кон № 7/2010), ГЗУЛ обязана передавать дела, связанные с домашним насил</w:t>
      </w:r>
      <w:r w:rsidRPr="008B49A7">
        <w:t>и</w:t>
      </w:r>
      <w:r w:rsidRPr="008B49A7">
        <w:t>ем, в генеральную прокуратуру в течение 5 дней после поступления такой ж</w:t>
      </w:r>
      <w:r w:rsidRPr="008B49A7">
        <w:t>а</w:t>
      </w:r>
      <w:r w:rsidRPr="008B49A7">
        <w:t xml:space="preserve">лобы. Какое число из общего количества жалоб, поступивших в ГЗУЛ, было передано в прокуратуру в течение предусмотренного срока? Просьба также представить информацию о принимаемых мерах по недопущению проволочек в преследовании лиц, совершивших акты насилия в отношении женщин, в том числе домашнего насилия, а также о мерах по защите пострадавших лиц, когда выносится условный приговор. </w:t>
      </w:r>
    </w:p>
    <w:p w:rsidR="008B49A7" w:rsidRPr="008B49A7" w:rsidRDefault="008B49A7" w:rsidP="008B49A7">
      <w:pPr>
        <w:pStyle w:val="SingleTxt"/>
      </w:pPr>
      <w:r w:rsidRPr="008B49A7">
        <w:t>7.</w:t>
      </w:r>
      <w:r w:rsidRPr="008B49A7">
        <w:tab/>
        <w:t>Согласно информации, полученной Комитетом, в период 2010</w:t>
      </w:r>
      <w:r w:rsidR="0049630A">
        <w:t>–</w:t>
      </w:r>
      <w:r w:rsidRPr="008B49A7">
        <w:t>2013</w:t>
      </w:r>
      <w:r w:rsidRPr="008B49A7">
        <w:rPr>
          <w:lang w:val="en-US"/>
        </w:rPr>
        <w:t> </w:t>
      </w:r>
      <w:r w:rsidRPr="008B49A7">
        <w:t>годов в 71,3</w:t>
      </w:r>
      <w:r w:rsidRPr="008B49A7">
        <w:rPr>
          <w:lang w:val="en-US"/>
        </w:rPr>
        <w:t> </w:t>
      </w:r>
      <w:r w:rsidRPr="008B49A7">
        <w:t>процента случаев домашнего насилия виновникам было предъявлено о</w:t>
      </w:r>
      <w:r w:rsidRPr="008B49A7">
        <w:t>б</w:t>
      </w:r>
      <w:r w:rsidRPr="008B49A7">
        <w:t>винение по статье 145</w:t>
      </w:r>
      <w:r w:rsidRPr="008B49A7">
        <w:rPr>
          <w:lang w:val="en-US"/>
        </w:rPr>
        <w:t> </w:t>
      </w:r>
      <w:r w:rsidRPr="008B49A7">
        <w:t>Уголовного кодекса и в 53</w:t>
      </w:r>
      <w:r w:rsidRPr="008B49A7">
        <w:rPr>
          <w:lang w:val="en-US"/>
        </w:rPr>
        <w:t> </w:t>
      </w:r>
      <w:r w:rsidRPr="008B49A7">
        <w:t>процентах случаев пригов</w:t>
      </w:r>
      <w:r w:rsidRPr="008B49A7">
        <w:t>о</w:t>
      </w:r>
      <w:r w:rsidRPr="008B49A7">
        <w:t>ры, вынесенные по статье 145, были условными. Уголовным кодексом пред</w:t>
      </w:r>
      <w:r w:rsidRPr="008B49A7">
        <w:t>у</w:t>
      </w:r>
      <w:r w:rsidRPr="008B49A7">
        <w:t>сматривается возможность вынесения условного приговора при наличии опр</w:t>
      </w:r>
      <w:r w:rsidRPr="008B49A7">
        <w:t>е</w:t>
      </w:r>
      <w:r w:rsidRPr="008B49A7">
        <w:t>деленных обстоятельств. Сколько было случаев домашнего насилия, по кот</w:t>
      </w:r>
      <w:r w:rsidRPr="008B49A7">
        <w:t>о</w:t>
      </w:r>
      <w:r w:rsidRPr="008B49A7">
        <w:t>рым были вынесены условные приговоры на основании наличия особых о</w:t>
      </w:r>
      <w:r w:rsidRPr="008B49A7">
        <w:t>б</w:t>
      </w:r>
      <w:r w:rsidRPr="008B49A7">
        <w:t>стоятельств? Сколько было случаев домашнего насилия, когда суды предпис</w:t>
      </w:r>
      <w:r w:rsidRPr="008B49A7">
        <w:t>ы</w:t>
      </w:r>
      <w:r w:rsidRPr="008B49A7">
        <w:t>вали выплату компенсации пострадавшему лицу? Просьба также представить информацию о прогрессе, достигнутом в создании дополнительных приютов для жертв насилия (пункт</w:t>
      </w:r>
      <w:r w:rsidRPr="008B49A7">
        <w:rPr>
          <w:lang w:val="en-US"/>
        </w:rPr>
        <w:t> </w:t>
      </w:r>
      <w:r w:rsidRPr="008B49A7">
        <w:t>90) и в обеспечении достаточного количества бе</w:t>
      </w:r>
      <w:r w:rsidRPr="008B49A7">
        <w:t>з</w:t>
      </w:r>
      <w:r w:rsidRPr="008B49A7">
        <w:t>опасных и надлежащим образом профинансированных приютов во всех окр</w:t>
      </w:r>
      <w:r w:rsidRPr="008B49A7">
        <w:t>у</w:t>
      </w:r>
      <w:r w:rsidRPr="008B49A7">
        <w:t>гах, в частности для женщин, ставших жертвами домашнего насилия, включая сельских женщин и женщин-инвалидов. Какие принимаются меры по устран</w:t>
      </w:r>
      <w:r w:rsidRPr="008B49A7">
        <w:t>е</w:t>
      </w:r>
      <w:r w:rsidRPr="008B49A7">
        <w:t>нию повышенной опасности стать жертвами насилия, которой подвергаются женщины и девочки из числа инвалидов, и по обеспечению их доступа к пр</w:t>
      </w:r>
      <w:r w:rsidRPr="008B49A7">
        <w:t>а</w:t>
      </w:r>
      <w:r w:rsidRPr="008B49A7">
        <w:t>восудию и получению необходимой помощи?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</w:rPr>
      </w:pPr>
    </w:p>
    <w:p w:rsid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B49A7">
        <w:t>Торговля людьми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  <w:lang w:val="en-US"/>
        </w:rPr>
      </w:pPr>
    </w:p>
    <w:p w:rsidR="008B49A7" w:rsidRPr="008B49A7" w:rsidRDefault="008B49A7" w:rsidP="008B49A7">
      <w:pPr>
        <w:pStyle w:val="SingleTxt"/>
      </w:pPr>
      <w:r w:rsidRPr="008B49A7">
        <w:t>8.</w:t>
      </w:r>
      <w:r w:rsidRPr="008B49A7">
        <w:tab/>
        <w:t>Просьба представить информацию о нынешнем состоянии проекта закона о предотвращении и пресечении торговли людьми и наказании виновных лиц и о ходе осуществления Национального плана действий по борьбе с торговлей людьми. Просьба также представить информацию о количестве проведенных расследований и возбужденных уголовных дел в случаях торговли людьми и о числе вынесенных приговоров таким торговцам, а также о результатах обжал</w:t>
      </w:r>
      <w:r w:rsidRPr="008B49A7">
        <w:t>о</w:t>
      </w:r>
      <w:r w:rsidRPr="008B49A7">
        <w:t>вания приговора, о котором упоминается в докладах (пункт</w:t>
      </w:r>
      <w:r w:rsidRPr="008B49A7">
        <w:rPr>
          <w:lang w:val="en-US"/>
        </w:rPr>
        <w:t> </w:t>
      </w:r>
      <w:r w:rsidRPr="008B49A7">
        <w:t>153). Просьба оп</w:t>
      </w:r>
      <w:r w:rsidRPr="008B49A7">
        <w:t>и</w:t>
      </w:r>
      <w:r w:rsidRPr="008B49A7">
        <w:t>сать любые предпринятые превентивные усилия, включая проведение разъя</w:t>
      </w:r>
      <w:r w:rsidRPr="008B49A7">
        <w:t>с</w:t>
      </w:r>
      <w:r w:rsidRPr="008B49A7">
        <w:t>нительной работы и укрепление потенциала, которые направлены на своевр</w:t>
      </w:r>
      <w:r w:rsidRPr="008B49A7">
        <w:t>е</w:t>
      </w:r>
      <w:r w:rsidRPr="008B49A7">
        <w:t>менное выявление и защиту жертв торговли людьми, и о работе служб по ре</w:t>
      </w:r>
      <w:r w:rsidRPr="008B49A7">
        <w:t>а</w:t>
      </w:r>
      <w:r w:rsidRPr="008B49A7">
        <w:t xml:space="preserve">билитации насилия и их реинтеграции в жизнь общества. 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</w:rPr>
      </w:pPr>
    </w:p>
    <w:p w:rsid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B49A7">
        <w:t>Участие в политической и общественной жизни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  <w:lang w:val="en-US"/>
        </w:rPr>
      </w:pPr>
    </w:p>
    <w:p w:rsidR="008B49A7" w:rsidRPr="008B49A7" w:rsidRDefault="008B49A7" w:rsidP="008B49A7">
      <w:pPr>
        <w:pStyle w:val="SingleTxt"/>
      </w:pPr>
      <w:r w:rsidRPr="008B49A7">
        <w:t>9.</w:t>
      </w:r>
      <w:r w:rsidRPr="008B49A7">
        <w:tab/>
        <w:t>Государство-участник признает наличие многочисленных барьеров, пр</w:t>
      </w:r>
      <w:r w:rsidRPr="008B49A7">
        <w:t>е</w:t>
      </w:r>
      <w:r w:rsidRPr="008B49A7">
        <w:t>пятствующих участию женщин в политической и общественной жизни (пункт</w:t>
      </w:r>
      <w:r w:rsidRPr="008B49A7">
        <w:rPr>
          <w:lang w:val="en-US"/>
        </w:rPr>
        <w:t> </w:t>
      </w:r>
      <w:r w:rsidRPr="008B49A7">
        <w:t>172). Наряду с расширением представительства женщин в парламенте с 25 до 38</w:t>
      </w:r>
      <w:r w:rsidRPr="008B49A7">
        <w:rPr>
          <w:lang w:val="en-US"/>
        </w:rPr>
        <w:t> </w:t>
      </w:r>
      <w:r w:rsidRPr="008B49A7">
        <w:t>процентов с 2009</w:t>
      </w:r>
      <w:r w:rsidRPr="008B49A7">
        <w:rPr>
          <w:lang w:val="en-US"/>
        </w:rPr>
        <w:t> </w:t>
      </w:r>
      <w:r w:rsidRPr="008B49A7">
        <w:t>года, их представительство на высоких правител</w:t>
      </w:r>
      <w:r w:rsidRPr="008B49A7">
        <w:t>ь</w:t>
      </w:r>
      <w:r w:rsidRPr="008B49A7">
        <w:t>ственных должностях (на уровне министров, заместителей министров и гос</w:t>
      </w:r>
      <w:r w:rsidRPr="008B49A7">
        <w:t>у</w:t>
      </w:r>
      <w:r w:rsidRPr="008B49A7">
        <w:t>дарственных секретарей) возросло лишь незначительно, с 18 до 20</w:t>
      </w:r>
      <w:r w:rsidRPr="008B49A7">
        <w:rPr>
          <w:lang w:val="en-US"/>
        </w:rPr>
        <w:t> </w:t>
      </w:r>
      <w:r w:rsidRPr="008B49A7">
        <w:t>процентов, после последней перестановке должностей в правительстве. Просьба предст</w:t>
      </w:r>
      <w:r w:rsidRPr="008B49A7">
        <w:t>а</w:t>
      </w:r>
      <w:r w:rsidRPr="008B49A7">
        <w:t>вить информацию о принятых мерах, включая временные специальные меры, такие как установление квот и развертывание просветительских кампаний по разъяснению важности полноценного и равноправного представительства женщин на руководящих должностях, которые направлены на преодоление т</w:t>
      </w:r>
      <w:r w:rsidRPr="008B49A7">
        <w:t>а</w:t>
      </w:r>
      <w:r w:rsidRPr="008B49A7">
        <w:t>ких барьеров и на поощрение равного представительства женщин в политич</w:t>
      </w:r>
      <w:r w:rsidRPr="008B49A7">
        <w:t>е</w:t>
      </w:r>
      <w:r w:rsidRPr="008B49A7">
        <w:t xml:space="preserve">ской и общественной жизни, в том числе на местном уровне. 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</w:rPr>
      </w:pPr>
    </w:p>
    <w:p w:rsid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B49A7">
        <w:t>Образование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  <w:lang w:val="en-US"/>
        </w:rPr>
      </w:pPr>
    </w:p>
    <w:p w:rsidR="008B49A7" w:rsidRPr="008B49A7" w:rsidRDefault="008B49A7" w:rsidP="008B49A7">
      <w:pPr>
        <w:pStyle w:val="SingleTxt"/>
      </w:pPr>
      <w:r w:rsidRPr="008B49A7">
        <w:t>10.</w:t>
      </w:r>
      <w:r w:rsidRPr="008B49A7">
        <w:tab/>
        <w:t>Просьба представить обновленную информацию о предпринятых шагах, направленных на снятие конкретных озабоченностей Комитета, выраженных в его предыдущих заключительных замечаниях (</w:t>
      </w:r>
      <w:hyperlink r:id="rId16" w:history="1">
        <w:r w:rsidRPr="00D13BF4">
          <w:rPr>
            <w:rStyle w:val="Hyperlink"/>
          </w:rPr>
          <w:t>CEDAW/C/TLS/CO/1</w:t>
        </w:r>
      </w:hyperlink>
      <w:r w:rsidRPr="008B49A7">
        <w:t>, пункт</w:t>
      </w:r>
      <w:r w:rsidRPr="008B49A7">
        <w:rPr>
          <w:lang w:val="en-US"/>
        </w:rPr>
        <w:t> </w:t>
      </w:r>
      <w:r w:rsidRPr="008B49A7">
        <w:t>36). В частности в случаях, когда, по мнению Комитета, его рекомендации были не выполнены или были выполнены частично, а также в случаях, когда Комитет считает полученную информацию недостаточной, с учетом его письма от 19</w:t>
      </w:r>
      <w:r w:rsidRPr="008B49A7">
        <w:rPr>
          <w:lang w:val="en-US"/>
        </w:rPr>
        <w:t> </w:t>
      </w:r>
      <w:r w:rsidRPr="008B49A7">
        <w:t>марта 2013</w:t>
      </w:r>
      <w:r w:rsidRPr="008B49A7">
        <w:rPr>
          <w:lang w:val="en-US"/>
        </w:rPr>
        <w:t> </w:t>
      </w:r>
      <w:r w:rsidRPr="008B49A7">
        <w:t>года. Согласно информации, полученной Комитетом, лишь 65</w:t>
      </w:r>
      <w:r w:rsidRPr="008B49A7">
        <w:rPr>
          <w:lang w:val="en-US"/>
        </w:rPr>
        <w:t> </w:t>
      </w:r>
      <w:r w:rsidRPr="008B49A7">
        <w:t>процентов школ государства-участника имеют туалеты и лишь 38</w:t>
      </w:r>
      <w:r w:rsidRPr="008B49A7">
        <w:rPr>
          <w:lang w:val="en-US"/>
        </w:rPr>
        <w:t> </w:t>
      </w:r>
      <w:r w:rsidRPr="008B49A7">
        <w:t>процентов имеют туалеты оборудованные водопроводом, и поэтому многие девочки, когда у них начинается менструальный период, бросают школу из-за отсутствия надлежащих санитарных условий. Просьба указать, рассматривался ли вопрос о разработке гендерно ориентированной программы по улучшению санитарной гигиены в школах, и предпринимаются ли другие шаги по обеспечению в шк</w:t>
      </w:r>
      <w:r w:rsidRPr="008B49A7">
        <w:t>о</w:t>
      </w:r>
      <w:r w:rsidRPr="008B49A7">
        <w:t xml:space="preserve">лах надлежащих санитарных условий, прежде всего для девочек. </w:t>
      </w:r>
    </w:p>
    <w:p w:rsidR="008B49A7" w:rsidRPr="008B49A7" w:rsidRDefault="008B49A7" w:rsidP="008B49A7">
      <w:pPr>
        <w:pStyle w:val="SingleTxt"/>
      </w:pPr>
      <w:r w:rsidRPr="008B49A7">
        <w:t>11.</w:t>
      </w:r>
      <w:r w:rsidRPr="008B49A7">
        <w:tab/>
        <w:t>В докладах говорится о том, что девочки бросают учебу главным образом по причине ранней беременности, традиционных взглядов на образование д</w:t>
      </w:r>
      <w:r w:rsidRPr="008B49A7">
        <w:t>е</w:t>
      </w:r>
      <w:r w:rsidRPr="008B49A7">
        <w:t>вочек, низких отметках на выпускных экзаменах, слабого здоровья и, в редких случаях, сексуального насилия (пункт</w:t>
      </w:r>
      <w:r w:rsidRPr="008B49A7">
        <w:rPr>
          <w:lang w:val="en-US"/>
        </w:rPr>
        <w:t> </w:t>
      </w:r>
      <w:r w:rsidRPr="008B49A7">
        <w:t>192). Просьба представить информацию о принятых мерах по устранению таких преград, в том числе путем внедрения правил о восстановлении на учебе, которые позволили бы молодым женщинам вернуться в школу после беременности, как это рекомендовано Комитетом в его предыдущих заключительных замечаниях (</w:t>
      </w:r>
      <w:hyperlink r:id="rId17" w:history="1">
        <w:r w:rsidRPr="00D13BF4">
          <w:rPr>
            <w:rStyle w:val="Hyperlink"/>
          </w:rPr>
          <w:t>CEDAW/C/TLS/CO/1</w:t>
        </w:r>
      </w:hyperlink>
      <w:r w:rsidRPr="008B49A7">
        <w:t>, пункт</w:t>
      </w:r>
      <w:r w:rsidRPr="008B49A7">
        <w:rPr>
          <w:lang w:val="en-US"/>
        </w:rPr>
        <w:t> </w:t>
      </w:r>
      <w:r w:rsidRPr="008B49A7">
        <w:t xml:space="preserve">36). </w:t>
      </w:r>
    </w:p>
    <w:p w:rsidR="008B49A7" w:rsidRPr="008B49A7" w:rsidRDefault="008B49A7" w:rsidP="008B49A7">
      <w:pPr>
        <w:pStyle w:val="SingleTxt"/>
      </w:pPr>
      <w:r w:rsidRPr="008B49A7">
        <w:t>12.</w:t>
      </w:r>
      <w:r w:rsidRPr="008B49A7">
        <w:tab/>
        <w:t>В докладах указывается о значительном снижении случаев сексуального насилия, которые доводятся до сведения генерального инспектора образования. Так в 2012</w:t>
      </w:r>
      <w:r w:rsidRPr="008B49A7">
        <w:rPr>
          <w:lang w:val="en-US"/>
        </w:rPr>
        <w:t> </w:t>
      </w:r>
      <w:r w:rsidRPr="008B49A7">
        <w:t>году было заявлено о девяти случаях такого насилия, включая чет</w:t>
      </w:r>
      <w:r w:rsidRPr="008B49A7">
        <w:t>ы</w:t>
      </w:r>
      <w:r w:rsidRPr="008B49A7">
        <w:t>ре случая, которые были переданы в суд, и пять случаев, которые были урег</w:t>
      </w:r>
      <w:r w:rsidRPr="008B49A7">
        <w:t>у</w:t>
      </w:r>
      <w:r w:rsidRPr="008B49A7">
        <w:t>лированы с использованием традиционных механизмов (пункт</w:t>
      </w:r>
      <w:r w:rsidRPr="008B49A7">
        <w:rPr>
          <w:lang w:val="en-US"/>
        </w:rPr>
        <w:t> </w:t>
      </w:r>
      <w:r w:rsidRPr="008B49A7">
        <w:t>201). Просьба представить информацию о мерах, принятых государством-участником по п</w:t>
      </w:r>
      <w:r w:rsidRPr="008B49A7">
        <w:t>о</w:t>
      </w:r>
      <w:r w:rsidRPr="008B49A7">
        <w:t>буждению женщин и девочек сообщать в полицию о совершении актов секс</w:t>
      </w:r>
      <w:r w:rsidRPr="008B49A7">
        <w:t>у</w:t>
      </w:r>
      <w:r w:rsidRPr="008B49A7">
        <w:t>ального насилия в учебных заведениях, и добиваться того, чтобы применение традиционных механизмов отправления правосудия не нарушало прав жертв насилия и не приводило к безнаказанности виновных. Просьба объяснить, п</w:t>
      </w:r>
      <w:r w:rsidRPr="008B49A7">
        <w:t>о</w:t>
      </w:r>
      <w:r w:rsidRPr="008B49A7">
        <w:t>чему государственные служащие, работающие в системе образования, которые совершают акты сексуального насилия, наказываются лишь переводом на р</w:t>
      </w:r>
      <w:r w:rsidRPr="008B49A7">
        <w:t>а</w:t>
      </w:r>
      <w:r w:rsidRPr="008B49A7">
        <w:t>боту в другие школы. Просьба также представить обновленную информацию о количестве зарегистрированных случаев сексуального насилия в школах и о наложенном наказании виновных, а также указать сроки введения в действие политики абсолютной нетерпимости насилия (пункт</w:t>
      </w:r>
      <w:r w:rsidRPr="008B49A7">
        <w:rPr>
          <w:lang w:val="en-US"/>
        </w:rPr>
        <w:t> </w:t>
      </w:r>
      <w:r w:rsidRPr="008B49A7">
        <w:t xml:space="preserve">199). 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</w:rPr>
      </w:pPr>
    </w:p>
    <w:p w:rsidR="008B49A7" w:rsidRP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8B49A7">
        <w:tab/>
      </w:r>
      <w:r w:rsidRPr="0049630A">
        <w:tab/>
      </w:r>
      <w:r w:rsidRPr="008B49A7">
        <w:t>Занятость</w:t>
      </w:r>
    </w:p>
    <w:p w:rsidR="008B49A7" w:rsidRPr="008B49A7" w:rsidRDefault="008B49A7" w:rsidP="008B49A7">
      <w:pPr>
        <w:pStyle w:val="SingleTxt"/>
        <w:spacing w:after="0" w:line="120" w:lineRule="exact"/>
        <w:rPr>
          <w:b/>
          <w:sz w:val="10"/>
        </w:rPr>
      </w:pPr>
    </w:p>
    <w:p w:rsidR="008B49A7" w:rsidRPr="008B49A7" w:rsidRDefault="008B49A7" w:rsidP="008B49A7">
      <w:pPr>
        <w:pStyle w:val="SingleTxt"/>
      </w:pPr>
      <w:r w:rsidRPr="008B49A7">
        <w:t>13.</w:t>
      </w:r>
      <w:r w:rsidRPr="008B49A7">
        <w:tab/>
        <w:t>Просьба представить информацию о достигнутом прогрессе в области р</w:t>
      </w:r>
      <w:r w:rsidRPr="008B49A7">
        <w:t>а</w:t>
      </w:r>
      <w:r w:rsidRPr="008B49A7">
        <w:t>тификации конвенций Международной организации труда</w:t>
      </w:r>
      <w:r w:rsidR="0049630A">
        <w:t xml:space="preserve"> — </w:t>
      </w:r>
      <w:r w:rsidRPr="008B49A7">
        <w:t>Конве</w:t>
      </w:r>
      <w:r w:rsidRPr="008B49A7">
        <w:t>н</w:t>
      </w:r>
      <w:r w:rsidRPr="008B49A7">
        <w:t>ции</w:t>
      </w:r>
      <w:r w:rsidRPr="008B49A7">
        <w:rPr>
          <w:lang w:val="en-US"/>
        </w:rPr>
        <w:t> </w:t>
      </w:r>
      <w:r w:rsidRPr="008B49A7">
        <w:t>№</w:t>
      </w:r>
      <w:r w:rsidRPr="008B49A7">
        <w:rPr>
          <w:lang w:val="en-US"/>
        </w:rPr>
        <w:t> </w:t>
      </w:r>
      <w:r w:rsidRPr="008B49A7">
        <w:t>111 о дискриминации в области труда и занятий (1958</w:t>
      </w:r>
      <w:r w:rsidRPr="008B49A7">
        <w:rPr>
          <w:lang w:val="en-US"/>
        </w:rPr>
        <w:t> </w:t>
      </w:r>
      <w:r w:rsidRPr="008B49A7">
        <w:t>год) и Конвенции</w:t>
      </w:r>
      <w:r w:rsidRPr="008B49A7">
        <w:rPr>
          <w:lang w:val="en-US"/>
        </w:rPr>
        <w:t> </w:t>
      </w:r>
      <w:r w:rsidRPr="008B49A7">
        <w:t>№</w:t>
      </w:r>
      <w:r w:rsidRPr="008B49A7">
        <w:rPr>
          <w:lang w:val="en-US"/>
        </w:rPr>
        <w:t> </w:t>
      </w:r>
      <w:r w:rsidRPr="008B49A7">
        <w:t>100 о равном вознаграждении (1951</w:t>
      </w:r>
      <w:r w:rsidRPr="008B49A7">
        <w:rPr>
          <w:lang w:val="en-US"/>
        </w:rPr>
        <w:t> </w:t>
      </w:r>
      <w:r w:rsidRPr="008B49A7">
        <w:t>год). Просьба указать меры, которые были пр</w:t>
      </w:r>
      <w:r w:rsidRPr="008B49A7">
        <w:t>и</w:t>
      </w:r>
      <w:r w:rsidRPr="008B49A7">
        <w:t>няты для разработки гендерно ориентированной политики в сф</w:t>
      </w:r>
      <w:r w:rsidRPr="008B49A7">
        <w:t>е</w:t>
      </w:r>
      <w:r w:rsidRPr="008B49A7">
        <w:t>ре занятости в неформальном секторе экономики, включая меры защиты материнства (211). Просьба представить информацию о принятых мерах, напра</w:t>
      </w:r>
      <w:r w:rsidRPr="008B49A7">
        <w:t>в</w:t>
      </w:r>
      <w:r w:rsidRPr="008B49A7">
        <w:t>ленных на борьбу с дискриминацией в отношении женщин при приеме на р</w:t>
      </w:r>
      <w:r w:rsidRPr="008B49A7">
        <w:t>а</w:t>
      </w:r>
      <w:r w:rsidRPr="008B49A7">
        <w:t>боту и продвижении по службе, в свете содержащегося в докладах заявления о том, что женщины должны иметь более высокую квалификацию, чем мужчины с тем, чтобы з</w:t>
      </w:r>
      <w:r w:rsidRPr="008B49A7">
        <w:t>а</w:t>
      </w:r>
      <w:r w:rsidRPr="008B49A7">
        <w:t>нять аналогичную руководящую должность (пункты</w:t>
      </w:r>
      <w:r w:rsidRPr="008B49A7">
        <w:rPr>
          <w:lang w:val="en-US"/>
        </w:rPr>
        <w:t> </w:t>
      </w:r>
      <w:r w:rsidRPr="008B49A7">
        <w:t>223 и 236). Просьба оп</w:t>
      </w:r>
      <w:r w:rsidRPr="008B49A7">
        <w:t>и</w:t>
      </w:r>
      <w:r w:rsidRPr="008B49A7">
        <w:t>сать меры, которые были приняты по стимулированию равного представител</w:t>
      </w:r>
      <w:r w:rsidRPr="008B49A7">
        <w:t>ь</w:t>
      </w:r>
      <w:r w:rsidRPr="008B49A7">
        <w:t xml:space="preserve">ства женщин на старших управленческих должностях в частном секторе. 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</w:rPr>
      </w:pPr>
    </w:p>
    <w:p w:rsid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B49A7">
        <w:t>Здравоохранение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  <w:lang w:val="en-US"/>
        </w:rPr>
      </w:pPr>
    </w:p>
    <w:p w:rsidR="008B49A7" w:rsidRPr="008B49A7" w:rsidRDefault="008B49A7" w:rsidP="008B49A7">
      <w:pPr>
        <w:pStyle w:val="SingleTxt"/>
      </w:pPr>
      <w:r w:rsidRPr="008B49A7">
        <w:t>14.</w:t>
      </w:r>
      <w:r w:rsidRPr="008B49A7">
        <w:tab/>
        <w:t>Просьба представить обновленную информацию о предпринятых шагах, направленных на снятие конкретных озабоченностей Комитета, выраженных в его предыдущих заключительных замечаниях (</w:t>
      </w:r>
      <w:hyperlink r:id="rId18" w:history="1">
        <w:r w:rsidRPr="00D13BF4">
          <w:rPr>
            <w:rStyle w:val="Hyperlink"/>
          </w:rPr>
          <w:t>CEDAW/C/TLS/CO/1</w:t>
        </w:r>
      </w:hyperlink>
      <w:r w:rsidRPr="008B49A7">
        <w:t>, пункт</w:t>
      </w:r>
      <w:r w:rsidRPr="008B49A7">
        <w:rPr>
          <w:lang w:val="en-US"/>
        </w:rPr>
        <w:t> </w:t>
      </w:r>
      <w:r w:rsidRPr="008B49A7">
        <w:t>38). В частности в случаях, когда, по мнению Комитета, его рекомендации были не выполнены или были выполнены частично, а также в случаях, когда Комитет считает полученную информацию недостаточной, с учетом его письма от 19</w:t>
      </w:r>
      <w:r w:rsidRPr="008B49A7">
        <w:rPr>
          <w:lang w:val="en-US"/>
        </w:rPr>
        <w:t> </w:t>
      </w:r>
      <w:r w:rsidRPr="008B49A7">
        <w:t>марта 2013</w:t>
      </w:r>
      <w:r w:rsidRPr="008B49A7">
        <w:rPr>
          <w:lang w:val="en-US"/>
        </w:rPr>
        <w:t> </w:t>
      </w:r>
      <w:r w:rsidRPr="008B49A7">
        <w:t>года. Просьба представить информацию о предпринятых шагах по обеспечению того, чтобы все случаи материнской смерти регистрировались в системе управленческой информации по вопросам здравоохранения. Просьба описать меры по обеспечению широкой доступности недорогих контрацепти</w:t>
      </w:r>
      <w:r w:rsidRPr="008B49A7">
        <w:t>в</w:t>
      </w:r>
      <w:r w:rsidRPr="008B49A7">
        <w:t>ных средств и услуг по планированию семьи (пункт</w:t>
      </w:r>
      <w:r w:rsidRPr="008B49A7">
        <w:rPr>
          <w:lang w:val="en-US"/>
        </w:rPr>
        <w:t> </w:t>
      </w:r>
      <w:r w:rsidRPr="008B49A7">
        <w:t xml:space="preserve">269). </w:t>
      </w:r>
    </w:p>
    <w:p w:rsidR="008B49A7" w:rsidRPr="008B49A7" w:rsidRDefault="008B49A7" w:rsidP="008B49A7">
      <w:pPr>
        <w:pStyle w:val="SingleTxt"/>
      </w:pPr>
      <w:r w:rsidRPr="008B49A7">
        <w:t>15.</w:t>
      </w:r>
      <w:r w:rsidRPr="008B49A7">
        <w:tab/>
        <w:t>Просьба описать шаги, которые предпринимаются государством-участником в деле пересмотра законодательства об абортах с целью упраздн</w:t>
      </w:r>
      <w:r w:rsidRPr="008B49A7">
        <w:t>е</w:t>
      </w:r>
      <w:r w:rsidRPr="008B49A7">
        <w:t>ния карательных мер в отношении женщин, сделавших аборт (пункт</w:t>
      </w:r>
      <w:r w:rsidRPr="008B49A7">
        <w:rPr>
          <w:lang w:val="en-US"/>
        </w:rPr>
        <w:t> </w:t>
      </w:r>
      <w:r w:rsidRPr="008B49A7">
        <w:t>38). Просьба указать, исключило ли государство-участник требование, обязыва</w:t>
      </w:r>
      <w:r w:rsidRPr="008B49A7">
        <w:t>ю</w:t>
      </w:r>
      <w:r w:rsidRPr="008B49A7">
        <w:t>щее женщину узнавать мнение ее партнера для того, чтобы аборт был признан законным. Просьба описать любые шаги, которые были предприняты для того, чтобы на аборты не распространялась уголовная ответственность в случае с</w:t>
      </w:r>
      <w:r w:rsidRPr="008B49A7">
        <w:t>у</w:t>
      </w:r>
      <w:r w:rsidRPr="008B49A7">
        <w:t>ществования угрозы для жизни или здоровья беременной женщины или в сл</w:t>
      </w:r>
      <w:r w:rsidRPr="008B49A7">
        <w:t>у</w:t>
      </w:r>
      <w:r w:rsidRPr="008B49A7">
        <w:t xml:space="preserve">чае беременности женщины в результате изнасилования, инцеста или наличия серьезного дефекта плода. 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</w:rPr>
      </w:pPr>
    </w:p>
    <w:p w:rsid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B49A7">
        <w:t>Женщины сельских районов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  <w:lang w:val="en-US"/>
        </w:rPr>
      </w:pPr>
    </w:p>
    <w:p w:rsidR="008B49A7" w:rsidRPr="008B49A7" w:rsidRDefault="008B49A7" w:rsidP="008B49A7">
      <w:pPr>
        <w:pStyle w:val="SingleTxt"/>
      </w:pPr>
      <w:r w:rsidRPr="008B49A7">
        <w:t>16.</w:t>
      </w:r>
      <w:r w:rsidRPr="008B49A7">
        <w:tab/>
        <w:t>Просьба представить информацию о принятых мерах, направленных на разработку и осуществление гендерно ориентированных стратегий и программ развития сельских районов, при обеспечении полноценного участия сельских женщин в их выработке и реализации. Просьба описать принятые меры по обеспечению того, чтобы сельские женщины имели доступ к медицинским услугам (в том числе к услугам охраны сексуального и репродуктивного зд</w:t>
      </w:r>
      <w:r w:rsidRPr="008B49A7">
        <w:t>о</w:t>
      </w:r>
      <w:r w:rsidRPr="008B49A7">
        <w:t xml:space="preserve">ровья), образованию, чистой питьевой воде, электроснабжению и проектам по осуществлению приносящей доход деятельности. </w:t>
      </w:r>
    </w:p>
    <w:p w:rsidR="008B49A7" w:rsidRPr="008B49A7" w:rsidRDefault="008B49A7" w:rsidP="008B49A7">
      <w:pPr>
        <w:pStyle w:val="SingleTxt"/>
      </w:pPr>
    </w:p>
    <w:p w:rsid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B49A7">
        <w:t>Женщины из числа возвращенцев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  <w:lang w:val="en-US"/>
        </w:rPr>
      </w:pPr>
    </w:p>
    <w:p w:rsidR="008B49A7" w:rsidRPr="008B49A7" w:rsidRDefault="008B49A7" w:rsidP="008B49A7">
      <w:pPr>
        <w:pStyle w:val="SingleTxt"/>
      </w:pPr>
      <w:r w:rsidRPr="008B49A7">
        <w:t>17.</w:t>
      </w:r>
      <w:r w:rsidRPr="008B49A7">
        <w:tab/>
        <w:t>Просьба представить информацию о предпринятых шагах по разработке национальной политики в рамках выполнения резолюций</w:t>
      </w:r>
      <w:r w:rsidRPr="008B49A7">
        <w:rPr>
          <w:lang w:val="en-US"/>
        </w:rPr>
        <w:t> </w:t>
      </w:r>
      <w:r w:rsidRPr="008B49A7">
        <w:t>1325</w:t>
      </w:r>
      <w:r w:rsidRPr="008B49A7">
        <w:rPr>
          <w:lang w:val="en-US"/>
        </w:rPr>
        <w:t> </w:t>
      </w:r>
      <w:r w:rsidRPr="008B49A7">
        <w:t>(2000) и 1820</w:t>
      </w:r>
      <w:r w:rsidRPr="008B49A7">
        <w:rPr>
          <w:lang w:val="en-US"/>
        </w:rPr>
        <w:t> </w:t>
      </w:r>
      <w:r w:rsidRPr="008B49A7">
        <w:t>(2008) Совета Безопасности, а также о выработке и осуществлению ге</w:t>
      </w:r>
      <w:r w:rsidRPr="008B49A7">
        <w:t>н</w:t>
      </w:r>
      <w:r w:rsidRPr="008B49A7">
        <w:t>дерно ориентированных планов и программ социальной реинтеграции, укре</w:t>
      </w:r>
      <w:r w:rsidRPr="008B49A7">
        <w:t>п</w:t>
      </w:r>
      <w:r w:rsidRPr="008B49A7">
        <w:t>ления потенциала и обучения женщин из числа возвращенцев. Просьба также представить информацию о принятых мерах к обеспечению того, чтобы же</w:t>
      </w:r>
      <w:r w:rsidRPr="008B49A7">
        <w:t>н</w:t>
      </w:r>
      <w:r w:rsidRPr="008B49A7">
        <w:t>щины из числа возвращенцев, которые были жертвами насилия, в том числе сексуального насилия, имели незамедлительный доступ к средствам правовой защиты, как это рекомендовано Комитетом в его предыдущих заключительных замечаниях (</w:t>
      </w:r>
      <w:hyperlink r:id="rId19" w:history="1">
        <w:r w:rsidRPr="00D13BF4">
          <w:rPr>
            <w:rStyle w:val="Hyperlink"/>
          </w:rPr>
          <w:t>CEDAW/C/TLS/CO/1</w:t>
        </w:r>
      </w:hyperlink>
      <w:r w:rsidRPr="008B49A7">
        <w:t>, пункт</w:t>
      </w:r>
      <w:r w:rsidRPr="008B49A7">
        <w:rPr>
          <w:lang w:val="en-US"/>
        </w:rPr>
        <w:t> </w:t>
      </w:r>
      <w:r w:rsidRPr="008B49A7">
        <w:t xml:space="preserve">44). 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</w:rPr>
      </w:pPr>
    </w:p>
    <w:p w:rsid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D13BF4">
        <w:tab/>
      </w:r>
      <w:r w:rsidRPr="00D13BF4">
        <w:tab/>
      </w:r>
      <w:r w:rsidRPr="008B49A7">
        <w:t>Брак и семейные отношения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  <w:lang w:val="en-US"/>
        </w:rPr>
      </w:pPr>
    </w:p>
    <w:p w:rsidR="008B49A7" w:rsidRPr="008B49A7" w:rsidRDefault="008B49A7" w:rsidP="008B49A7">
      <w:pPr>
        <w:pStyle w:val="SingleTxt"/>
      </w:pPr>
      <w:r w:rsidRPr="008B49A7">
        <w:t>18.</w:t>
      </w:r>
      <w:r w:rsidRPr="008B49A7">
        <w:tab/>
        <w:t>В докладах указывается на то, что Гражданский кодекс 2011</w:t>
      </w:r>
      <w:r w:rsidRPr="008B49A7">
        <w:rPr>
          <w:lang w:val="en-US"/>
        </w:rPr>
        <w:t> </w:t>
      </w:r>
      <w:r w:rsidRPr="008B49A7">
        <w:t>года устана</w:t>
      </w:r>
      <w:r w:rsidRPr="008B49A7">
        <w:t>в</w:t>
      </w:r>
      <w:r w:rsidRPr="008B49A7">
        <w:t>ливает легальный брачный возраст на уровне 17</w:t>
      </w:r>
      <w:r w:rsidRPr="008B49A7">
        <w:rPr>
          <w:lang w:val="en-US"/>
        </w:rPr>
        <w:t> </w:t>
      </w:r>
      <w:r w:rsidRPr="008B49A7">
        <w:t>лет (пункт 339). Просьба представить информацию о предпринятых шагах по повышению минимальн</w:t>
      </w:r>
      <w:r w:rsidRPr="008B49A7">
        <w:t>о</w:t>
      </w:r>
      <w:r w:rsidRPr="008B49A7">
        <w:t>го брачного возраста до 18</w:t>
      </w:r>
      <w:r w:rsidRPr="008B49A7">
        <w:rPr>
          <w:lang w:val="en-US"/>
        </w:rPr>
        <w:t> </w:t>
      </w:r>
      <w:r w:rsidRPr="008B49A7">
        <w:t>лет в соответствии с Конвенцией, как это было р</w:t>
      </w:r>
      <w:r w:rsidRPr="008B49A7">
        <w:t>а</w:t>
      </w:r>
      <w:r w:rsidRPr="008B49A7">
        <w:t>нее рекомендовано Комитетом (</w:t>
      </w:r>
      <w:hyperlink r:id="rId20" w:history="1">
        <w:r w:rsidRPr="00D13BF4">
          <w:rPr>
            <w:rStyle w:val="Hyperlink"/>
          </w:rPr>
          <w:t>CEDAW/C/TLS/CO/1</w:t>
        </w:r>
      </w:hyperlink>
      <w:r w:rsidRPr="008B49A7">
        <w:t>, пункт</w:t>
      </w:r>
      <w:r w:rsidRPr="008B49A7">
        <w:rPr>
          <w:lang w:val="en-US"/>
        </w:rPr>
        <w:t> </w:t>
      </w:r>
      <w:r w:rsidRPr="008B49A7">
        <w:t>46). В докладах также указывается, что Гражданский кодекс содержит положение о том, что для вступления в повторный брак после развода или смерти одного из супругов должно пройти некоторое время (межбрачный период)</w:t>
      </w:r>
      <w:r w:rsidR="0049630A">
        <w:t xml:space="preserve"> — </w:t>
      </w:r>
      <w:r w:rsidRPr="008B49A7">
        <w:t>180</w:t>
      </w:r>
      <w:r w:rsidRPr="008B49A7">
        <w:rPr>
          <w:lang w:val="en-US"/>
        </w:rPr>
        <w:t> </w:t>
      </w:r>
      <w:r w:rsidRPr="008B49A7">
        <w:t>дней для му</w:t>
      </w:r>
      <w:r w:rsidRPr="008B49A7">
        <w:t>ж</w:t>
      </w:r>
      <w:r w:rsidRPr="008B49A7">
        <w:t>чин и 300</w:t>
      </w:r>
      <w:r w:rsidRPr="008B49A7">
        <w:rPr>
          <w:lang w:val="en-US"/>
        </w:rPr>
        <w:t> </w:t>
      </w:r>
      <w:r w:rsidRPr="008B49A7">
        <w:t>дней для женщин (статья</w:t>
      </w:r>
      <w:r w:rsidRPr="008B49A7">
        <w:rPr>
          <w:lang w:val="en-US"/>
        </w:rPr>
        <w:t> </w:t>
      </w:r>
      <w:r w:rsidRPr="008B49A7">
        <w:t>1494) (пункт</w:t>
      </w:r>
      <w:r w:rsidRPr="008B49A7">
        <w:rPr>
          <w:lang w:val="en-US"/>
        </w:rPr>
        <w:t> </w:t>
      </w:r>
      <w:r w:rsidRPr="008B49A7">
        <w:t>357). Просьбы представить и</w:t>
      </w:r>
      <w:r w:rsidRPr="008B49A7">
        <w:t>н</w:t>
      </w:r>
      <w:r w:rsidRPr="008B49A7">
        <w:t>формацию о любых планах пересмотра этого положении, которое носит ди</w:t>
      </w:r>
      <w:r w:rsidRPr="008B49A7">
        <w:t>с</w:t>
      </w:r>
      <w:r w:rsidRPr="008B49A7">
        <w:t>криминационный характер в отношении женщин.</w:t>
      </w:r>
    </w:p>
    <w:p w:rsidR="008B49A7" w:rsidRPr="008B49A7" w:rsidRDefault="008B49A7" w:rsidP="008B49A7">
      <w:pPr>
        <w:pStyle w:val="SingleTxt"/>
      </w:pPr>
      <w:r w:rsidRPr="008B49A7">
        <w:t>19.</w:t>
      </w:r>
      <w:r w:rsidRPr="008B49A7">
        <w:tab/>
        <w:t>В докладах говорится, что Гражданский кодекс признает три формы з</w:t>
      </w:r>
      <w:r w:rsidRPr="008B49A7">
        <w:t>а</w:t>
      </w:r>
      <w:r w:rsidRPr="008B49A7">
        <w:t>ключения брака согласно статье</w:t>
      </w:r>
      <w:r w:rsidRPr="008B49A7">
        <w:rPr>
          <w:lang w:val="en-US"/>
        </w:rPr>
        <w:t> </w:t>
      </w:r>
      <w:r w:rsidRPr="008B49A7">
        <w:t>1475</w:t>
      </w:r>
      <w:r w:rsidRPr="008B49A7">
        <w:rPr>
          <w:lang w:val="en-US"/>
        </w:rPr>
        <w:t> </w:t>
      </w:r>
      <w:r w:rsidRPr="008B49A7">
        <w:t>(1)</w:t>
      </w:r>
      <w:r w:rsidR="0049630A">
        <w:t xml:space="preserve"> — </w:t>
      </w:r>
      <w:r w:rsidRPr="008B49A7">
        <w:t>официально зарегистрирова</w:t>
      </w:r>
      <w:r w:rsidRPr="008B49A7">
        <w:t>н</w:t>
      </w:r>
      <w:r w:rsidRPr="008B49A7">
        <w:t>ный, церковный и традиционный брак (пункт</w:t>
      </w:r>
      <w:r w:rsidRPr="008B49A7">
        <w:rPr>
          <w:lang w:val="en-US"/>
        </w:rPr>
        <w:t> </w:t>
      </w:r>
      <w:r w:rsidRPr="008B49A7">
        <w:t>336). Просьба указать, в какой степени женщины пользуются равными правами с мужчинами при расторж</w:t>
      </w:r>
      <w:r w:rsidRPr="008B49A7">
        <w:t>е</w:t>
      </w:r>
      <w:r w:rsidRPr="008B49A7">
        <w:t>нии таких браков. Просьба представить информацию о принимаемых мерах по поощр</w:t>
      </w:r>
      <w:r w:rsidRPr="008B49A7">
        <w:t>е</w:t>
      </w:r>
      <w:r w:rsidRPr="008B49A7">
        <w:t>нию регистрации браков и рождений, прежде всего в сельских районах. Прос</w:t>
      </w:r>
      <w:r w:rsidRPr="008B49A7">
        <w:t>ь</w:t>
      </w:r>
      <w:r w:rsidRPr="008B49A7">
        <w:t>ба также представить информацию о принятых мерах по предотвращению де</w:t>
      </w:r>
      <w:r w:rsidRPr="008B49A7">
        <w:t>т</w:t>
      </w:r>
      <w:r w:rsidRPr="008B49A7">
        <w:t xml:space="preserve">ских и принудительных браков. 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</w:rPr>
      </w:pPr>
    </w:p>
    <w:p w:rsid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B49A7">
        <w:t>Доступ к земле и имуществу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  <w:lang w:val="en-US"/>
        </w:rPr>
      </w:pPr>
    </w:p>
    <w:p w:rsidR="008B49A7" w:rsidRPr="008B49A7" w:rsidRDefault="008B49A7" w:rsidP="008B49A7">
      <w:pPr>
        <w:pStyle w:val="SingleTxt"/>
      </w:pPr>
      <w:r w:rsidRPr="008B49A7">
        <w:t>20.</w:t>
      </w:r>
      <w:r w:rsidRPr="008B49A7">
        <w:tab/>
        <w:t>Просьба представить обновленную информацию о достигнутом прогрессе в принятии проекта закона об экспроприации, создании финансового фонда недвижимости и установлении особого режима определения прав собственн</w:t>
      </w:r>
      <w:r w:rsidRPr="008B49A7">
        <w:t>о</w:t>
      </w:r>
      <w:r w:rsidRPr="008B49A7">
        <w:t>сти на недвижимое имущество. Просьба указать, в какой степени эти законы обеспечивают равные права женщин на землю и имущество, и пояснить их связь с обычным правом и практикой. Просьба представить информацию о принятых мерах, направленных на поощрение оформления общих свидетел</w:t>
      </w:r>
      <w:r w:rsidRPr="008B49A7">
        <w:t>ь</w:t>
      </w:r>
      <w:r w:rsidRPr="008B49A7">
        <w:t>ств собственности на землю и на обеспечение того, чтобы традиционные мех</w:t>
      </w:r>
      <w:r w:rsidRPr="008B49A7">
        <w:t>а</w:t>
      </w:r>
      <w:r w:rsidRPr="008B49A7">
        <w:t>низмы посредничества и разрешения земельных споров защищали права же</w:t>
      </w:r>
      <w:r w:rsidRPr="008B49A7">
        <w:t>н</w:t>
      </w:r>
      <w:r w:rsidRPr="008B49A7">
        <w:t xml:space="preserve">щин наравне с мужчинами, в том числе женщин, которые являются де факто партнерами в гражданском союзе. </w:t>
      </w:r>
    </w:p>
    <w:p w:rsidR="008B49A7" w:rsidRPr="008B49A7" w:rsidRDefault="008B49A7" w:rsidP="008B49A7">
      <w:pPr>
        <w:pStyle w:val="SingleTxt"/>
      </w:pPr>
    </w:p>
    <w:p w:rsidR="008B49A7" w:rsidRDefault="008B49A7" w:rsidP="008B49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br w:type="page"/>
      </w:r>
      <w:r w:rsidRPr="008B49A7">
        <w:tab/>
      </w:r>
      <w:r w:rsidRPr="008B49A7">
        <w:tab/>
        <w:t xml:space="preserve">Сбор данных и анализ 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  <w:lang w:val="en-US"/>
        </w:rPr>
      </w:pPr>
    </w:p>
    <w:p w:rsidR="008B49A7" w:rsidRPr="008B49A7" w:rsidRDefault="008B49A7" w:rsidP="008B49A7">
      <w:pPr>
        <w:pStyle w:val="SingleTxt"/>
      </w:pPr>
      <w:r w:rsidRPr="008B49A7">
        <w:t>21.</w:t>
      </w:r>
      <w:r w:rsidRPr="008B49A7">
        <w:tab/>
        <w:t>Просьба представить обновленную информацию об усилиях, направле</w:t>
      </w:r>
      <w:r w:rsidRPr="008B49A7">
        <w:t>н</w:t>
      </w:r>
      <w:r w:rsidRPr="008B49A7">
        <w:t>ных на систематизацию сбора данных в разбивке по полу о случаях соверш</w:t>
      </w:r>
      <w:r w:rsidRPr="008B49A7">
        <w:t>е</w:t>
      </w:r>
      <w:r w:rsidRPr="008B49A7">
        <w:t>ния любых актов насилия в отношении женщин, включая домашнее насилие, как это было ранее рекомендовано Комитетом (</w:t>
      </w:r>
      <w:hyperlink r:id="rId21" w:history="1">
        <w:r w:rsidRPr="00D13BF4">
          <w:rPr>
            <w:rStyle w:val="Hyperlink"/>
          </w:rPr>
          <w:t>CEDAW/C/TLS/CO/1</w:t>
        </w:r>
      </w:hyperlink>
      <w:r w:rsidRPr="008B49A7">
        <w:t>, пункт</w:t>
      </w:r>
      <w:r w:rsidRPr="008B49A7">
        <w:rPr>
          <w:lang w:val="en-US"/>
        </w:rPr>
        <w:t> </w:t>
      </w:r>
      <w:r w:rsidRPr="008B49A7">
        <w:t>30), и о случаях эксплуатации женщин для целей проституции или торговли. Просьба представить информацию о предпринятых шагах по созданию сист</w:t>
      </w:r>
      <w:r w:rsidRPr="008B49A7">
        <w:t>е</w:t>
      </w:r>
      <w:r w:rsidRPr="008B49A7">
        <w:t>мы сбора данных, касающихся всех аспектов охраны здоровья женщин, вкл</w:t>
      </w:r>
      <w:r w:rsidRPr="008B49A7">
        <w:t>ю</w:t>
      </w:r>
      <w:r w:rsidRPr="008B49A7">
        <w:t>чая отслеживание хода их практической реализации, как это было ранее рек</w:t>
      </w:r>
      <w:r w:rsidRPr="008B49A7">
        <w:t>о</w:t>
      </w:r>
      <w:r w:rsidRPr="008B49A7">
        <w:t>мендовано Комитетом (там же, пункт</w:t>
      </w:r>
      <w:r w:rsidRPr="008B49A7">
        <w:rPr>
          <w:lang w:val="en-US"/>
        </w:rPr>
        <w:t> </w:t>
      </w:r>
      <w:r w:rsidRPr="008B49A7">
        <w:t xml:space="preserve">38). 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</w:rPr>
      </w:pPr>
    </w:p>
    <w:p w:rsidR="008B49A7" w:rsidRDefault="008B49A7" w:rsidP="008B49A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B49A7">
        <w:t>Поправка к статье</w:t>
      </w:r>
      <w:r w:rsidRPr="008B49A7">
        <w:rPr>
          <w:lang w:val="en-US"/>
        </w:rPr>
        <w:t> </w:t>
      </w:r>
      <w:r w:rsidRPr="008B49A7">
        <w:t>20</w:t>
      </w:r>
      <w:r w:rsidRPr="008B49A7">
        <w:rPr>
          <w:lang w:val="en-US"/>
        </w:rPr>
        <w:t> </w:t>
      </w:r>
      <w:r w:rsidRPr="008B49A7">
        <w:t>(1) Конвенции</w:t>
      </w:r>
    </w:p>
    <w:p w:rsidR="008B49A7" w:rsidRPr="008B49A7" w:rsidRDefault="008B49A7" w:rsidP="008B49A7">
      <w:pPr>
        <w:pStyle w:val="SingleTxt"/>
        <w:spacing w:after="0" w:line="120" w:lineRule="exact"/>
        <w:rPr>
          <w:sz w:val="10"/>
          <w:lang w:val="en-US"/>
        </w:rPr>
      </w:pPr>
    </w:p>
    <w:p w:rsidR="008B49A7" w:rsidRDefault="008B49A7" w:rsidP="008B49A7">
      <w:pPr>
        <w:pStyle w:val="SingleTxt"/>
        <w:rPr>
          <w:lang w:val="en-US"/>
        </w:rPr>
      </w:pPr>
      <w:r w:rsidRPr="008B49A7">
        <w:t>22.</w:t>
      </w:r>
      <w:r w:rsidRPr="008B49A7">
        <w:tab/>
        <w:t>Просьба указать, был ли прогресс в деле одобрения поправки к ст</w:t>
      </w:r>
      <w:r w:rsidRPr="008B49A7">
        <w:t>а</w:t>
      </w:r>
      <w:r w:rsidRPr="008B49A7">
        <w:t>тье</w:t>
      </w:r>
      <w:r w:rsidRPr="008B49A7">
        <w:rPr>
          <w:lang w:val="en-US"/>
        </w:rPr>
        <w:t> </w:t>
      </w:r>
      <w:r w:rsidRPr="008B49A7">
        <w:t>20</w:t>
      </w:r>
      <w:r w:rsidRPr="008B49A7">
        <w:rPr>
          <w:lang w:val="en-US"/>
        </w:rPr>
        <w:t> </w:t>
      </w:r>
      <w:r w:rsidRPr="008B49A7">
        <w:t>(1) Конвенции, касающейся продолжительности сессий Комитета.</w:t>
      </w:r>
    </w:p>
    <w:p w:rsidR="008B49A7" w:rsidRPr="008B49A7" w:rsidRDefault="008B49A7" w:rsidP="008B49A7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8B49A7" w:rsidRPr="008B49A7" w:rsidSect="0053149C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5-04-06T12:25:00Z" w:initials="Start">
    <w:p w:rsidR="0053149C" w:rsidRPr="008B49A7" w:rsidRDefault="0053149C">
      <w:pPr>
        <w:pStyle w:val="CommentText"/>
        <w:rPr>
          <w:lang w:val="en-US"/>
        </w:rPr>
      </w:pPr>
      <w:r>
        <w:fldChar w:fldCharType="begin"/>
      </w:r>
      <w:r w:rsidRPr="008B49A7">
        <w:rPr>
          <w:rStyle w:val="CommentReference"/>
          <w:lang w:val="en-US"/>
        </w:rPr>
        <w:instrText xml:space="preserve"> </w:instrText>
      </w:r>
      <w:r w:rsidRPr="008B49A7">
        <w:rPr>
          <w:lang w:val="en-US"/>
        </w:rPr>
        <w:instrText>PAGE \# "'Page: '#'</w:instrText>
      </w:r>
      <w:r w:rsidRPr="008B49A7">
        <w:rPr>
          <w:lang w:val="en-US"/>
        </w:rPr>
        <w:br/>
        <w:instrText>'"</w:instrText>
      </w:r>
      <w:r w:rsidRPr="008B49A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B49A7">
        <w:rPr>
          <w:lang w:val="en-US"/>
        </w:rPr>
        <w:t>&lt;&lt;ODS JOB NO&gt;&gt;N1507267R&lt;&lt;ODS JOB NO&gt;&gt;</w:t>
      </w:r>
    </w:p>
    <w:p w:rsidR="0053149C" w:rsidRDefault="0053149C">
      <w:pPr>
        <w:pStyle w:val="CommentText"/>
      </w:pPr>
      <w:r>
        <w:t>&lt;&lt;ODS DOC SYMBOL1&gt;&gt;CEDAW/C/TLS/Q/2-3&lt;&lt;ODS DOC SYMBOL1&gt;&gt;</w:t>
      </w:r>
    </w:p>
    <w:p w:rsidR="0053149C" w:rsidRDefault="0053149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28" w:rsidRDefault="001B7528" w:rsidP="008A1A7A">
      <w:pPr>
        <w:spacing w:line="240" w:lineRule="auto"/>
      </w:pPr>
      <w:r>
        <w:separator/>
      </w:r>
    </w:p>
  </w:endnote>
  <w:endnote w:type="continuationSeparator" w:id="0">
    <w:p w:rsidR="001B7528" w:rsidRDefault="001B752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53149C" w:rsidTr="0053149C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53149C" w:rsidRPr="005D613B" w:rsidRDefault="0053149C" w:rsidP="0053149C">
          <w:pPr>
            <w:pStyle w:val="Footer"/>
            <w:rPr>
              <w:color w:val="000000"/>
              <w:szCs w:val="22"/>
              <w:lang w:eastAsia="en-US"/>
            </w:rPr>
          </w:pPr>
          <w:r w:rsidRPr="005D613B">
            <w:rPr>
              <w:szCs w:val="22"/>
              <w:lang w:eastAsia="en-US"/>
            </w:rPr>
            <w:fldChar w:fldCharType="begin"/>
          </w:r>
          <w:r w:rsidRPr="005D613B">
            <w:rPr>
              <w:szCs w:val="22"/>
              <w:lang w:eastAsia="en-US"/>
            </w:rPr>
            <w:instrText xml:space="preserve"> PAGE  \* Arabic  \* MERGEFORMAT </w:instrText>
          </w:r>
          <w:r w:rsidRPr="005D613B">
            <w:rPr>
              <w:szCs w:val="22"/>
              <w:lang w:eastAsia="en-US"/>
            </w:rPr>
            <w:fldChar w:fldCharType="separate"/>
          </w:r>
          <w:r w:rsidR="008E364E" w:rsidRPr="005D613B">
            <w:rPr>
              <w:noProof/>
              <w:szCs w:val="22"/>
              <w:lang w:eastAsia="en-US"/>
            </w:rPr>
            <w:t>2</w:t>
          </w:r>
          <w:r w:rsidRPr="005D613B">
            <w:rPr>
              <w:szCs w:val="22"/>
              <w:lang w:eastAsia="en-US"/>
            </w:rPr>
            <w:fldChar w:fldCharType="end"/>
          </w:r>
          <w:r w:rsidRPr="005D613B">
            <w:rPr>
              <w:szCs w:val="22"/>
              <w:lang w:eastAsia="en-US"/>
            </w:rPr>
            <w:t>/</w:t>
          </w:r>
          <w:fldSimple w:instr=" NUMPAGES  \* Arabic  \* MERGEFORMAT ">
            <w:r w:rsidR="008E364E" w:rsidRPr="005D613B">
              <w:rPr>
                <w:noProof/>
                <w:szCs w:val="22"/>
                <w:lang w:eastAsia="en-US"/>
              </w:rPr>
              <w:t>2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53149C" w:rsidRPr="005D613B" w:rsidRDefault="0053149C" w:rsidP="0053149C">
          <w:pPr>
            <w:pStyle w:val="Footer"/>
            <w:jc w:val="right"/>
            <w:rPr>
              <w:b w:val="0"/>
              <w:color w:val="000000"/>
              <w:sz w:val="14"/>
              <w:szCs w:val="22"/>
              <w:lang w:eastAsia="en-US"/>
            </w:rPr>
          </w:pPr>
          <w:fldSimple w:instr=" DOCVARIABLE &quot;FooterJN&quot; \* MERGEFORMAT ">
            <w:r w:rsidR="00CF1F06" w:rsidRPr="005D613B">
              <w:rPr>
                <w:b w:val="0"/>
                <w:color w:val="000000"/>
                <w:sz w:val="14"/>
                <w:szCs w:val="22"/>
                <w:lang w:eastAsia="en-US"/>
              </w:rPr>
              <w:t>15-04041</w:t>
            </w:r>
          </w:fldSimple>
        </w:p>
      </w:tc>
    </w:tr>
  </w:tbl>
  <w:p w:rsidR="0053149C" w:rsidRPr="0053149C" w:rsidRDefault="0053149C" w:rsidP="005314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53149C" w:rsidTr="0053149C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53149C" w:rsidRPr="005D613B" w:rsidRDefault="0053149C" w:rsidP="0053149C">
          <w:pPr>
            <w:pStyle w:val="Footer"/>
            <w:rPr>
              <w:b w:val="0"/>
              <w:color w:val="000000"/>
              <w:sz w:val="14"/>
              <w:szCs w:val="22"/>
              <w:lang w:eastAsia="en-US"/>
            </w:rPr>
          </w:pPr>
          <w:fldSimple w:instr=" DOCVARIABLE &quot;FooterJN&quot; \* MERGEFORMAT ">
            <w:r w:rsidR="00CF1F06" w:rsidRPr="005D613B">
              <w:rPr>
                <w:b w:val="0"/>
                <w:color w:val="000000"/>
                <w:sz w:val="14"/>
                <w:szCs w:val="22"/>
                <w:lang w:eastAsia="en-US"/>
              </w:rPr>
              <w:t>15-04041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53149C" w:rsidRPr="005D613B" w:rsidRDefault="0053149C" w:rsidP="0053149C">
          <w:pPr>
            <w:pStyle w:val="Footer"/>
            <w:jc w:val="right"/>
            <w:rPr>
              <w:szCs w:val="22"/>
              <w:lang w:eastAsia="en-US"/>
            </w:rPr>
          </w:pPr>
          <w:r w:rsidRPr="005D613B">
            <w:rPr>
              <w:szCs w:val="22"/>
              <w:lang w:eastAsia="en-US"/>
            </w:rPr>
            <w:fldChar w:fldCharType="begin"/>
          </w:r>
          <w:r w:rsidRPr="005D613B">
            <w:rPr>
              <w:szCs w:val="22"/>
              <w:lang w:eastAsia="en-US"/>
            </w:rPr>
            <w:instrText xml:space="preserve"> PAGE  \* Arabic  \* MERGEFORMAT </w:instrText>
          </w:r>
          <w:r w:rsidRPr="005D613B">
            <w:rPr>
              <w:szCs w:val="22"/>
              <w:lang w:eastAsia="en-US"/>
            </w:rPr>
            <w:fldChar w:fldCharType="separate"/>
          </w:r>
          <w:r w:rsidR="00CF1F06" w:rsidRPr="005D613B">
            <w:rPr>
              <w:noProof/>
              <w:szCs w:val="22"/>
              <w:lang w:eastAsia="en-US"/>
            </w:rPr>
            <w:t>7</w:t>
          </w:r>
          <w:r w:rsidRPr="005D613B">
            <w:rPr>
              <w:szCs w:val="22"/>
              <w:lang w:eastAsia="en-US"/>
            </w:rPr>
            <w:fldChar w:fldCharType="end"/>
          </w:r>
          <w:r w:rsidRPr="005D613B">
            <w:rPr>
              <w:szCs w:val="22"/>
              <w:lang w:eastAsia="en-US"/>
            </w:rPr>
            <w:t>/</w:t>
          </w:r>
          <w:fldSimple w:instr=" NUMPAGES  \* Arabic  \* MERGEFORMAT ">
            <w:r w:rsidR="00CF1F06" w:rsidRPr="005D613B">
              <w:rPr>
                <w:noProof/>
                <w:szCs w:val="22"/>
                <w:lang w:eastAsia="en-US"/>
              </w:rPr>
              <w:t>7</w:t>
            </w:r>
          </w:fldSimple>
        </w:p>
      </w:tc>
    </w:tr>
  </w:tbl>
  <w:p w:rsidR="0053149C" w:rsidRPr="0053149C" w:rsidRDefault="0053149C" w:rsidP="005314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9C" w:rsidRDefault="0053149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65pt;margin-top:683.45pt;width:54.7pt;height:54.7pt;z-index:1;mso-position-horizontal-relative:page;mso-position-vertical-relative:page">
          <v:imagedata r:id="rId1" o:title="2-3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28"/>
    </w:tblGrid>
    <w:tr w:rsidR="0053149C" w:rsidTr="0053149C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53149C" w:rsidRDefault="0053149C" w:rsidP="0053149C">
          <w:pPr>
            <w:pStyle w:val="ReleaseDate"/>
            <w:rPr>
              <w:color w:val="010000"/>
            </w:rPr>
          </w:pPr>
          <w:r>
            <w:t>15-04041 (R)</w:t>
          </w:r>
          <w:r>
            <w:rPr>
              <w:color w:val="010000"/>
            </w:rPr>
            <w:t xml:space="preserve">    060415    060415</w:t>
          </w:r>
        </w:p>
        <w:p w:rsidR="0053149C" w:rsidRPr="0053149C" w:rsidRDefault="0053149C" w:rsidP="0053149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*1504041(R)*</w:t>
          </w:r>
        </w:p>
      </w:tc>
      <w:tc>
        <w:tcPr>
          <w:tcW w:w="5028" w:type="dxa"/>
        </w:tcPr>
        <w:p w:rsidR="0053149C" w:rsidRPr="005D613B" w:rsidRDefault="0053149C" w:rsidP="0053149C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5D613B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53149C" w:rsidRPr="0053149C" w:rsidRDefault="0053149C" w:rsidP="0053149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28" w:rsidRPr="00D13BF4" w:rsidRDefault="001B7528" w:rsidP="00D13BF4">
      <w:pPr>
        <w:pStyle w:val="Footer"/>
        <w:spacing w:after="80"/>
        <w:ind w:left="792"/>
        <w:rPr>
          <w:sz w:val="16"/>
        </w:rPr>
      </w:pPr>
      <w:r w:rsidRPr="00D13BF4">
        <w:rPr>
          <w:sz w:val="16"/>
        </w:rPr>
        <w:t>__________________</w:t>
      </w:r>
    </w:p>
  </w:footnote>
  <w:footnote w:type="continuationSeparator" w:id="0">
    <w:p w:rsidR="001B7528" w:rsidRPr="00D13BF4" w:rsidRDefault="001B7528" w:rsidP="00D13BF4">
      <w:pPr>
        <w:pStyle w:val="Footer"/>
        <w:spacing w:after="80"/>
        <w:ind w:left="792"/>
        <w:rPr>
          <w:sz w:val="16"/>
        </w:rPr>
      </w:pPr>
      <w:r w:rsidRPr="00D13BF4">
        <w:rPr>
          <w:sz w:val="16"/>
        </w:rPr>
        <w:t>__________________</w:t>
      </w:r>
    </w:p>
  </w:footnote>
  <w:footnote w:id="1">
    <w:p w:rsidR="008B49A7" w:rsidRPr="00B125A5" w:rsidRDefault="00D13BF4" w:rsidP="00D13BF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</w:pPr>
      <w:r>
        <w:rPr>
          <w:lang w:val="en-US"/>
        </w:rPr>
        <w:tab/>
      </w:r>
      <w:r w:rsidR="008B49A7">
        <w:rPr>
          <w:rStyle w:val="FootnoteReference"/>
        </w:rPr>
        <w:t>*</w:t>
      </w:r>
      <w:r w:rsidR="008B49A7">
        <w:tab/>
      </w:r>
      <w:hyperlink r:id="rId1" w:history="1">
        <w:r w:rsidR="008B49A7" w:rsidRPr="00D13BF4">
          <w:rPr>
            <w:rStyle w:val="Hyperlink"/>
            <w:lang w:val="en-US"/>
          </w:rPr>
          <w:t>CEDAW</w:t>
        </w:r>
        <w:r w:rsidR="008B49A7" w:rsidRPr="00D13BF4">
          <w:rPr>
            <w:rStyle w:val="Hyperlink"/>
          </w:rPr>
          <w:t>/</w:t>
        </w:r>
        <w:r w:rsidR="008B49A7" w:rsidRPr="00D13BF4">
          <w:rPr>
            <w:rStyle w:val="Hyperlink"/>
            <w:lang w:val="en-US"/>
          </w:rPr>
          <w:t>C</w:t>
        </w:r>
        <w:r w:rsidR="008B49A7" w:rsidRPr="00D13BF4">
          <w:rPr>
            <w:rStyle w:val="Hyperlink"/>
          </w:rPr>
          <w:t>/62/1</w:t>
        </w:r>
      </w:hyperlink>
      <w:r w:rsidR="008B49A7">
        <w:t>.</w:t>
      </w:r>
    </w:p>
    <w:p w:rsidR="008B49A7" w:rsidRPr="00F04F78" w:rsidRDefault="00D13BF4" w:rsidP="00D13BF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</w:pPr>
      <w:r>
        <w:rPr>
          <w:lang w:val="en-US"/>
        </w:rPr>
        <w:tab/>
      </w:r>
      <w:r w:rsidR="008B49A7">
        <w:rPr>
          <w:rStyle w:val="FootnoteReference"/>
        </w:rPr>
        <w:footnoteRef/>
      </w:r>
      <w:r w:rsidR="008B49A7">
        <w:tab/>
        <w:t>Если не указано иначе, нумерация пунктов относитс</w:t>
      </w:r>
      <w:r w:rsidR="008B49A7" w:rsidRPr="00F04F78">
        <w:rPr>
          <w:szCs w:val="17"/>
        </w:rPr>
        <w:t>я к объединенным второму и третьему периодич</w:t>
      </w:r>
      <w:r w:rsidR="008B49A7" w:rsidRPr="00F04F78">
        <w:rPr>
          <w:szCs w:val="17"/>
        </w:rPr>
        <w:t>е</w:t>
      </w:r>
      <w:r w:rsidR="008B49A7" w:rsidRPr="00F04F78">
        <w:rPr>
          <w:szCs w:val="17"/>
        </w:rPr>
        <w:t>ским докладам Тимора-Лешти.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53149C" w:rsidTr="0053149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3149C" w:rsidRPr="005D613B" w:rsidRDefault="0053149C" w:rsidP="0053149C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CF1F06" w:rsidRPr="005D613B">
              <w:rPr>
                <w:b/>
                <w:szCs w:val="22"/>
                <w:lang w:eastAsia="en-US"/>
              </w:rPr>
              <w:t>CEDAW/C/TLS/Q/2-3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53149C" w:rsidRPr="005D613B" w:rsidRDefault="0053149C" w:rsidP="0053149C">
          <w:pPr>
            <w:pStyle w:val="Header"/>
            <w:rPr>
              <w:szCs w:val="22"/>
              <w:lang w:eastAsia="en-US"/>
            </w:rPr>
          </w:pPr>
        </w:p>
      </w:tc>
    </w:tr>
  </w:tbl>
  <w:p w:rsidR="0053149C" w:rsidRPr="0053149C" w:rsidRDefault="0053149C" w:rsidP="005314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53149C" w:rsidTr="0053149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3149C" w:rsidRPr="005D613B" w:rsidRDefault="0053149C" w:rsidP="0053149C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28" w:type="dxa"/>
          <w:shd w:val="clear" w:color="auto" w:fill="auto"/>
          <w:vAlign w:val="bottom"/>
        </w:tcPr>
        <w:p w:rsidR="0053149C" w:rsidRPr="005D613B" w:rsidRDefault="0053149C" w:rsidP="0053149C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CF1F06" w:rsidRPr="005D613B">
              <w:rPr>
                <w:b/>
                <w:szCs w:val="22"/>
                <w:lang w:eastAsia="en-US"/>
              </w:rPr>
              <w:t>CEDAW/C/TLS/Q/2-3</w:t>
            </w:r>
          </w:fldSimple>
        </w:p>
      </w:tc>
    </w:tr>
  </w:tbl>
  <w:p w:rsidR="0053149C" w:rsidRPr="0053149C" w:rsidRDefault="0053149C" w:rsidP="005314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53149C" w:rsidTr="0053149C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3149C" w:rsidRPr="0053149C" w:rsidRDefault="0053149C" w:rsidP="0053149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3149C" w:rsidRPr="005D613B" w:rsidRDefault="0053149C" w:rsidP="0053149C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3149C" w:rsidRPr="005D613B" w:rsidRDefault="0053149C" w:rsidP="0053149C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5D613B">
            <w:rPr>
              <w:sz w:val="40"/>
              <w:szCs w:val="22"/>
              <w:lang w:eastAsia="en-US"/>
            </w:rPr>
            <w:t>CEDAW</w:t>
          </w:r>
          <w:r w:rsidRPr="005D613B">
            <w:rPr>
              <w:sz w:val="20"/>
              <w:szCs w:val="22"/>
              <w:lang w:eastAsia="en-US"/>
            </w:rPr>
            <w:t>/C/TLS/Q/2-3</w:t>
          </w:r>
        </w:p>
      </w:tc>
    </w:tr>
    <w:tr w:rsidR="0053149C" w:rsidRPr="008B49A7" w:rsidTr="0053149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3149C" w:rsidRPr="005D613B" w:rsidRDefault="0053149C" w:rsidP="0053149C">
          <w:pPr>
            <w:pStyle w:val="Header"/>
            <w:spacing w:before="109"/>
            <w:rPr>
              <w:szCs w:val="22"/>
              <w:lang w:eastAsia="en-US"/>
            </w:rPr>
          </w:pPr>
          <w:r w:rsidRPr="005D613B">
            <w:rPr>
              <w:szCs w:val="22"/>
              <w:lang w:eastAsia="en-US"/>
            </w:rPr>
            <w:t xml:space="preserve"> </w:t>
          </w:r>
          <w:r w:rsidRPr="005D613B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3149C" w:rsidRPr="0053149C" w:rsidRDefault="0053149C" w:rsidP="0053149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3149C" w:rsidRPr="005D613B" w:rsidRDefault="0053149C" w:rsidP="0053149C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3149C" w:rsidRPr="008B49A7" w:rsidRDefault="0053149C" w:rsidP="0053149C">
          <w:pPr>
            <w:pStyle w:val="Distribution"/>
            <w:rPr>
              <w:color w:val="000000"/>
              <w:lang w:val="en-US"/>
            </w:rPr>
          </w:pPr>
          <w:r w:rsidRPr="008B49A7">
            <w:rPr>
              <w:color w:val="000000"/>
              <w:lang w:val="en-US"/>
            </w:rPr>
            <w:t>Distr.: General</w:t>
          </w:r>
        </w:p>
        <w:p w:rsidR="0053149C" w:rsidRPr="008B49A7" w:rsidRDefault="008B49A7" w:rsidP="0053149C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17</w:t>
          </w:r>
          <w:r w:rsidR="0053149C" w:rsidRPr="008B49A7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>March</w:t>
          </w:r>
          <w:r w:rsidR="0053149C" w:rsidRPr="008B49A7">
            <w:rPr>
              <w:color w:val="000000"/>
              <w:lang w:val="en-US"/>
            </w:rPr>
            <w:t xml:space="preserve"> 2015</w:t>
          </w:r>
        </w:p>
        <w:p w:rsidR="0053149C" w:rsidRPr="008B49A7" w:rsidRDefault="0053149C" w:rsidP="0053149C">
          <w:pPr>
            <w:rPr>
              <w:color w:val="000000"/>
              <w:lang w:val="en-US"/>
            </w:rPr>
          </w:pPr>
          <w:r w:rsidRPr="008B49A7">
            <w:rPr>
              <w:color w:val="000000"/>
              <w:lang w:val="en-US"/>
            </w:rPr>
            <w:t>Russian</w:t>
          </w:r>
        </w:p>
        <w:p w:rsidR="0053149C" w:rsidRPr="008B49A7" w:rsidRDefault="0053149C" w:rsidP="0053149C">
          <w:pPr>
            <w:pStyle w:val="Original"/>
            <w:rPr>
              <w:color w:val="000000"/>
              <w:lang w:val="en-US"/>
            </w:rPr>
          </w:pPr>
          <w:r w:rsidRPr="008B49A7">
            <w:rPr>
              <w:color w:val="000000"/>
              <w:lang w:val="en-US"/>
            </w:rPr>
            <w:t>Original: English</w:t>
          </w:r>
        </w:p>
        <w:p w:rsidR="0053149C" w:rsidRPr="008B49A7" w:rsidRDefault="0053149C" w:rsidP="0053149C">
          <w:pPr>
            <w:rPr>
              <w:lang w:val="en-US"/>
            </w:rPr>
          </w:pPr>
        </w:p>
      </w:tc>
    </w:tr>
  </w:tbl>
  <w:p w:rsidR="0053149C" w:rsidRPr="008B49A7" w:rsidRDefault="0053149C" w:rsidP="0053149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04041*"/>
    <w:docVar w:name="CreationDt" w:val="06/04/2015 12:25:57"/>
    <w:docVar w:name="DocCategory" w:val="Doc"/>
    <w:docVar w:name="DocType" w:val="Final"/>
    <w:docVar w:name="DutyStation" w:val="New York"/>
    <w:docVar w:name="FooterJN" w:val="15-04041"/>
    <w:docVar w:name="jobn" w:val="15-04041 (R)"/>
    <w:docVar w:name="jobnDT" w:val="15-04041 (R)   060415"/>
    <w:docVar w:name="jobnDTDT" w:val="15-04041 (R)   060415   060415"/>
    <w:docVar w:name="JobNo" w:val="1504041R"/>
    <w:docVar w:name="JobNo2" w:val="1507267R"/>
    <w:docVar w:name="OandT" w:val=" "/>
    <w:docVar w:name="PaperSize" w:val="Letter"/>
    <w:docVar w:name="sss1" w:val="CEDAW/C/TLS/Q/2-3"/>
    <w:docVar w:name="sss2" w:val="-"/>
    <w:docVar w:name="Symbol1" w:val="CEDAW/C/TLS/Q/2-3"/>
    <w:docVar w:name="Symbol2" w:val="-"/>
  </w:docVars>
  <w:rsids>
    <w:rsidRoot w:val="009C2C56"/>
    <w:rsid w:val="00004615"/>
    <w:rsid w:val="00004756"/>
    <w:rsid w:val="00024A67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C069D"/>
    <w:rsid w:val="000C67BC"/>
    <w:rsid w:val="000E0F08"/>
    <w:rsid w:val="000E30BA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A39EE"/>
    <w:rsid w:val="001A4338"/>
    <w:rsid w:val="001A6777"/>
    <w:rsid w:val="001B7528"/>
    <w:rsid w:val="001C54CE"/>
    <w:rsid w:val="001D1749"/>
    <w:rsid w:val="001D4DDB"/>
    <w:rsid w:val="001E21CE"/>
    <w:rsid w:val="001E25A2"/>
    <w:rsid w:val="001E61AD"/>
    <w:rsid w:val="001E639C"/>
    <w:rsid w:val="002078A2"/>
    <w:rsid w:val="00211A7E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A0BAE"/>
    <w:rsid w:val="002B6501"/>
    <w:rsid w:val="002B6E2A"/>
    <w:rsid w:val="002C66D0"/>
    <w:rsid w:val="002D396F"/>
    <w:rsid w:val="002D4606"/>
    <w:rsid w:val="002E1F79"/>
    <w:rsid w:val="002F5C45"/>
    <w:rsid w:val="002F6149"/>
    <w:rsid w:val="00322AF1"/>
    <w:rsid w:val="00326F5F"/>
    <w:rsid w:val="00333B06"/>
    <w:rsid w:val="00337D91"/>
    <w:rsid w:val="00346BFB"/>
    <w:rsid w:val="00350756"/>
    <w:rsid w:val="003542EE"/>
    <w:rsid w:val="003658B0"/>
    <w:rsid w:val="0038527A"/>
    <w:rsid w:val="0039505F"/>
    <w:rsid w:val="003A150E"/>
    <w:rsid w:val="003C2842"/>
    <w:rsid w:val="003D0825"/>
    <w:rsid w:val="003D2003"/>
    <w:rsid w:val="003D5DA2"/>
    <w:rsid w:val="003E5193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9630A"/>
    <w:rsid w:val="004964B8"/>
    <w:rsid w:val="004A7499"/>
    <w:rsid w:val="004B1314"/>
    <w:rsid w:val="004B722C"/>
    <w:rsid w:val="004D275F"/>
    <w:rsid w:val="004D474D"/>
    <w:rsid w:val="004D656E"/>
    <w:rsid w:val="004E6443"/>
    <w:rsid w:val="00504669"/>
    <w:rsid w:val="005058E0"/>
    <w:rsid w:val="005121DC"/>
    <w:rsid w:val="00513113"/>
    <w:rsid w:val="00515869"/>
    <w:rsid w:val="005214BA"/>
    <w:rsid w:val="00522E6D"/>
    <w:rsid w:val="00524A24"/>
    <w:rsid w:val="005251C4"/>
    <w:rsid w:val="00526E12"/>
    <w:rsid w:val="0053149C"/>
    <w:rsid w:val="00533411"/>
    <w:rsid w:val="005427EA"/>
    <w:rsid w:val="0054563F"/>
    <w:rsid w:val="005469E1"/>
    <w:rsid w:val="00552E08"/>
    <w:rsid w:val="005635F7"/>
    <w:rsid w:val="0056579C"/>
    <w:rsid w:val="00567706"/>
    <w:rsid w:val="00572298"/>
    <w:rsid w:val="005734C2"/>
    <w:rsid w:val="00574AA1"/>
    <w:rsid w:val="0057633B"/>
    <w:rsid w:val="00586316"/>
    <w:rsid w:val="00590EDF"/>
    <w:rsid w:val="005933CB"/>
    <w:rsid w:val="00593E2F"/>
    <w:rsid w:val="005A002C"/>
    <w:rsid w:val="005A1D01"/>
    <w:rsid w:val="005B064E"/>
    <w:rsid w:val="005B499C"/>
    <w:rsid w:val="005C0440"/>
    <w:rsid w:val="005D38B6"/>
    <w:rsid w:val="005D613B"/>
    <w:rsid w:val="005D7642"/>
    <w:rsid w:val="005E0A46"/>
    <w:rsid w:val="005E7DCF"/>
    <w:rsid w:val="005F6E5C"/>
    <w:rsid w:val="00602F9D"/>
    <w:rsid w:val="00616B8D"/>
    <w:rsid w:val="006261A6"/>
    <w:rsid w:val="0062751F"/>
    <w:rsid w:val="0063491E"/>
    <w:rsid w:val="00634A27"/>
    <w:rsid w:val="00635AF8"/>
    <w:rsid w:val="006409EF"/>
    <w:rsid w:val="00646363"/>
    <w:rsid w:val="00647668"/>
    <w:rsid w:val="00655212"/>
    <w:rsid w:val="00657EE4"/>
    <w:rsid w:val="006A1698"/>
    <w:rsid w:val="006A1D06"/>
    <w:rsid w:val="006A3F10"/>
    <w:rsid w:val="006B34CB"/>
    <w:rsid w:val="006B590B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81AC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5107"/>
    <w:rsid w:val="00803EC5"/>
    <w:rsid w:val="008042D6"/>
    <w:rsid w:val="00821CE2"/>
    <w:rsid w:val="00830FF8"/>
    <w:rsid w:val="00833A04"/>
    <w:rsid w:val="00844407"/>
    <w:rsid w:val="00853E2A"/>
    <w:rsid w:val="008541E9"/>
    <w:rsid w:val="00856EEB"/>
    <w:rsid w:val="008776BB"/>
    <w:rsid w:val="00880540"/>
    <w:rsid w:val="0088396E"/>
    <w:rsid w:val="008A1A7A"/>
    <w:rsid w:val="008B0632"/>
    <w:rsid w:val="008B08A3"/>
    <w:rsid w:val="008B49A7"/>
    <w:rsid w:val="008B4F64"/>
    <w:rsid w:val="008B53C0"/>
    <w:rsid w:val="008B5F7F"/>
    <w:rsid w:val="008B709D"/>
    <w:rsid w:val="008C2A03"/>
    <w:rsid w:val="008C6372"/>
    <w:rsid w:val="008D0CE3"/>
    <w:rsid w:val="008E364E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27BF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C2C56"/>
    <w:rsid w:val="009D6E3D"/>
    <w:rsid w:val="009F0808"/>
    <w:rsid w:val="00A1426A"/>
    <w:rsid w:val="00A14F1D"/>
    <w:rsid w:val="00A1703F"/>
    <w:rsid w:val="00A2180A"/>
    <w:rsid w:val="00A22293"/>
    <w:rsid w:val="00A344D5"/>
    <w:rsid w:val="00A54759"/>
    <w:rsid w:val="00A63339"/>
    <w:rsid w:val="00A90F41"/>
    <w:rsid w:val="00A910E7"/>
    <w:rsid w:val="00A951DD"/>
    <w:rsid w:val="00A9600A"/>
    <w:rsid w:val="00A96C80"/>
    <w:rsid w:val="00AA0ABF"/>
    <w:rsid w:val="00AA27C2"/>
    <w:rsid w:val="00AD6322"/>
    <w:rsid w:val="00AD6752"/>
    <w:rsid w:val="00AD78B1"/>
    <w:rsid w:val="00AF0B91"/>
    <w:rsid w:val="00AF1A65"/>
    <w:rsid w:val="00AF3B70"/>
    <w:rsid w:val="00B17A11"/>
    <w:rsid w:val="00B2296A"/>
    <w:rsid w:val="00B2472B"/>
    <w:rsid w:val="00B2753B"/>
    <w:rsid w:val="00B33139"/>
    <w:rsid w:val="00B5129B"/>
    <w:rsid w:val="00B56376"/>
    <w:rsid w:val="00B606B7"/>
    <w:rsid w:val="00B62C69"/>
    <w:rsid w:val="00B77FC0"/>
    <w:rsid w:val="00BB052D"/>
    <w:rsid w:val="00BB1F92"/>
    <w:rsid w:val="00BB5B7F"/>
    <w:rsid w:val="00BB7E8A"/>
    <w:rsid w:val="00BC20A0"/>
    <w:rsid w:val="00BC75AA"/>
    <w:rsid w:val="00BD2F16"/>
    <w:rsid w:val="00BE2D25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41B6F"/>
    <w:rsid w:val="00C60105"/>
    <w:rsid w:val="00C623BF"/>
    <w:rsid w:val="00C640D1"/>
    <w:rsid w:val="00C7011D"/>
    <w:rsid w:val="00C70D59"/>
    <w:rsid w:val="00C7432F"/>
    <w:rsid w:val="00C77473"/>
    <w:rsid w:val="00C91210"/>
    <w:rsid w:val="00CA2CF3"/>
    <w:rsid w:val="00CB519E"/>
    <w:rsid w:val="00CC5B37"/>
    <w:rsid w:val="00CD2ED3"/>
    <w:rsid w:val="00CD3C62"/>
    <w:rsid w:val="00CF021B"/>
    <w:rsid w:val="00CF066B"/>
    <w:rsid w:val="00CF07BE"/>
    <w:rsid w:val="00CF1F06"/>
    <w:rsid w:val="00D028FF"/>
    <w:rsid w:val="00D05963"/>
    <w:rsid w:val="00D11640"/>
    <w:rsid w:val="00D13BF4"/>
    <w:rsid w:val="00D1470E"/>
    <w:rsid w:val="00D20AA4"/>
    <w:rsid w:val="00D434AF"/>
    <w:rsid w:val="00D44FA6"/>
    <w:rsid w:val="00D61BB7"/>
    <w:rsid w:val="00D7165D"/>
    <w:rsid w:val="00D75705"/>
    <w:rsid w:val="00D961D6"/>
    <w:rsid w:val="00D97B17"/>
    <w:rsid w:val="00DA1A4A"/>
    <w:rsid w:val="00DA4AFE"/>
    <w:rsid w:val="00DC1E7E"/>
    <w:rsid w:val="00DC7A5F"/>
    <w:rsid w:val="00DD6A66"/>
    <w:rsid w:val="00DE0D15"/>
    <w:rsid w:val="00DF1CF0"/>
    <w:rsid w:val="00DF7388"/>
    <w:rsid w:val="00E04C73"/>
    <w:rsid w:val="00E079A3"/>
    <w:rsid w:val="00E12674"/>
    <w:rsid w:val="00E132AC"/>
    <w:rsid w:val="00E15CCC"/>
    <w:rsid w:val="00E15D7D"/>
    <w:rsid w:val="00E17234"/>
    <w:rsid w:val="00E261F5"/>
    <w:rsid w:val="00E34A5B"/>
    <w:rsid w:val="00E478DE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6F5D"/>
    <w:rsid w:val="00EF1FBD"/>
    <w:rsid w:val="00F07DDF"/>
    <w:rsid w:val="00F16256"/>
    <w:rsid w:val="00F231E8"/>
    <w:rsid w:val="00F30632"/>
    <w:rsid w:val="00F33544"/>
    <w:rsid w:val="00F35ACF"/>
    <w:rsid w:val="00F624BD"/>
    <w:rsid w:val="00F62A5E"/>
    <w:rsid w:val="00F6634F"/>
    <w:rsid w:val="00F72CD1"/>
    <w:rsid w:val="00F74A39"/>
    <w:rsid w:val="00F8138E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D5B91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53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49C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3149C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4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149C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D13BF4"/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F4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13BF4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Hyperlink">
    <w:name w:val="Hyperlink"/>
    <w:uiPriority w:val="99"/>
    <w:unhideWhenUsed/>
    <w:rsid w:val="00D13BF4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D13BF4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://undocs.org/ru/CEDAW/C/TLS/CO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docs.org/ru/CEDAW/C/TLS/CO/1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CEDAW/C/TLS/CO/1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CEDAW/C/TLS/CO/1" TargetMode="External"/><Relationship Id="rId20" Type="http://schemas.openxmlformats.org/officeDocument/2006/relationships/hyperlink" Target="http://undocs.org/ru/CEDAW/C/TLS/CO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ndocs.org/ru/CEDAW/C/TLS/CO/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undocs.org/ru/CEDAW/C/TLS/CO/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ru/CEDAW/C/TSL/2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CEDAW/C/62/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2673</Words>
  <Characters>15239</Characters>
  <Application>Microsoft Office Outlook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17877</CharactersWithSpaces>
  <SharedDoc>false</SharedDoc>
  <HLinks>
    <vt:vector size="54" baseType="variant">
      <vt:variant>
        <vt:i4>458758</vt:i4>
      </vt:variant>
      <vt:variant>
        <vt:i4>21</vt:i4>
      </vt:variant>
      <vt:variant>
        <vt:i4>0</vt:i4>
      </vt:variant>
      <vt:variant>
        <vt:i4>5</vt:i4>
      </vt:variant>
      <vt:variant>
        <vt:lpwstr>http://undocs.org/ru/CEDAW/C/TLS/CO/1</vt:lpwstr>
      </vt:variant>
      <vt:variant>
        <vt:lpwstr/>
      </vt:variant>
      <vt:variant>
        <vt:i4>458758</vt:i4>
      </vt:variant>
      <vt:variant>
        <vt:i4>18</vt:i4>
      </vt:variant>
      <vt:variant>
        <vt:i4>0</vt:i4>
      </vt:variant>
      <vt:variant>
        <vt:i4>5</vt:i4>
      </vt:variant>
      <vt:variant>
        <vt:lpwstr>http://undocs.org/ru/CEDAW/C/TLS/CO/1</vt:lpwstr>
      </vt:variant>
      <vt:variant>
        <vt:lpwstr/>
      </vt:variant>
      <vt:variant>
        <vt:i4>458758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http://undocs.org/ru/CEDAW/C/TLS/CO/1</vt:lpwstr>
      </vt:variant>
      <vt:variant>
        <vt:lpwstr/>
      </vt:variant>
      <vt:variant>
        <vt:i4>458758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http://undocs.org/ru/CEDAW/C/TLS/CO/1</vt:lpwstr>
      </vt:variant>
      <vt:variant>
        <vt:lpwstr/>
      </vt:variant>
      <vt:variant>
        <vt:i4>458758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http://undocs.org/ru/CEDAW/C/TLS/CO/1</vt:lpwstr>
      </vt:variant>
      <vt:variant>
        <vt:lpwstr/>
      </vt:variant>
      <vt:variant>
        <vt:i4>458758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http://undocs.org/ru/CEDAW/C/TLS/CO/1</vt:lpwstr>
      </vt:variant>
      <vt:variant>
        <vt:lpwstr/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http://undocs.org/ru/CEDAW/C/TLS/CO/1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http://undocs.org/ru/CEDAW/C/TSL/2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http://undocs.org/ru/CEDAW/C/62/1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Ekaterina Toubolets</dc:creator>
  <cp:keywords/>
  <cp:lastModifiedBy>Front Desk</cp:lastModifiedBy>
  <cp:revision>6</cp:revision>
  <cp:lastPrinted>2015-04-06T10:37:00Z</cp:lastPrinted>
  <dcterms:created xsi:type="dcterms:W3CDTF">2015-04-06T10:33:00Z</dcterms:created>
  <dcterms:modified xsi:type="dcterms:W3CDTF">2015-04-06T10:47:00Z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1504041R</vt:lpwstr>
  </property>
  <property fmtid="{D5CDD505-2E9C-101B-9397-08002B2CF9AE}" pid="3" name="ODSRefJobNo">
    <vt:lpwstr>1507267R</vt:lpwstr>
  </property>
  <property fmtid="{D5CDD505-2E9C-101B-9397-08002B2CF9AE}" pid="4" name="Symbol1">
    <vt:lpwstr>CEDAW/C/TLS/Q/2-3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6 April 2015</vt:lpwstr>
  </property>
  <property fmtid="{D5CDD505-2E9C-101B-9397-08002B2CF9AE}" pid="9" name="Original">
    <vt:lpwstr>English</vt:lpwstr>
  </property>
  <property fmtid="{D5CDD505-2E9C-101B-9397-08002B2CF9AE}" pid="10" name="Release Date">
    <vt:lpwstr>060415</vt:lpwstr>
  </property>
  <property fmtid="{D5CDD505-2E9C-101B-9397-08002B2CF9AE}" pid="11" name="Comment">
    <vt:lpwstr/>
  </property>
  <property fmtid="{D5CDD505-2E9C-101B-9397-08002B2CF9AE}" pid="12" name="DraftPages">
    <vt:lpwstr> 7</vt:lpwstr>
  </property>
  <property fmtid="{D5CDD505-2E9C-101B-9397-08002B2CF9AE}" pid="13" name="Operator">
    <vt:lpwstr>Toubolets</vt:lpwstr>
  </property>
</Properties>
</file>