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000000">
      <w:pPr>
        <w:rPr>
          <w:lang w:val="es-ES_tradnl"/>
        </w:rPr>
      </w:pPr>
      <w:r>
        <w:rPr>
          <w:noProof/>
          <w:sz w:val="20"/>
        </w:rPr>
        <w:pict>
          <v:line id="_x0000_s1031" style="position:absolute;z-index:6;mso-wrap-edited:f;mso-position-horizontal-relative:page;mso-position-vertical-relative:page" from="85.05pt,249.5pt" to="552.75pt,249.5pt" strokeweight="4.5pt">
            <w10:wrap anchorx="page" anchory="page"/>
            <w10:anchorlock/>
          </v:line>
        </w:pict>
      </w:r>
      <w:r>
        <w:rPr>
          <w:noProof/>
          <w:sz w:val="20"/>
        </w:rPr>
        <w:pict>
          <v:shapetype id="_x0000_t202" coordsize="21600,21600" o:spt="202" path="m,l,21600r21600,l21600,xe">
            <v:stroke joinstyle="miter"/>
            <v:path gradientshapeok="t" o:connecttype="rect"/>
          </v:shapetype>
          <v:shape id="_x0000_s1030" type="#_x0000_t202" style="position:absolute;margin-left:166.05pt;margin-top:119.05pt;width:207pt;height:83.45pt;z-index:5;mso-wrap-edited:f;mso-position-horizontal-relative:page;mso-position-vertical-relative:page" wrapcoords="-167 0 -167 21600 21767 21600 21767 0 -167 0" filled="f" stroked="f">
            <v:textbox inset="0,0,0,0">
              <w:txbxContent>
                <w:p w:rsidR="00000000" w:rsidRDefault="00000000">
                  <w:pPr>
                    <w:rPr>
                      <w:rFonts w:ascii="Arial" w:hAnsi="Arial" w:cs="Arial"/>
                      <w:b/>
                      <w:bCs/>
                      <w:sz w:val="32"/>
                      <w:lang w:val="es-ES_tradnl"/>
                    </w:rPr>
                  </w:pPr>
                  <w:r>
                    <w:rPr>
                      <w:rFonts w:ascii="Arial" w:hAnsi="Arial" w:cs="Arial"/>
                      <w:b/>
                      <w:bCs/>
                      <w:sz w:val="32"/>
                      <w:lang w:val="es-ES_tradnl"/>
                    </w:rPr>
                    <w:t>Convención Internacional</w:t>
                  </w:r>
                  <w:r>
                    <w:rPr>
                      <w:rFonts w:ascii="Arial" w:hAnsi="Arial" w:cs="Arial"/>
                      <w:b/>
                      <w:bCs/>
                      <w:sz w:val="32"/>
                      <w:lang w:val="es-ES_tradnl"/>
                    </w:rPr>
                    <w:br/>
                    <w:t>sobre la Eliminación</w:t>
                  </w:r>
                  <w:r>
                    <w:rPr>
                      <w:rFonts w:ascii="Arial" w:hAnsi="Arial" w:cs="Arial"/>
                      <w:b/>
                      <w:bCs/>
                      <w:sz w:val="32"/>
                      <w:lang w:val="es-ES_tradnl"/>
                    </w:rPr>
                    <w:br/>
                    <w:t>de todas las Formas</w:t>
                  </w:r>
                  <w:r>
                    <w:rPr>
                      <w:rFonts w:ascii="Arial" w:hAnsi="Arial" w:cs="Arial"/>
                      <w:b/>
                      <w:bCs/>
                      <w:sz w:val="32"/>
                      <w:lang w:val="es-ES_tradnl"/>
                    </w:rPr>
                    <w:br/>
                    <w:t>de Discriminación Racial</w:t>
                  </w:r>
                </w:p>
              </w:txbxContent>
            </v:textbox>
            <w10:wrap anchorx="page" anchory="page"/>
            <w10:anchorlock/>
          </v:shape>
        </w:pict>
      </w:r>
      <w:r>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87.9pt;margin-top:112pt;width:68.05pt;height:63.9pt;z-index:4;visibility:visible;mso-wrap-edited:f;mso-position-horizontal-relative:page;mso-position-vertical-relative:page">
            <v:imagedata r:id="rId7" o:title=""/>
            <w10:wrap anchorx="page" anchory="page"/>
            <w10:anchorlock/>
          </v:shape>
          <o:OLEObject Type="Embed" ProgID="Word.Picture.8" ShapeID="_x0000_s1029" DrawAspect="Content" ObjectID="_1394571942" r:id="rId8"/>
        </w:pict>
      </w:r>
      <w:r>
        <w:rPr>
          <w:noProof/>
          <w:sz w:val="20"/>
        </w:rPr>
        <w:pict>
          <v:line id="_x0000_s1028" style="position:absolute;z-index:3;mso-wrap-edited:f;mso-position-horizontal-relative:page;mso-position-vertical-relative:page" from="85.05pt,104.9pt" to="552.75pt,104.9pt" wrapcoords="-35 0 -35 0 21635 0 21635 0 -35 0">
            <w10:wrap anchorx="page" anchory="page"/>
            <w10:anchorlock/>
          </v:line>
        </w:pict>
      </w:r>
      <w:r>
        <w:rPr>
          <w:noProof/>
          <w:sz w:val="20"/>
        </w:rPr>
        <w:pict>
          <v:shape id="_x0000_s1027" type="#_x0000_t202" style="position:absolute;margin-left:445.05pt;margin-top:51.05pt;width:107.75pt;height:45.35pt;z-index:2;mso-wrap-edited:f;mso-position-horizontal-relative:page;mso-position-vertical-relative:page" wrapcoords="-167 0 -167 21600 21767 21600 21767 0 -167 0" filled="f" stroked="f">
            <v:textbox inset="0,0,0,0">
              <w:txbxContent>
                <w:p w:rsidR="00000000" w:rsidRDefault="00000000">
                  <w:pPr>
                    <w:rPr>
                      <w:rFonts w:ascii="Arial" w:hAnsi="Arial" w:cs="Arial"/>
                      <w:b/>
                      <w:bCs/>
                      <w:sz w:val="72"/>
                      <w:lang w:val="es-ES_tradnl"/>
                    </w:rPr>
                  </w:pPr>
                  <w:r>
                    <w:rPr>
                      <w:rFonts w:ascii="Arial" w:hAnsi="Arial" w:cs="Arial"/>
                      <w:b/>
                      <w:bCs/>
                      <w:sz w:val="72"/>
                      <w:lang w:val="es-ES_tradnl"/>
                    </w:rPr>
                    <w:t>CERD</w:t>
                  </w:r>
                </w:p>
              </w:txbxContent>
            </v:textbox>
            <w10:wrap anchorx="page" anchory="page"/>
            <w10:anchorlock/>
          </v:shape>
        </w:pict>
      </w:r>
      <w:r>
        <w:rPr>
          <w:noProof/>
          <w:sz w:val="20"/>
        </w:rPr>
        <w:pict>
          <v:shape id="_x0000_s1026" type="#_x0000_t202" style="position:absolute;margin-left:85.05pt;margin-top:56.7pt;width:96.4pt;height:36.85pt;z-index:1;mso-wrap-edited:f;mso-position-horizontal-relative:page;mso-position-vertical-relative:page" wrapcoords="-167 0 -167 21600 21767 21600 21767 0 -167 0" filled="f" stroked="f">
            <v:textbox inset="0,0,0,0">
              <w:txbxContent>
                <w:p w:rsidR="00000000" w:rsidRDefault="00000000">
                  <w:pPr>
                    <w:rPr>
                      <w:rFonts w:ascii="Arial" w:hAnsi="Arial" w:cs="Arial"/>
                      <w:b/>
                      <w:bCs/>
                      <w:sz w:val="28"/>
                      <w:lang w:val="es-ES_tradnl"/>
                    </w:rPr>
                  </w:pPr>
                  <w:r>
                    <w:rPr>
                      <w:rFonts w:ascii="Arial" w:hAnsi="Arial" w:cs="Arial"/>
                      <w:b/>
                      <w:bCs/>
                      <w:sz w:val="28"/>
                      <w:lang w:val="es-ES_tradnl"/>
                    </w:rPr>
                    <w:t>NACIONES UNIDAS</w:t>
                  </w:r>
                </w:p>
              </w:txbxContent>
            </v:textbox>
            <w10:wrap anchorx="page" anchory="page"/>
            <w10:anchorlock/>
          </v:shape>
        </w:pict>
      </w:r>
    </w:p>
    <w:p w:rsidR="00000000" w:rsidRDefault="00000000">
      <w:pPr>
        <w:rPr>
          <w:lang w:val="es-ES_tradnl"/>
        </w:rPr>
      </w:pPr>
    </w:p>
    <w:p w:rsidR="00000000" w:rsidRDefault="00000000">
      <w:pPr>
        <w:rPr>
          <w:lang w:val="es-ES_tradnl"/>
        </w:rPr>
      </w:pPr>
    </w:p>
    <w:p w:rsidR="00000000" w:rsidRDefault="00000000">
      <w:pPr>
        <w:spacing w:after="240"/>
        <w:ind w:left="7195"/>
      </w:pPr>
      <w:r>
        <w:t>Distr.</w:t>
      </w:r>
      <w:r>
        <w:br/>
        <w:t>GENERAL</w:t>
      </w:r>
    </w:p>
    <w:p w:rsidR="00000000" w:rsidRDefault="00000000">
      <w:pPr>
        <w:spacing w:after="240"/>
        <w:ind w:left="7195"/>
      </w:pPr>
      <w:r>
        <w:t>CERD/C/TCD/15</w:t>
      </w:r>
      <w:r>
        <w:br/>
        <w:t>19 de marzo de 2009</w:t>
      </w:r>
    </w:p>
    <w:p w:rsidR="00000000" w:rsidRDefault="00000000">
      <w:pPr>
        <w:spacing w:after="600"/>
        <w:ind w:left="7195"/>
      </w:pPr>
      <w:r>
        <w:t>ESPAÑOL</w:t>
      </w:r>
      <w:r>
        <w:br/>
        <w:t>Original:  FRANCÉS</w:t>
      </w:r>
    </w:p>
    <w:p w:rsidR="00000000" w:rsidRDefault="00000000">
      <w:pPr>
        <w:spacing w:after="960"/>
        <w:ind w:left="340" w:hanging="340"/>
      </w:pPr>
      <w:r>
        <w:t>COMITÉ PARA LA ELIMINACIÓN DE LA</w:t>
      </w:r>
      <w:r>
        <w:br/>
        <w:t>DISCRIMINACIÓN RACIAL</w:t>
      </w:r>
    </w:p>
    <w:p w:rsidR="00000000" w:rsidRDefault="00000000">
      <w:pPr>
        <w:spacing w:after="240"/>
        <w:jc w:val="center"/>
        <w:rPr>
          <w:b/>
        </w:rPr>
      </w:pPr>
      <w:r>
        <w:rPr>
          <w:b/>
        </w:rPr>
        <w:t>EXAMEN DE LOS INFORMES PRESENTADOS POR LOS ESTADOS</w:t>
      </w:r>
      <w:r>
        <w:rPr>
          <w:b/>
        </w:rPr>
        <w:br/>
        <w:t>PARTES DE CONFORMIDAD CON EL ARTÍCULO 9</w:t>
      </w:r>
      <w:r>
        <w:rPr>
          <w:b/>
        </w:rPr>
        <w:br/>
        <w:t>DE LA CONVENCIÓN</w:t>
      </w:r>
    </w:p>
    <w:p w:rsidR="00000000" w:rsidRDefault="00000000">
      <w:pPr>
        <w:spacing w:after="240"/>
        <w:jc w:val="center"/>
        <w:rPr>
          <w:b/>
        </w:rPr>
      </w:pPr>
      <w:r>
        <w:rPr>
          <w:b/>
        </w:rPr>
        <w:t>15º informe periódico que los Estados partes debían presentar en 2006</w:t>
      </w:r>
      <w:r>
        <w:rPr>
          <w:b/>
          <w:vertAlign w:val="superscript"/>
        </w:rPr>
        <w:footnoteReference w:customMarkFollows="1" w:id="1"/>
        <w:t>*</w:t>
      </w:r>
    </w:p>
    <w:p w:rsidR="00000000" w:rsidRDefault="00000000">
      <w:pPr>
        <w:spacing w:after="240"/>
        <w:jc w:val="center"/>
        <w:rPr>
          <w:b/>
        </w:rPr>
      </w:pPr>
      <w:r>
        <w:rPr>
          <w:b/>
        </w:rPr>
        <w:t>Adición</w:t>
      </w:r>
    </w:p>
    <w:p w:rsidR="00000000" w:rsidRDefault="00000000">
      <w:pPr>
        <w:spacing w:after="360"/>
        <w:jc w:val="center"/>
      </w:pPr>
      <w:r>
        <w:rPr>
          <w:b/>
        </w:rPr>
        <w:t>CHAD</w:t>
      </w:r>
      <w:r>
        <w:rPr>
          <w:b/>
          <w:vertAlign w:val="superscript"/>
        </w:rPr>
        <w:footnoteReference w:customMarkFollows="1" w:id="2"/>
        <w:t>**</w:t>
      </w:r>
    </w:p>
    <w:p w:rsidR="00000000" w:rsidRDefault="00000000">
      <w:pPr>
        <w:spacing w:after="240"/>
        <w:jc w:val="right"/>
      </w:pPr>
      <w:r>
        <w:t>[4 de septiembre de 2007]</w:t>
      </w:r>
    </w:p>
    <w:p w:rsidR="00000000" w:rsidRDefault="00000000">
      <w:pPr>
        <w:spacing w:after="240"/>
        <w:jc w:val="center"/>
        <w:rPr>
          <w:b/>
        </w:rPr>
      </w:pPr>
      <w:r>
        <w:br w:type="page"/>
      </w:r>
      <w:r>
        <w:rPr>
          <w:b/>
        </w:rPr>
        <w:t>ÍNDICE</w:t>
      </w:r>
    </w:p>
    <w:p w:rsidR="00000000" w:rsidRDefault="00000000">
      <w:pPr>
        <w:spacing w:after="240"/>
        <w:jc w:val="right"/>
        <w:rPr>
          <w:i/>
        </w:rPr>
      </w:pPr>
      <w:r>
        <w:rPr>
          <w:i/>
        </w:rPr>
        <w:t>Párrafos     Página</w:t>
      </w:r>
    </w:p>
    <w:p w:rsidR="00000000" w:rsidRDefault="00000000">
      <w:pPr>
        <w:tabs>
          <w:tab w:val="right" w:pos="567"/>
          <w:tab w:val="left" w:pos="850"/>
          <w:tab w:val="left" w:pos="1304"/>
          <w:tab w:val="left" w:pos="1701"/>
          <w:tab w:val="right" w:leader="dot" w:pos="8329"/>
          <w:tab w:val="right" w:pos="9099"/>
        </w:tabs>
        <w:spacing w:after="240"/>
      </w:pPr>
      <w:r>
        <w:t>Presentación cartográfica del Chad</w:t>
      </w:r>
      <w:r>
        <w:tab/>
      </w:r>
      <w:r>
        <w:tab/>
        <w:t>3</w:t>
      </w:r>
    </w:p>
    <w:p w:rsidR="00000000" w:rsidRDefault="00000000">
      <w:pPr>
        <w:tabs>
          <w:tab w:val="right" w:pos="567"/>
          <w:tab w:val="left" w:pos="850"/>
          <w:tab w:val="left" w:pos="1304"/>
          <w:tab w:val="left" w:pos="1701"/>
          <w:tab w:val="right" w:leader="dot" w:pos="8329"/>
          <w:tab w:val="right" w:pos="9099"/>
        </w:tabs>
        <w:spacing w:after="240"/>
      </w:pPr>
      <w:r>
        <w:t>Datos de base sobre el Chad</w:t>
      </w:r>
      <w:r>
        <w:tab/>
      </w:r>
      <w:r>
        <w:tab/>
        <w:t>4</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pPr>
      <w:r>
        <w:t>INTRODUCCIÓN</w:t>
      </w:r>
      <w:r>
        <w:tab/>
      </w:r>
      <w:r>
        <w:tab/>
        <w:t>1</w:t>
      </w:r>
      <w:r>
        <w:tab/>
        <w:t>-</w:t>
      </w:r>
      <w:r>
        <w:tab/>
        <w:t>3</w:t>
      </w:r>
      <w:r>
        <w:tab/>
        <w:t>7</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pPr>
      <w:r>
        <w:tab/>
        <w:t>I.</w:t>
      </w:r>
      <w:r>
        <w:tab/>
        <w:t>RESPUESTAS A LAS RECOMENDACIONES DEL COMITÉ</w:t>
      </w:r>
      <w:r>
        <w:tab/>
      </w:r>
      <w:r>
        <w:tab/>
        <w:t>4</w:t>
      </w:r>
      <w:r>
        <w:tab/>
        <w:t>-</w:t>
      </w:r>
      <w:r>
        <w:tab/>
        <w:t>51</w:t>
      </w:r>
      <w:r>
        <w:tab/>
        <w:t>8</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pPr>
      <w:r>
        <w:tab/>
      </w:r>
      <w:r>
        <w:tab/>
        <w:t>A.</w:t>
      </w:r>
      <w:r>
        <w:tab/>
        <w:t>Asistencia técnica internacional</w:t>
      </w:r>
      <w:r>
        <w:tab/>
      </w:r>
      <w:r>
        <w:tab/>
        <w:t>4</w:t>
      </w:r>
      <w:r>
        <w:tab/>
        <w:t>-</w:t>
      </w:r>
      <w:r>
        <w:tab/>
        <w:t>6</w:t>
      </w:r>
      <w:r>
        <w:tab/>
        <w:t>8</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pPr>
      <w:r>
        <w:tab/>
      </w:r>
      <w:r>
        <w:tab/>
        <w:t>B.</w:t>
      </w:r>
      <w:r>
        <w:tab/>
        <w:t>Reformas constitucionales y otras reformas nacionales</w:t>
      </w:r>
      <w:r>
        <w:tab/>
      </w:r>
      <w:r>
        <w:tab/>
        <w:t>7</w:t>
      </w:r>
      <w:r>
        <w:tab/>
        <w:t>-</w:t>
      </w:r>
      <w:r>
        <w:tab/>
        <w:t>20</w:t>
      </w:r>
      <w:r>
        <w:tab/>
        <w:t>8</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pPr>
      <w:r>
        <w:tab/>
      </w:r>
      <w:r>
        <w:tab/>
        <w:t>C.</w:t>
      </w:r>
      <w:r>
        <w:tab/>
        <w:t>Política seguida para eliminar todas las formas de</w:t>
      </w:r>
      <w:r>
        <w:br/>
      </w:r>
      <w:r>
        <w:tab/>
      </w:r>
      <w:r>
        <w:tab/>
      </w:r>
      <w:r>
        <w:tab/>
        <w:t>discriminación racial</w:t>
      </w:r>
      <w:r>
        <w:tab/>
      </w:r>
      <w:r>
        <w:tab/>
        <w:t>21</w:t>
      </w:r>
      <w:r>
        <w:tab/>
        <w:t>-</w:t>
      </w:r>
      <w:r>
        <w:tab/>
        <w:t>23</w:t>
      </w:r>
      <w:r>
        <w:tab/>
        <w:t>10</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pPr>
      <w:r>
        <w:tab/>
      </w:r>
      <w:r>
        <w:tab/>
        <w:t>D.</w:t>
      </w:r>
      <w:r>
        <w:tab/>
        <w:t>Principales características socioculturales:  etnias y</w:t>
      </w:r>
      <w:r>
        <w:br/>
      </w:r>
      <w:r>
        <w:tab/>
      </w:r>
      <w:r>
        <w:tab/>
      </w:r>
      <w:r>
        <w:tab/>
        <w:t>religiones en el Chad</w:t>
      </w:r>
      <w:r>
        <w:tab/>
      </w:r>
      <w:r>
        <w:tab/>
        <w:t>24</w:t>
      </w:r>
      <w:r>
        <w:tab/>
        <w:t>-</w:t>
      </w:r>
      <w:r>
        <w:tab/>
        <w:t>44</w:t>
      </w:r>
      <w:r>
        <w:tab/>
        <w:t>10</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pPr>
      <w:r>
        <w:tab/>
      </w:r>
      <w:r>
        <w:tab/>
        <w:t>E.</w:t>
      </w:r>
      <w:r>
        <w:tab/>
        <w:t>Situación de la mujer</w:t>
      </w:r>
      <w:r>
        <w:tab/>
      </w:r>
      <w:r>
        <w:tab/>
        <w:t>45</w:t>
      </w:r>
      <w:r>
        <w:tab/>
        <w:t>-</w:t>
      </w:r>
      <w:r>
        <w:tab/>
        <w:t>51</w:t>
      </w:r>
      <w:r>
        <w:tab/>
        <w:t>18</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pPr>
      <w:r>
        <w:tab/>
        <w:t>II.</w:t>
      </w:r>
      <w:r>
        <w:tab/>
        <w:t>INFORMACIÓN SOBRE LOS ARTÍCULOS 2 A 7 DE LA</w:t>
      </w:r>
      <w:r>
        <w:br/>
      </w:r>
      <w:r>
        <w:tab/>
      </w:r>
      <w:r>
        <w:tab/>
        <w:t>CONVENCIÓN</w:t>
      </w:r>
      <w:r>
        <w:tab/>
      </w:r>
      <w:r>
        <w:tab/>
        <w:t>52</w:t>
      </w:r>
      <w:r>
        <w:tab/>
        <w:t>-</w:t>
      </w:r>
      <w:r>
        <w:tab/>
        <w:t>304</w:t>
      </w:r>
      <w:r>
        <w:tab/>
        <w:t>20</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pPr>
      <w:r>
        <w:tab/>
      </w:r>
      <w:r>
        <w:tab/>
        <w:t>Artículo 2</w:t>
      </w:r>
      <w:r>
        <w:tab/>
      </w:r>
      <w:r>
        <w:tab/>
        <w:t>52</w:t>
      </w:r>
      <w:r>
        <w:tab/>
        <w:t>-</w:t>
      </w:r>
      <w:r>
        <w:tab/>
        <w:t>156</w:t>
      </w:r>
      <w:r>
        <w:tab/>
        <w:t>20</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pPr>
      <w:r>
        <w:tab/>
      </w:r>
      <w:r>
        <w:tab/>
        <w:t>Artículo 3</w:t>
      </w:r>
      <w:r>
        <w:tab/>
      </w:r>
      <w:r>
        <w:tab/>
        <w:t>157</w:t>
      </w:r>
      <w:r>
        <w:tab/>
        <w:t>-</w:t>
      </w:r>
      <w:r>
        <w:tab/>
        <w:t>159</w:t>
      </w:r>
      <w:r>
        <w:tab/>
        <w:t>35</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pPr>
      <w:r>
        <w:tab/>
      </w:r>
      <w:r>
        <w:tab/>
        <w:t>Artículo 4</w:t>
      </w:r>
      <w:r>
        <w:tab/>
      </w:r>
      <w:r>
        <w:tab/>
        <w:t>160</w:t>
      </w:r>
      <w:r>
        <w:tab/>
        <w:t>-</w:t>
      </w:r>
      <w:r>
        <w:tab/>
        <w:t>164</w:t>
      </w:r>
      <w:r>
        <w:tab/>
        <w:t>36</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pPr>
      <w:r>
        <w:tab/>
      </w:r>
      <w:r>
        <w:tab/>
        <w:t>Artículo 5</w:t>
      </w:r>
      <w:r>
        <w:tab/>
      </w:r>
      <w:r>
        <w:tab/>
        <w:t>165</w:t>
      </w:r>
      <w:r>
        <w:tab/>
        <w:t>-</w:t>
      </w:r>
      <w:r>
        <w:tab/>
        <w:t>271</w:t>
      </w:r>
      <w:r>
        <w:tab/>
        <w:t>37</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pPr>
      <w:r>
        <w:tab/>
      </w:r>
      <w:r>
        <w:tab/>
        <w:t>Artículo 6</w:t>
      </w:r>
      <w:r>
        <w:tab/>
      </w:r>
      <w:r>
        <w:tab/>
        <w:t>272</w:t>
      </w:r>
      <w:r>
        <w:tab/>
        <w:t>-</w:t>
      </w:r>
      <w:r>
        <w:tab/>
        <w:t>285</w:t>
      </w:r>
      <w:r>
        <w:tab/>
        <w:t>51</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pPr>
      <w:r>
        <w:tab/>
      </w:r>
      <w:r>
        <w:tab/>
        <w:t>Artículo 7</w:t>
      </w:r>
      <w:r>
        <w:tab/>
      </w:r>
      <w:r>
        <w:tab/>
        <w:t>286</w:t>
      </w:r>
      <w:r>
        <w:tab/>
        <w:t>-</w:t>
      </w:r>
      <w:r>
        <w:tab/>
        <w:t>304</w:t>
      </w:r>
      <w:r>
        <w:tab/>
        <w:t>53</w:t>
      </w:r>
    </w:p>
    <w:p w:rsidR="00000000" w:rsidRDefault="00000000">
      <w:pPr>
        <w:tabs>
          <w:tab w:val="right" w:pos="567"/>
          <w:tab w:val="left" w:pos="850"/>
          <w:tab w:val="left" w:pos="1304"/>
          <w:tab w:val="left" w:pos="1701"/>
          <w:tab w:val="right" w:leader="dot" w:pos="7285"/>
          <w:tab w:val="right" w:pos="7835"/>
          <w:tab w:val="center" w:pos="7920"/>
          <w:tab w:val="right" w:pos="8357"/>
          <w:tab w:val="right" w:pos="9099"/>
        </w:tabs>
        <w:spacing w:after="240"/>
      </w:pPr>
    </w:p>
    <w:p w:rsidR="00000000" w:rsidRDefault="00000000">
      <w:pPr>
        <w:spacing w:after="240"/>
        <w:jc w:val="center"/>
      </w:pPr>
      <w:r>
        <w:br w:type="page"/>
      </w:r>
      <w:bookmarkStart w:id="0" w:name="_MON_1306775839"/>
      <w:bookmarkStart w:id="1" w:name="_MON_1306776316"/>
      <w:bookmarkStart w:id="2" w:name="_MON_1306776369"/>
      <w:bookmarkEnd w:id="0"/>
      <w:bookmarkEnd w:id="1"/>
      <w:bookmarkEnd w:id="2"/>
      <w:r>
        <w:object w:dxaOrig="9175" w:dyaOrig="12970">
          <v:shape id="_x0000_i1025" type="#_x0000_t75" style="width:459pt;height:648.75pt" o:ole="">
            <v:imagedata r:id="rId9" o:title=""/>
          </v:shape>
          <o:OLEObject Type="Embed" ProgID="Word.Picture.8" ShapeID="_x0000_i1025" DrawAspect="Content" ObjectID="_1394571941" r:id="rId10"/>
        </w:object>
      </w:r>
    </w:p>
    <w:p w:rsidR="00000000" w:rsidRDefault="00000000">
      <w:pPr>
        <w:spacing w:after="200"/>
        <w:jc w:val="center"/>
        <w:rPr>
          <w:b/>
          <w:sz w:val="20"/>
          <w:szCs w:val="20"/>
        </w:rPr>
      </w:pPr>
      <w:r>
        <w:rPr>
          <w:b/>
          <w:sz w:val="20"/>
          <w:szCs w:val="20"/>
        </w:rPr>
        <w:t>Datos de base sobre el Chad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Pr>
      <w:tblGrid>
        <w:gridCol w:w="1368"/>
        <w:gridCol w:w="3659"/>
        <w:gridCol w:w="1469"/>
        <w:gridCol w:w="994"/>
        <w:gridCol w:w="1979"/>
      </w:tblGrid>
      <w:tr w:rsidR="00000000">
        <w:trPr>
          <w:tblHeader/>
        </w:trPr>
        <w:tc>
          <w:tcPr>
            <w:tcW w:w="1368" w:type="dxa"/>
            <w:tcMar>
              <w:left w:w="57" w:type="dxa"/>
              <w:right w:w="57" w:type="dxa"/>
            </w:tcMar>
          </w:tcPr>
          <w:p w:rsidR="00000000" w:rsidRDefault="00000000">
            <w:pPr>
              <w:rPr>
                <w:b/>
                <w:sz w:val="20"/>
                <w:szCs w:val="20"/>
              </w:rPr>
            </w:pPr>
          </w:p>
        </w:tc>
        <w:tc>
          <w:tcPr>
            <w:tcW w:w="3659" w:type="dxa"/>
            <w:tcMar>
              <w:left w:w="57" w:type="dxa"/>
              <w:right w:w="57" w:type="dxa"/>
            </w:tcMar>
            <w:vAlign w:val="bottom"/>
          </w:tcPr>
          <w:p w:rsidR="00000000" w:rsidRDefault="00000000">
            <w:pPr>
              <w:jc w:val="center"/>
              <w:rPr>
                <w:b/>
                <w:sz w:val="20"/>
                <w:szCs w:val="20"/>
              </w:rPr>
            </w:pPr>
            <w:r>
              <w:rPr>
                <w:b/>
                <w:sz w:val="20"/>
                <w:szCs w:val="20"/>
              </w:rPr>
              <w:br w:type="page"/>
              <w:t>Indicadores</w:t>
            </w:r>
          </w:p>
        </w:tc>
        <w:tc>
          <w:tcPr>
            <w:tcW w:w="1469" w:type="dxa"/>
            <w:tcMar>
              <w:left w:w="57" w:type="dxa"/>
              <w:right w:w="57" w:type="dxa"/>
            </w:tcMar>
            <w:vAlign w:val="bottom"/>
          </w:tcPr>
          <w:p w:rsidR="00000000" w:rsidRDefault="00000000">
            <w:pPr>
              <w:jc w:val="center"/>
              <w:rPr>
                <w:b/>
                <w:sz w:val="20"/>
                <w:szCs w:val="20"/>
              </w:rPr>
            </w:pPr>
            <w:r>
              <w:rPr>
                <w:b/>
                <w:sz w:val="20"/>
                <w:szCs w:val="20"/>
              </w:rPr>
              <w:t>Valor</w:t>
            </w:r>
          </w:p>
        </w:tc>
        <w:tc>
          <w:tcPr>
            <w:tcW w:w="994" w:type="dxa"/>
            <w:tcMar>
              <w:left w:w="57" w:type="dxa"/>
              <w:right w:w="57" w:type="dxa"/>
            </w:tcMar>
            <w:vAlign w:val="bottom"/>
          </w:tcPr>
          <w:p w:rsidR="00000000" w:rsidRDefault="00000000">
            <w:pPr>
              <w:jc w:val="center"/>
              <w:rPr>
                <w:b/>
                <w:sz w:val="20"/>
                <w:szCs w:val="20"/>
              </w:rPr>
            </w:pPr>
            <w:r>
              <w:rPr>
                <w:b/>
                <w:sz w:val="20"/>
                <w:szCs w:val="20"/>
              </w:rPr>
              <w:t>Año</w:t>
            </w:r>
          </w:p>
        </w:tc>
        <w:tc>
          <w:tcPr>
            <w:tcW w:w="1979" w:type="dxa"/>
            <w:tcMar>
              <w:left w:w="57" w:type="dxa"/>
              <w:right w:w="57" w:type="dxa"/>
            </w:tcMar>
            <w:vAlign w:val="bottom"/>
          </w:tcPr>
          <w:p w:rsidR="00000000" w:rsidRDefault="00000000">
            <w:pPr>
              <w:jc w:val="center"/>
              <w:rPr>
                <w:b/>
                <w:sz w:val="20"/>
                <w:szCs w:val="20"/>
              </w:rPr>
            </w:pPr>
            <w:r>
              <w:rPr>
                <w:b/>
                <w:sz w:val="20"/>
                <w:szCs w:val="20"/>
              </w:rPr>
              <w:t>Fuentes</w:t>
            </w:r>
          </w:p>
        </w:tc>
      </w:tr>
      <w:tr w:rsidR="00000000">
        <w:trPr>
          <w:cantSplit/>
        </w:trPr>
        <w:tc>
          <w:tcPr>
            <w:tcW w:w="1368" w:type="dxa"/>
            <w:vMerge w:val="restart"/>
            <w:tcMar>
              <w:left w:w="57" w:type="dxa"/>
              <w:right w:w="57" w:type="dxa"/>
            </w:tcMar>
          </w:tcPr>
          <w:p w:rsidR="00000000" w:rsidRDefault="00000000">
            <w:pPr>
              <w:rPr>
                <w:sz w:val="20"/>
                <w:szCs w:val="20"/>
              </w:rPr>
            </w:pPr>
            <w:r>
              <w:rPr>
                <w:sz w:val="20"/>
                <w:szCs w:val="20"/>
              </w:rPr>
              <w:t>Datos administrativos</w:t>
            </w:r>
          </w:p>
        </w:tc>
        <w:tc>
          <w:tcPr>
            <w:tcW w:w="3659" w:type="dxa"/>
            <w:tcMar>
              <w:left w:w="57" w:type="dxa"/>
              <w:right w:w="57" w:type="dxa"/>
            </w:tcMar>
            <w:vAlign w:val="bottom"/>
          </w:tcPr>
          <w:p w:rsidR="00000000" w:rsidRDefault="00000000">
            <w:pPr>
              <w:rPr>
                <w:sz w:val="20"/>
                <w:szCs w:val="20"/>
              </w:rPr>
            </w:pPr>
            <w:r>
              <w:rPr>
                <w:sz w:val="20"/>
                <w:szCs w:val="20"/>
              </w:rPr>
              <w:t>Superficie (km</w:t>
            </w:r>
            <w:r>
              <w:rPr>
                <w:sz w:val="20"/>
                <w:szCs w:val="20"/>
                <w:vertAlign w:val="superscript"/>
              </w:rPr>
              <w:t>2</w:t>
            </w:r>
            <w:r>
              <w:rPr>
                <w:sz w:val="20"/>
                <w:szCs w:val="20"/>
              </w:rPr>
              <w:t>)</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1.284.000</w:t>
            </w:r>
          </w:p>
        </w:tc>
        <w:tc>
          <w:tcPr>
            <w:tcW w:w="994" w:type="dxa"/>
            <w:tcMar>
              <w:left w:w="57" w:type="dxa"/>
              <w:right w:w="57" w:type="dxa"/>
            </w:tcMar>
            <w:vAlign w:val="bottom"/>
          </w:tcPr>
          <w:p w:rsidR="00000000" w:rsidRDefault="00000000">
            <w:pPr>
              <w:rPr>
                <w:sz w:val="20"/>
                <w:szCs w:val="20"/>
              </w:rPr>
            </w:pPr>
          </w:p>
        </w:tc>
        <w:tc>
          <w:tcPr>
            <w:tcW w:w="1979" w:type="dxa"/>
            <w:tcMar>
              <w:left w:w="57" w:type="dxa"/>
              <w:right w:w="57" w:type="dxa"/>
            </w:tcMar>
            <w:vAlign w:val="bottom"/>
          </w:tcPr>
          <w:p w:rsidR="00000000" w:rsidRDefault="00000000">
            <w:pPr>
              <w:rPr>
                <w:sz w:val="20"/>
                <w:szCs w:val="20"/>
              </w:rPr>
            </w:pP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Regiones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18</w:t>
            </w:r>
          </w:p>
        </w:tc>
        <w:tc>
          <w:tcPr>
            <w:tcW w:w="994" w:type="dxa"/>
            <w:tcMar>
              <w:left w:w="57" w:type="dxa"/>
              <w:right w:w="57" w:type="dxa"/>
            </w:tcMar>
            <w:vAlign w:val="bottom"/>
          </w:tcPr>
          <w:p w:rsidR="00000000" w:rsidRDefault="00000000">
            <w:pPr>
              <w:rPr>
                <w:sz w:val="20"/>
                <w:szCs w:val="20"/>
              </w:rPr>
            </w:pPr>
            <w:r>
              <w:rPr>
                <w:sz w:val="20"/>
                <w:szCs w:val="20"/>
              </w:rPr>
              <w:t>2002</w:t>
            </w:r>
          </w:p>
        </w:tc>
        <w:tc>
          <w:tcPr>
            <w:tcW w:w="1979" w:type="dxa"/>
            <w:tcMar>
              <w:left w:w="57" w:type="dxa"/>
              <w:right w:w="57" w:type="dxa"/>
            </w:tcMar>
            <w:vAlign w:val="bottom"/>
          </w:tcPr>
          <w:p w:rsidR="00000000" w:rsidRDefault="00000000">
            <w:pPr>
              <w:rPr>
                <w:sz w:val="20"/>
                <w:szCs w:val="20"/>
              </w:rPr>
            </w:pPr>
            <w:r>
              <w:rPr>
                <w:sz w:val="20"/>
                <w:szCs w:val="20"/>
              </w:rPr>
              <w:t>MAT</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Departamento</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47</w:t>
            </w:r>
          </w:p>
        </w:tc>
        <w:tc>
          <w:tcPr>
            <w:tcW w:w="994" w:type="dxa"/>
            <w:tcMar>
              <w:left w:w="57" w:type="dxa"/>
              <w:right w:w="57" w:type="dxa"/>
            </w:tcMar>
            <w:vAlign w:val="bottom"/>
          </w:tcPr>
          <w:p w:rsidR="00000000" w:rsidRDefault="00000000">
            <w:pPr>
              <w:rPr>
                <w:sz w:val="20"/>
                <w:szCs w:val="20"/>
              </w:rPr>
            </w:pPr>
            <w:r>
              <w:rPr>
                <w:sz w:val="20"/>
                <w:szCs w:val="20"/>
              </w:rPr>
              <w:t>2002</w:t>
            </w:r>
          </w:p>
        </w:tc>
        <w:tc>
          <w:tcPr>
            <w:tcW w:w="1979" w:type="dxa"/>
            <w:tcMar>
              <w:left w:w="57" w:type="dxa"/>
              <w:right w:w="57" w:type="dxa"/>
            </w:tcMar>
            <w:vAlign w:val="bottom"/>
          </w:tcPr>
          <w:p w:rsidR="00000000" w:rsidRDefault="00000000">
            <w:pPr>
              <w:rPr>
                <w:sz w:val="20"/>
                <w:szCs w:val="20"/>
              </w:rPr>
            </w:pPr>
            <w:r>
              <w:rPr>
                <w:sz w:val="20"/>
                <w:szCs w:val="20"/>
              </w:rPr>
              <w:t>MAT</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Subprefectura</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199</w:t>
            </w:r>
          </w:p>
        </w:tc>
        <w:tc>
          <w:tcPr>
            <w:tcW w:w="994" w:type="dxa"/>
            <w:tcMar>
              <w:left w:w="57" w:type="dxa"/>
              <w:right w:w="57" w:type="dxa"/>
            </w:tcMar>
            <w:vAlign w:val="bottom"/>
          </w:tcPr>
          <w:p w:rsidR="00000000" w:rsidRDefault="00000000">
            <w:pPr>
              <w:rPr>
                <w:sz w:val="20"/>
                <w:szCs w:val="20"/>
              </w:rPr>
            </w:pPr>
            <w:r>
              <w:rPr>
                <w:sz w:val="20"/>
                <w:szCs w:val="20"/>
              </w:rPr>
              <w:t>2002</w:t>
            </w:r>
          </w:p>
        </w:tc>
        <w:tc>
          <w:tcPr>
            <w:tcW w:w="1979" w:type="dxa"/>
            <w:tcMar>
              <w:left w:w="57" w:type="dxa"/>
              <w:right w:w="57" w:type="dxa"/>
            </w:tcMar>
            <w:vAlign w:val="bottom"/>
          </w:tcPr>
          <w:p w:rsidR="00000000" w:rsidRDefault="00000000">
            <w:pPr>
              <w:rPr>
                <w:sz w:val="20"/>
                <w:szCs w:val="20"/>
              </w:rPr>
            </w:pPr>
            <w:r>
              <w:rPr>
                <w:sz w:val="20"/>
                <w:szCs w:val="20"/>
              </w:rPr>
              <w:t>MAT</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Delegación de salud</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14</w:t>
            </w:r>
          </w:p>
        </w:tc>
        <w:tc>
          <w:tcPr>
            <w:tcW w:w="994" w:type="dxa"/>
            <w:tcMar>
              <w:left w:w="57" w:type="dxa"/>
              <w:right w:w="57" w:type="dxa"/>
            </w:tcMar>
            <w:vAlign w:val="bottom"/>
          </w:tcPr>
          <w:p w:rsidR="00000000" w:rsidRDefault="00000000">
            <w:pPr>
              <w:rPr>
                <w:sz w:val="20"/>
                <w:szCs w:val="20"/>
              </w:rPr>
            </w:pPr>
            <w:r>
              <w:rPr>
                <w:sz w:val="20"/>
                <w:szCs w:val="20"/>
              </w:rPr>
              <w:t>2002</w:t>
            </w:r>
          </w:p>
        </w:tc>
        <w:tc>
          <w:tcPr>
            <w:tcW w:w="1979" w:type="dxa"/>
            <w:tcMar>
              <w:left w:w="57" w:type="dxa"/>
              <w:right w:w="57" w:type="dxa"/>
            </w:tcMar>
            <w:vAlign w:val="bottom"/>
          </w:tcPr>
          <w:p w:rsidR="00000000" w:rsidRDefault="00000000">
            <w:pPr>
              <w:rPr>
                <w:sz w:val="20"/>
                <w:szCs w:val="20"/>
              </w:rPr>
            </w:pPr>
            <w:r>
              <w:rPr>
                <w:sz w:val="20"/>
                <w:szCs w:val="20"/>
              </w:rPr>
              <w:t>MSP</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Delegación departamental de educación</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29</w:t>
            </w:r>
          </w:p>
        </w:tc>
        <w:tc>
          <w:tcPr>
            <w:tcW w:w="994" w:type="dxa"/>
            <w:tcMar>
              <w:left w:w="57" w:type="dxa"/>
              <w:right w:w="57" w:type="dxa"/>
            </w:tcMar>
            <w:vAlign w:val="bottom"/>
          </w:tcPr>
          <w:p w:rsidR="00000000" w:rsidRDefault="00000000">
            <w:pPr>
              <w:rPr>
                <w:sz w:val="20"/>
                <w:szCs w:val="20"/>
              </w:rPr>
            </w:pPr>
            <w:r>
              <w:rPr>
                <w:sz w:val="20"/>
                <w:szCs w:val="20"/>
              </w:rPr>
              <w:t>2003-2004</w:t>
            </w:r>
          </w:p>
        </w:tc>
        <w:tc>
          <w:tcPr>
            <w:tcW w:w="1979" w:type="dxa"/>
            <w:tcMar>
              <w:left w:w="57" w:type="dxa"/>
              <w:right w:w="57" w:type="dxa"/>
            </w:tcMar>
            <w:vAlign w:val="bottom"/>
          </w:tcPr>
          <w:p w:rsidR="00000000" w:rsidRDefault="00000000">
            <w:pPr>
              <w:rPr>
                <w:sz w:val="20"/>
                <w:szCs w:val="20"/>
              </w:rPr>
            </w:pPr>
            <w:r>
              <w:rPr>
                <w:sz w:val="20"/>
                <w:szCs w:val="20"/>
              </w:rPr>
              <w:t>MEN</w:t>
            </w:r>
          </w:p>
        </w:tc>
      </w:tr>
      <w:tr w:rsidR="00000000">
        <w:trPr>
          <w:cantSplit/>
        </w:trPr>
        <w:tc>
          <w:tcPr>
            <w:tcW w:w="1368" w:type="dxa"/>
            <w:vMerge w:val="restart"/>
            <w:tcMar>
              <w:left w:w="57" w:type="dxa"/>
              <w:right w:w="57" w:type="dxa"/>
            </w:tcMar>
          </w:tcPr>
          <w:p w:rsidR="00000000" w:rsidRDefault="00000000">
            <w:pPr>
              <w:rPr>
                <w:sz w:val="20"/>
                <w:szCs w:val="20"/>
              </w:rPr>
            </w:pPr>
            <w:r>
              <w:rPr>
                <w:sz w:val="20"/>
                <w:szCs w:val="20"/>
              </w:rPr>
              <w:t>Estructuras de la población</w:t>
            </w:r>
          </w:p>
        </w:tc>
        <w:tc>
          <w:tcPr>
            <w:tcW w:w="3659" w:type="dxa"/>
            <w:tcMar>
              <w:left w:w="57" w:type="dxa"/>
              <w:right w:w="57" w:type="dxa"/>
            </w:tcMar>
            <w:vAlign w:val="bottom"/>
          </w:tcPr>
          <w:p w:rsidR="00000000" w:rsidRDefault="00000000">
            <w:pPr>
              <w:rPr>
                <w:sz w:val="20"/>
                <w:szCs w:val="20"/>
              </w:rPr>
            </w:pPr>
            <w:r>
              <w:rPr>
                <w:sz w:val="20"/>
                <w:szCs w:val="20"/>
              </w:rPr>
              <w:t>Población (en miles)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9.273</w:t>
            </w:r>
          </w:p>
        </w:tc>
        <w:tc>
          <w:tcPr>
            <w:tcW w:w="994" w:type="dxa"/>
            <w:tcMar>
              <w:left w:w="57" w:type="dxa"/>
              <w:right w:w="57" w:type="dxa"/>
            </w:tcMar>
            <w:vAlign w:val="bottom"/>
          </w:tcPr>
          <w:p w:rsidR="00000000" w:rsidRDefault="00000000">
            <w:pPr>
              <w:rPr>
                <w:sz w:val="20"/>
                <w:szCs w:val="20"/>
              </w:rPr>
            </w:pPr>
            <w:r>
              <w:rPr>
                <w:sz w:val="20"/>
                <w:szCs w:val="20"/>
              </w:rPr>
              <w:t>2005</w:t>
            </w:r>
          </w:p>
        </w:tc>
        <w:tc>
          <w:tcPr>
            <w:tcW w:w="1979" w:type="dxa"/>
            <w:tcMar>
              <w:left w:w="57" w:type="dxa"/>
              <w:right w:w="57" w:type="dxa"/>
            </w:tcMar>
            <w:vAlign w:val="bottom"/>
          </w:tcPr>
          <w:p w:rsidR="00000000" w:rsidRDefault="00000000">
            <w:pPr>
              <w:rPr>
                <w:sz w:val="20"/>
                <w:szCs w:val="20"/>
              </w:rPr>
            </w:pPr>
            <w:r>
              <w:rPr>
                <w:sz w:val="20"/>
                <w:szCs w:val="20"/>
              </w:rPr>
              <w:t>DCAP/MEPC</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Población de 0 a 1 año</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391</w:t>
            </w:r>
          </w:p>
        </w:tc>
        <w:tc>
          <w:tcPr>
            <w:tcW w:w="994" w:type="dxa"/>
            <w:tcMar>
              <w:left w:w="57" w:type="dxa"/>
              <w:right w:w="57" w:type="dxa"/>
            </w:tcMar>
            <w:vAlign w:val="bottom"/>
          </w:tcPr>
          <w:p w:rsidR="00000000" w:rsidRDefault="00000000">
            <w:pPr>
              <w:rPr>
                <w:sz w:val="20"/>
                <w:szCs w:val="20"/>
              </w:rPr>
            </w:pPr>
            <w:r>
              <w:rPr>
                <w:sz w:val="20"/>
                <w:szCs w:val="20"/>
              </w:rPr>
              <w:t>2005</w:t>
            </w:r>
          </w:p>
        </w:tc>
        <w:tc>
          <w:tcPr>
            <w:tcW w:w="1979" w:type="dxa"/>
            <w:tcMar>
              <w:left w:w="57" w:type="dxa"/>
              <w:right w:w="57" w:type="dxa"/>
            </w:tcMar>
            <w:vAlign w:val="bottom"/>
          </w:tcPr>
          <w:p w:rsidR="00000000" w:rsidRDefault="00000000">
            <w:pPr>
              <w:rPr>
                <w:sz w:val="20"/>
                <w:szCs w:val="20"/>
              </w:rPr>
            </w:pPr>
            <w:r>
              <w:rPr>
                <w:sz w:val="20"/>
                <w:szCs w:val="20"/>
              </w:rPr>
              <w:t>DCAP/MEPC</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Población de 6 a 11 años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1.610,5</w:t>
            </w:r>
          </w:p>
        </w:tc>
        <w:tc>
          <w:tcPr>
            <w:tcW w:w="994" w:type="dxa"/>
            <w:tcMar>
              <w:left w:w="57" w:type="dxa"/>
              <w:right w:w="57" w:type="dxa"/>
            </w:tcMar>
            <w:vAlign w:val="bottom"/>
          </w:tcPr>
          <w:p w:rsidR="00000000" w:rsidRDefault="00000000">
            <w:pPr>
              <w:rPr>
                <w:sz w:val="20"/>
                <w:szCs w:val="20"/>
              </w:rPr>
            </w:pPr>
            <w:r>
              <w:rPr>
                <w:sz w:val="20"/>
                <w:szCs w:val="20"/>
              </w:rPr>
              <w:t>2005</w:t>
            </w:r>
          </w:p>
        </w:tc>
        <w:tc>
          <w:tcPr>
            <w:tcW w:w="1979" w:type="dxa"/>
            <w:tcMar>
              <w:left w:w="57" w:type="dxa"/>
              <w:right w:w="57" w:type="dxa"/>
            </w:tcMar>
            <w:vAlign w:val="bottom"/>
          </w:tcPr>
          <w:p w:rsidR="00000000" w:rsidRDefault="00000000">
            <w:pPr>
              <w:rPr>
                <w:sz w:val="20"/>
                <w:szCs w:val="20"/>
              </w:rPr>
            </w:pPr>
            <w:r>
              <w:rPr>
                <w:sz w:val="20"/>
                <w:szCs w:val="20"/>
              </w:rPr>
              <w:t>DCAP/MEPC</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Población de 0 a 18 años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5.032</w:t>
            </w:r>
          </w:p>
        </w:tc>
        <w:tc>
          <w:tcPr>
            <w:tcW w:w="994" w:type="dxa"/>
            <w:tcMar>
              <w:left w:w="57" w:type="dxa"/>
              <w:right w:w="57" w:type="dxa"/>
            </w:tcMar>
            <w:vAlign w:val="bottom"/>
          </w:tcPr>
          <w:p w:rsidR="00000000" w:rsidRDefault="00000000">
            <w:pPr>
              <w:rPr>
                <w:sz w:val="20"/>
                <w:szCs w:val="20"/>
              </w:rPr>
            </w:pPr>
            <w:r>
              <w:rPr>
                <w:sz w:val="20"/>
                <w:szCs w:val="20"/>
              </w:rPr>
              <w:t>2005</w:t>
            </w:r>
          </w:p>
        </w:tc>
        <w:tc>
          <w:tcPr>
            <w:tcW w:w="1979" w:type="dxa"/>
            <w:tcMar>
              <w:left w:w="57" w:type="dxa"/>
              <w:right w:w="57" w:type="dxa"/>
            </w:tcMar>
            <w:vAlign w:val="bottom"/>
          </w:tcPr>
          <w:p w:rsidR="00000000" w:rsidRDefault="00000000">
            <w:pPr>
              <w:rPr>
                <w:sz w:val="20"/>
                <w:szCs w:val="20"/>
              </w:rPr>
            </w:pPr>
            <w:r>
              <w:rPr>
                <w:sz w:val="20"/>
                <w:szCs w:val="20"/>
              </w:rPr>
              <w:t>DCAP/MEPC</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Población femenina (porcentaje)</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52</w:t>
            </w:r>
          </w:p>
        </w:tc>
        <w:tc>
          <w:tcPr>
            <w:tcW w:w="994" w:type="dxa"/>
            <w:tcMar>
              <w:left w:w="57" w:type="dxa"/>
              <w:right w:w="57" w:type="dxa"/>
            </w:tcMar>
            <w:vAlign w:val="bottom"/>
          </w:tcPr>
          <w:p w:rsidR="00000000" w:rsidRDefault="00000000">
            <w:pPr>
              <w:rPr>
                <w:sz w:val="20"/>
                <w:szCs w:val="20"/>
              </w:rPr>
            </w:pPr>
            <w:r>
              <w:rPr>
                <w:sz w:val="20"/>
                <w:szCs w:val="20"/>
              </w:rPr>
              <w:t>1993</w:t>
            </w:r>
          </w:p>
        </w:tc>
        <w:tc>
          <w:tcPr>
            <w:tcW w:w="1979" w:type="dxa"/>
            <w:tcMar>
              <w:left w:w="57" w:type="dxa"/>
              <w:right w:w="57" w:type="dxa"/>
            </w:tcMar>
            <w:vAlign w:val="bottom"/>
          </w:tcPr>
          <w:p w:rsidR="00000000" w:rsidRDefault="00000000">
            <w:pPr>
              <w:rPr>
                <w:sz w:val="20"/>
                <w:szCs w:val="20"/>
              </w:rPr>
            </w:pPr>
            <w:r>
              <w:rPr>
                <w:sz w:val="20"/>
                <w:szCs w:val="20"/>
              </w:rPr>
              <w:t>RGPH</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Población rural (porcentaje)</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80</w:t>
            </w:r>
          </w:p>
        </w:tc>
        <w:tc>
          <w:tcPr>
            <w:tcW w:w="994" w:type="dxa"/>
            <w:tcMar>
              <w:left w:w="57" w:type="dxa"/>
              <w:right w:w="57" w:type="dxa"/>
            </w:tcMar>
            <w:vAlign w:val="bottom"/>
          </w:tcPr>
          <w:p w:rsidR="00000000" w:rsidRDefault="00000000">
            <w:pPr>
              <w:rPr>
                <w:sz w:val="20"/>
                <w:szCs w:val="20"/>
              </w:rPr>
            </w:pPr>
            <w:r>
              <w:rPr>
                <w:sz w:val="20"/>
                <w:szCs w:val="20"/>
              </w:rPr>
              <w:t>1993</w:t>
            </w:r>
          </w:p>
        </w:tc>
        <w:tc>
          <w:tcPr>
            <w:tcW w:w="1979" w:type="dxa"/>
            <w:tcMar>
              <w:left w:w="57" w:type="dxa"/>
              <w:right w:w="57" w:type="dxa"/>
            </w:tcMar>
            <w:vAlign w:val="bottom"/>
          </w:tcPr>
          <w:p w:rsidR="00000000" w:rsidRDefault="00000000">
            <w:pPr>
              <w:rPr>
                <w:sz w:val="20"/>
                <w:szCs w:val="20"/>
              </w:rPr>
            </w:pPr>
            <w:r>
              <w:rPr>
                <w:sz w:val="20"/>
                <w:szCs w:val="20"/>
              </w:rPr>
              <w:t>RGPH</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Población urbana (porcentaje)</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20</w:t>
            </w:r>
          </w:p>
        </w:tc>
        <w:tc>
          <w:tcPr>
            <w:tcW w:w="994" w:type="dxa"/>
            <w:tcMar>
              <w:left w:w="57" w:type="dxa"/>
              <w:right w:w="57" w:type="dxa"/>
            </w:tcMar>
            <w:vAlign w:val="bottom"/>
          </w:tcPr>
          <w:p w:rsidR="00000000" w:rsidRDefault="00000000">
            <w:pPr>
              <w:rPr>
                <w:sz w:val="20"/>
                <w:szCs w:val="20"/>
              </w:rPr>
            </w:pPr>
            <w:r>
              <w:rPr>
                <w:sz w:val="20"/>
                <w:szCs w:val="20"/>
              </w:rPr>
              <w:t>1993</w:t>
            </w:r>
          </w:p>
        </w:tc>
        <w:tc>
          <w:tcPr>
            <w:tcW w:w="1979" w:type="dxa"/>
            <w:tcMar>
              <w:left w:w="57" w:type="dxa"/>
              <w:right w:w="57" w:type="dxa"/>
            </w:tcMar>
            <w:vAlign w:val="bottom"/>
          </w:tcPr>
          <w:p w:rsidR="00000000" w:rsidRDefault="00000000">
            <w:pPr>
              <w:rPr>
                <w:sz w:val="20"/>
                <w:szCs w:val="20"/>
              </w:rPr>
            </w:pPr>
            <w:r>
              <w:rPr>
                <w:sz w:val="20"/>
                <w:szCs w:val="20"/>
              </w:rPr>
              <w:t>RGPH</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Tasa de crecimiento natural</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3,2</w:t>
            </w:r>
          </w:p>
        </w:tc>
        <w:tc>
          <w:tcPr>
            <w:tcW w:w="994" w:type="dxa"/>
            <w:tcMar>
              <w:left w:w="57" w:type="dxa"/>
              <w:right w:w="57" w:type="dxa"/>
            </w:tcMar>
            <w:vAlign w:val="bottom"/>
          </w:tcPr>
          <w:p w:rsidR="00000000" w:rsidRDefault="00000000">
            <w:pPr>
              <w:rPr>
                <w:sz w:val="20"/>
                <w:szCs w:val="20"/>
              </w:rPr>
            </w:pPr>
            <w:r>
              <w:rPr>
                <w:sz w:val="20"/>
                <w:szCs w:val="20"/>
              </w:rPr>
              <w:t>2000</w:t>
            </w:r>
          </w:p>
        </w:tc>
        <w:tc>
          <w:tcPr>
            <w:tcW w:w="1979" w:type="dxa"/>
            <w:tcMar>
              <w:left w:w="57" w:type="dxa"/>
              <w:right w:w="57" w:type="dxa"/>
            </w:tcMar>
            <w:vAlign w:val="bottom"/>
          </w:tcPr>
          <w:p w:rsidR="00000000" w:rsidRDefault="00000000">
            <w:pPr>
              <w:rPr>
                <w:sz w:val="20"/>
                <w:szCs w:val="20"/>
              </w:rPr>
            </w:pPr>
            <w:r>
              <w:rPr>
                <w:sz w:val="20"/>
                <w:szCs w:val="20"/>
              </w:rPr>
              <w:t>DCAP/MEPC</w:t>
            </w:r>
          </w:p>
        </w:tc>
      </w:tr>
      <w:tr w:rsidR="00000000">
        <w:trPr>
          <w:cantSplit/>
        </w:trPr>
        <w:tc>
          <w:tcPr>
            <w:tcW w:w="1368" w:type="dxa"/>
            <w:vMerge w:val="restart"/>
            <w:tcMar>
              <w:left w:w="57" w:type="dxa"/>
              <w:right w:w="57" w:type="dxa"/>
            </w:tcMar>
          </w:tcPr>
          <w:p w:rsidR="00000000" w:rsidRDefault="00000000">
            <w:pPr>
              <w:rPr>
                <w:sz w:val="20"/>
                <w:szCs w:val="20"/>
              </w:rPr>
            </w:pPr>
            <w:r>
              <w:rPr>
                <w:sz w:val="20"/>
                <w:szCs w:val="20"/>
              </w:rPr>
              <w:t>Economía</w:t>
            </w:r>
          </w:p>
        </w:tc>
        <w:tc>
          <w:tcPr>
            <w:tcW w:w="3659" w:type="dxa"/>
            <w:tcMar>
              <w:left w:w="57" w:type="dxa"/>
              <w:right w:w="57" w:type="dxa"/>
            </w:tcMar>
            <w:vAlign w:val="bottom"/>
          </w:tcPr>
          <w:p w:rsidR="00000000" w:rsidRDefault="00000000">
            <w:pPr>
              <w:rPr>
                <w:sz w:val="20"/>
                <w:szCs w:val="20"/>
              </w:rPr>
            </w:pPr>
            <w:r>
              <w:rPr>
                <w:sz w:val="20"/>
                <w:szCs w:val="20"/>
              </w:rPr>
              <w:t>PIB nominal (en millardos de francos CFA)</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2.062,7</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BEAC</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 xml:space="preserve">PIB nominal, excluido el petróleo (en millardos de francos CFA) </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1.387</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BEAC</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PIB por habitante (en dólares de los EE.UU.)</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495</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BEAC</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Tasa de crecimiento (PIB real)</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36</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BEAC</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Tasa de inflación (porcentaje) (Previsión)</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3</w:t>
            </w:r>
          </w:p>
        </w:tc>
        <w:tc>
          <w:tcPr>
            <w:tcW w:w="994" w:type="dxa"/>
            <w:tcMar>
              <w:left w:w="57" w:type="dxa"/>
              <w:right w:w="57" w:type="dxa"/>
            </w:tcMar>
            <w:vAlign w:val="bottom"/>
          </w:tcPr>
          <w:p w:rsidR="00000000" w:rsidRDefault="00000000">
            <w:pPr>
              <w:rPr>
                <w:sz w:val="20"/>
                <w:szCs w:val="20"/>
              </w:rPr>
            </w:pPr>
            <w:r>
              <w:rPr>
                <w:sz w:val="20"/>
                <w:szCs w:val="20"/>
              </w:rPr>
              <w:t>2005</w:t>
            </w:r>
          </w:p>
        </w:tc>
        <w:tc>
          <w:tcPr>
            <w:tcW w:w="1979" w:type="dxa"/>
            <w:tcMar>
              <w:left w:w="57" w:type="dxa"/>
              <w:right w:w="57" w:type="dxa"/>
            </w:tcMar>
            <w:vAlign w:val="bottom"/>
          </w:tcPr>
          <w:p w:rsidR="00000000" w:rsidRDefault="00000000">
            <w:pPr>
              <w:rPr>
                <w:sz w:val="20"/>
                <w:szCs w:val="20"/>
              </w:rPr>
            </w:pPr>
            <w:r>
              <w:rPr>
                <w:sz w:val="20"/>
                <w:szCs w:val="20"/>
              </w:rPr>
              <w:t>BEAC</w:t>
            </w:r>
          </w:p>
        </w:tc>
      </w:tr>
      <w:tr w:rsidR="00000000">
        <w:trPr>
          <w:cantSplit/>
        </w:trPr>
        <w:tc>
          <w:tcPr>
            <w:tcW w:w="1368" w:type="dxa"/>
            <w:vMerge w:val="restart"/>
            <w:tcMar>
              <w:left w:w="57" w:type="dxa"/>
              <w:right w:w="57" w:type="dxa"/>
            </w:tcMar>
          </w:tcPr>
          <w:p w:rsidR="00000000" w:rsidRDefault="00000000">
            <w:pPr>
              <w:rPr>
                <w:sz w:val="20"/>
                <w:szCs w:val="20"/>
              </w:rPr>
            </w:pPr>
            <w:r>
              <w:rPr>
                <w:sz w:val="20"/>
                <w:szCs w:val="20"/>
              </w:rPr>
              <w:t>Condiciones de vida</w:t>
            </w:r>
          </w:p>
        </w:tc>
        <w:tc>
          <w:tcPr>
            <w:tcW w:w="3659" w:type="dxa"/>
            <w:tcMar>
              <w:left w:w="57" w:type="dxa"/>
              <w:right w:w="57" w:type="dxa"/>
            </w:tcMar>
            <w:vAlign w:val="bottom"/>
          </w:tcPr>
          <w:p w:rsidR="00000000" w:rsidRDefault="00000000">
            <w:pPr>
              <w:rPr>
                <w:sz w:val="20"/>
                <w:szCs w:val="20"/>
              </w:rPr>
            </w:pPr>
            <w:r>
              <w:rPr>
                <w:sz w:val="20"/>
                <w:szCs w:val="20"/>
              </w:rPr>
              <w:t>Clasificación en el IDH</w:t>
            </w:r>
          </w:p>
        </w:tc>
        <w:tc>
          <w:tcPr>
            <w:tcW w:w="1469" w:type="dxa"/>
            <w:tcMar>
              <w:left w:w="57" w:type="dxa"/>
              <w:right w:w="57" w:type="dxa"/>
            </w:tcMar>
            <w:vAlign w:val="bottom"/>
          </w:tcPr>
          <w:p w:rsidR="00000000" w:rsidRDefault="00000000">
            <w:pPr>
              <w:tabs>
                <w:tab w:val="decimal" w:pos="363"/>
              </w:tabs>
              <w:rPr>
                <w:sz w:val="20"/>
                <w:szCs w:val="20"/>
              </w:rPr>
            </w:pPr>
            <w:r>
              <w:rPr>
                <w:sz w:val="20"/>
                <w:szCs w:val="20"/>
              </w:rPr>
              <w:t>173 sobre 177</w:t>
            </w:r>
          </w:p>
        </w:tc>
        <w:tc>
          <w:tcPr>
            <w:tcW w:w="994" w:type="dxa"/>
            <w:tcMar>
              <w:left w:w="57" w:type="dxa"/>
              <w:right w:w="57" w:type="dxa"/>
            </w:tcMar>
            <w:vAlign w:val="bottom"/>
          </w:tcPr>
          <w:p w:rsidR="00000000" w:rsidRDefault="00000000">
            <w:pPr>
              <w:rPr>
                <w:sz w:val="20"/>
                <w:szCs w:val="20"/>
              </w:rPr>
            </w:pPr>
            <w:r>
              <w:rPr>
                <w:sz w:val="20"/>
                <w:szCs w:val="20"/>
              </w:rPr>
              <w:t>2003</w:t>
            </w:r>
          </w:p>
        </w:tc>
        <w:tc>
          <w:tcPr>
            <w:tcW w:w="1979" w:type="dxa"/>
            <w:tcMar>
              <w:left w:w="57" w:type="dxa"/>
              <w:right w:w="57" w:type="dxa"/>
            </w:tcMar>
            <w:vAlign w:val="bottom"/>
          </w:tcPr>
          <w:p w:rsidR="00000000" w:rsidRDefault="00000000">
            <w:pPr>
              <w:rPr>
                <w:sz w:val="20"/>
                <w:szCs w:val="20"/>
              </w:rPr>
            </w:pPr>
            <w:r>
              <w:rPr>
                <w:sz w:val="20"/>
                <w:szCs w:val="20"/>
              </w:rPr>
              <w:t>PNUD, RDH 2005</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Población por debajo del umbral de pobreza monetaria (de 1 a 2 dólares por día) (porcentaje)</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64</w:t>
            </w:r>
          </w:p>
        </w:tc>
        <w:tc>
          <w:tcPr>
            <w:tcW w:w="994" w:type="dxa"/>
            <w:tcMar>
              <w:left w:w="57" w:type="dxa"/>
              <w:right w:w="57" w:type="dxa"/>
            </w:tcMar>
            <w:vAlign w:val="bottom"/>
          </w:tcPr>
          <w:p w:rsidR="00000000" w:rsidRDefault="00000000">
            <w:pPr>
              <w:rPr>
                <w:sz w:val="20"/>
                <w:szCs w:val="20"/>
              </w:rPr>
            </w:pPr>
            <w:r>
              <w:rPr>
                <w:sz w:val="20"/>
                <w:szCs w:val="20"/>
              </w:rPr>
              <w:t>1990-2002</w:t>
            </w:r>
          </w:p>
        </w:tc>
        <w:tc>
          <w:tcPr>
            <w:tcW w:w="1979" w:type="dxa"/>
            <w:tcMar>
              <w:left w:w="57" w:type="dxa"/>
              <w:right w:w="57" w:type="dxa"/>
            </w:tcMar>
            <w:vAlign w:val="bottom"/>
          </w:tcPr>
          <w:p w:rsidR="00000000" w:rsidRDefault="00000000">
            <w:pPr>
              <w:rPr>
                <w:sz w:val="20"/>
                <w:szCs w:val="20"/>
              </w:rPr>
            </w:pPr>
            <w:r>
              <w:rPr>
                <w:sz w:val="20"/>
                <w:szCs w:val="20"/>
              </w:rPr>
              <w:t>PNUD, RDH 2005</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Población con acceso al agua potable (porcentaje)</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36</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Urbana</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57</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Rural</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30</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Porcentaje de la población que dispone de letrinas mejoradas o cisterna</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4</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Urbana</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17</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Rural</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val="restart"/>
            <w:tcMar>
              <w:left w:w="57" w:type="dxa"/>
              <w:right w:w="57" w:type="dxa"/>
            </w:tcMar>
          </w:tcPr>
          <w:p w:rsidR="00000000" w:rsidRDefault="00000000">
            <w:pPr>
              <w:rPr>
                <w:sz w:val="20"/>
                <w:szCs w:val="20"/>
              </w:rPr>
            </w:pPr>
            <w:r>
              <w:rPr>
                <w:sz w:val="20"/>
                <w:szCs w:val="20"/>
              </w:rPr>
              <w:t>Mortalidad - Fecundidad</w:t>
            </w:r>
          </w:p>
        </w:tc>
        <w:tc>
          <w:tcPr>
            <w:tcW w:w="3659" w:type="dxa"/>
            <w:tcMar>
              <w:left w:w="57" w:type="dxa"/>
              <w:right w:w="57" w:type="dxa"/>
            </w:tcMar>
            <w:vAlign w:val="bottom"/>
          </w:tcPr>
          <w:p w:rsidR="00000000" w:rsidRDefault="00000000">
            <w:pPr>
              <w:rPr>
                <w:sz w:val="20"/>
                <w:szCs w:val="20"/>
              </w:rPr>
            </w:pPr>
            <w:r>
              <w:rPr>
                <w:sz w:val="20"/>
                <w:szCs w:val="20"/>
              </w:rPr>
              <w:t>Tasa de mortalidad infantil (por 1.000)</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102</w:t>
            </w:r>
          </w:p>
        </w:tc>
        <w:tc>
          <w:tcPr>
            <w:tcW w:w="994" w:type="dxa"/>
            <w:tcMar>
              <w:left w:w="57" w:type="dxa"/>
              <w:right w:w="57" w:type="dxa"/>
            </w:tcMar>
            <w:vAlign w:val="bottom"/>
          </w:tcPr>
          <w:p w:rsidR="00000000" w:rsidRDefault="00000000">
            <w:pPr>
              <w:keepNext/>
              <w:keepLines/>
              <w:rPr>
                <w:sz w:val="20"/>
                <w:szCs w:val="20"/>
              </w:rPr>
            </w:pPr>
            <w:r>
              <w:rPr>
                <w:sz w:val="20"/>
                <w:szCs w:val="20"/>
              </w:rPr>
              <w:t>2004</w:t>
            </w:r>
          </w:p>
        </w:tc>
        <w:tc>
          <w:tcPr>
            <w:tcW w:w="1979" w:type="dxa"/>
            <w:tcMar>
              <w:left w:w="57" w:type="dxa"/>
              <w:right w:w="57" w:type="dxa"/>
            </w:tcMar>
            <w:vAlign w:val="bottom"/>
          </w:tcPr>
          <w:p w:rsidR="00000000" w:rsidRDefault="00000000">
            <w:pPr>
              <w:keepNext/>
              <w:keepLines/>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Urbana</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94</w:t>
            </w:r>
          </w:p>
        </w:tc>
        <w:tc>
          <w:tcPr>
            <w:tcW w:w="994" w:type="dxa"/>
            <w:tcMar>
              <w:left w:w="57" w:type="dxa"/>
              <w:right w:w="57" w:type="dxa"/>
            </w:tcMar>
            <w:vAlign w:val="bottom"/>
          </w:tcPr>
          <w:p w:rsidR="00000000" w:rsidRDefault="00000000">
            <w:pPr>
              <w:keepNext/>
              <w:keepLines/>
              <w:rPr>
                <w:sz w:val="20"/>
                <w:szCs w:val="20"/>
              </w:rPr>
            </w:pPr>
            <w:r>
              <w:rPr>
                <w:sz w:val="20"/>
                <w:szCs w:val="20"/>
              </w:rPr>
              <w:t>2004</w:t>
            </w:r>
          </w:p>
        </w:tc>
        <w:tc>
          <w:tcPr>
            <w:tcW w:w="1979" w:type="dxa"/>
            <w:tcMar>
              <w:left w:w="57" w:type="dxa"/>
              <w:right w:w="57" w:type="dxa"/>
            </w:tcMar>
            <w:vAlign w:val="bottom"/>
          </w:tcPr>
          <w:p w:rsidR="00000000" w:rsidRDefault="00000000">
            <w:pPr>
              <w:keepNext/>
              <w:keepLines/>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Rural</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120</w:t>
            </w:r>
          </w:p>
        </w:tc>
        <w:tc>
          <w:tcPr>
            <w:tcW w:w="994" w:type="dxa"/>
            <w:tcMar>
              <w:left w:w="57" w:type="dxa"/>
              <w:right w:w="57" w:type="dxa"/>
            </w:tcMar>
            <w:vAlign w:val="bottom"/>
          </w:tcPr>
          <w:p w:rsidR="00000000" w:rsidRDefault="00000000">
            <w:pPr>
              <w:keepNext/>
              <w:keepLines/>
              <w:rPr>
                <w:sz w:val="20"/>
                <w:szCs w:val="20"/>
              </w:rPr>
            </w:pPr>
            <w:r>
              <w:rPr>
                <w:sz w:val="20"/>
                <w:szCs w:val="20"/>
              </w:rPr>
              <w:t>2004</w:t>
            </w:r>
          </w:p>
        </w:tc>
        <w:tc>
          <w:tcPr>
            <w:tcW w:w="1979" w:type="dxa"/>
            <w:tcMar>
              <w:left w:w="57" w:type="dxa"/>
              <w:right w:w="57" w:type="dxa"/>
            </w:tcMar>
            <w:vAlign w:val="bottom"/>
          </w:tcPr>
          <w:p w:rsidR="00000000" w:rsidRDefault="00000000">
            <w:pPr>
              <w:keepNext/>
              <w:keepLines/>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Tasa de mortalidad infantil y juvenil (por 1.000)</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191</w:t>
            </w:r>
          </w:p>
        </w:tc>
        <w:tc>
          <w:tcPr>
            <w:tcW w:w="994" w:type="dxa"/>
            <w:tcMar>
              <w:left w:w="57" w:type="dxa"/>
              <w:right w:w="57" w:type="dxa"/>
            </w:tcMar>
            <w:vAlign w:val="bottom"/>
          </w:tcPr>
          <w:p w:rsidR="00000000" w:rsidRDefault="00000000">
            <w:pPr>
              <w:keepNext/>
              <w:keepLines/>
              <w:rPr>
                <w:sz w:val="20"/>
                <w:szCs w:val="20"/>
              </w:rPr>
            </w:pPr>
            <w:r>
              <w:rPr>
                <w:sz w:val="20"/>
                <w:szCs w:val="20"/>
              </w:rPr>
              <w:t>2004</w:t>
            </w:r>
          </w:p>
        </w:tc>
        <w:tc>
          <w:tcPr>
            <w:tcW w:w="1979" w:type="dxa"/>
            <w:tcMar>
              <w:left w:w="57" w:type="dxa"/>
              <w:right w:w="57" w:type="dxa"/>
            </w:tcMar>
            <w:vAlign w:val="bottom"/>
          </w:tcPr>
          <w:p w:rsidR="00000000" w:rsidRDefault="00000000">
            <w:pPr>
              <w:keepNext/>
              <w:keepLines/>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 xml:space="preserve">Urbana </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179</w:t>
            </w:r>
          </w:p>
        </w:tc>
        <w:tc>
          <w:tcPr>
            <w:tcW w:w="994" w:type="dxa"/>
            <w:tcMar>
              <w:left w:w="57" w:type="dxa"/>
              <w:right w:w="57" w:type="dxa"/>
            </w:tcMar>
            <w:vAlign w:val="bottom"/>
          </w:tcPr>
          <w:p w:rsidR="00000000" w:rsidRDefault="00000000">
            <w:pPr>
              <w:keepNext/>
              <w:keepLines/>
              <w:rPr>
                <w:sz w:val="20"/>
                <w:szCs w:val="20"/>
              </w:rPr>
            </w:pPr>
            <w:r>
              <w:rPr>
                <w:sz w:val="20"/>
                <w:szCs w:val="20"/>
              </w:rPr>
              <w:t>2004</w:t>
            </w:r>
          </w:p>
        </w:tc>
        <w:tc>
          <w:tcPr>
            <w:tcW w:w="1979" w:type="dxa"/>
            <w:tcMar>
              <w:left w:w="57" w:type="dxa"/>
              <w:right w:w="57" w:type="dxa"/>
            </w:tcMar>
            <w:vAlign w:val="bottom"/>
          </w:tcPr>
          <w:p w:rsidR="00000000" w:rsidRDefault="00000000">
            <w:pPr>
              <w:keepNext/>
              <w:keepLines/>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Rural</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208</w:t>
            </w:r>
          </w:p>
        </w:tc>
        <w:tc>
          <w:tcPr>
            <w:tcW w:w="994" w:type="dxa"/>
            <w:tcMar>
              <w:left w:w="57" w:type="dxa"/>
              <w:right w:w="57" w:type="dxa"/>
            </w:tcMar>
            <w:vAlign w:val="bottom"/>
          </w:tcPr>
          <w:p w:rsidR="00000000" w:rsidRDefault="00000000">
            <w:pPr>
              <w:keepNext/>
              <w:keepLines/>
              <w:rPr>
                <w:sz w:val="20"/>
                <w:szCs w:val="20"/>
              </w:rPr>
            </w:pPr>
            <w:r>
              <w:rPr>
                <w:sz w:val="20"/>
                <w:szCs w:val="20"/>
              </w:rPr>
              <w:t>2004</w:t>
            </w:r>
          </w:p>
        </w:tc>
        <w:tc>
          <w:tcPr>
            <w:tcW w:w="1979" w:type="dxa"/>
            <w:tcMar>
              <w:left w:w="57" w:type="dxa"/>
              <w:right w:w="57" w:type="dxa"/>
            </w:tcMar>
            <w:vAlign w:val="bottom"/>
          </w:tcPr>
          <w:p w:rsidR="00000000" w:rsidRDefault="00000000">
            <w:pPr>
              <w:keepNext/>
              <w:keepLines/>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Tasa de mortalidad juvenil (por 1.000)</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99</w:t>
            </w:r>
          </w:p>
        </w:tc>
        <w:tc>
          <w:tcPr>
            <w:tcW w:w="994" w:type="dxa"/>
            <w:tcMar>
              <w:left w:w="57" w:type="dxa"/>
              <w:right w:w="57" w:type="dxa"/>
            </w:tcMar>
            <w:vAlign w:val="bottom"/>
          </w:tcPr>
          <w:p w:rsidR="00000000" w:rsidRDefault="00000000">
            <w:pPr>
              <w:keepNext/>
              <w:keepLines/>
              <w:rPr>
                <w:sz w:val="20"/>
                <w:szCs w:val="20"/>
              </w:rPr>
            </w:pPr>
            <w:r>
              <w:rPr>
                <w:sz w:val="20"/>
                <w:szCs w:val="20"/>
              </w:rPr>
              <w:t>2004</w:t>
            </w:r>
          </w:p>
        </w:tc>
        <w:tc>
          <w:tcPr>
            <w:tcW w:w="1979" w:type="dxa"/>
            <w:tcMar>
              <w:left w:w="57" w:type="dxa"/>
              <w:right w:w="57" w:type="dxa"/>
            </w:tcMar>
            <w:vAlign w:val="bottom"/>
          </w:tcPr>
          <w:p w:rsidR="00000000" w:rsidRDefault="00000000">
            <w:pPr>
              <w:keepNext/>
              <w:keepLines/>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Urbana</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94</w:t>
            </w:r>
          </w:p>
        </w:tc>
        <w:tc>
          <w:tcPr>
            <w:tcW w:w="994" w:type="dxa"/>
            <w:tcMar>
              <w:left w:w="57" w:type="dxa"/>
              <w:right w:w="57" w:type="dxa"/>
            </w:tcMar>
            <w:vAlign w:val="bottom"/>
          </w:tcPr>
          <w:p w:rsidR="00000000" w:rsidRDefault="00000000">
            <w:pPr>
              <w:keepNext/>
              <w:keepLines/>
              <w:rPr>
                <w:sz w:val="20"/>
                <w:szCs w:val="20"/>
              </w:rPr>
            </w:pPr>
            <w:r>
              <w:rPr>
                <w:sz w:val="20"/>
                <w:szCs w:val="20"/>
              </w:rPr>
              <w:t>2004</w:t>
            </w:r>
          </w:p>
        </w:tc>
        <w:tc>
          <w:tcPr>
            <w:tcW w:w="1979" w:type="dxa"/>
            <w:tcMar>
              <w:left w:w="57" w:type="dxa"/>
              <w:right w:w="57" w:type="dxa"/>
            </w:tcMar>
            <w:vAlign w:val="bottom"/>
          </w:tcPr>
          <w:p w:rsidR="00000000" w:rsidRDefault="00000000">
            <w:pPr>
              <w:keepNext/>
              <w:keepLines/>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Rural</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100</w:t>
            </w:r>
          </w:p>
        </w:tc>
        <w:tc>
          <w:tcPr>
            <w:tcW w:w="994" w:type="dxa"/>
            <w:tcMar>
              <w:left w:w="57" w:type="dxa"/>
              <w:right w:w="57" w:type="dxa"/>
            </w:tcMar>
            <w:vAlign w:val="bottom"/>
          </w:tcPr>
          <w:p w:rsidR="00000000" w:rsidRDefault="00000000">
            <w:pPr>
              <w:keepNext/>
              <w:keepLines/>
              <w:rPr>
                <w:sz w:val="20"/>
                <w:szCs w:val="20"/>
              </w:rPr>
            </w:pPr>
            <w:r>
              <w:rPr>
                <w:sz w:val="20"/>
                <w:szCs w:val="20"/>
              </w:rPr>
              <w:t>2004</w:t>
            </w:r>
          </w:p>
        </w:tc>
        <w:tc>
          <w:tcPr>
            <w:tcW w:w="1979" w:type="dxa"/>
            <w:tcMar>
              <w:left w:w="57" w:type="dxa"/>
              <w:right w:w="57" w:type="dxa"/>
            </w:tcMar>
            <w:vAlign w:val="bottom"/>
          </w:tcPr>
          <w:p w:rsidR="00000000" w:rsidRDefault="00000000">
            <w:pPr>
              <w:keepNext/>
              <w:keepLines/>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Tasa de mortalidad materna (por 100.000 nacimientos)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1.099</w:t>
            </w:r>
          </w:p>
        </w:tc>
        <w:tc>
          <w:tcPr>
            <w:tcW w:w="994" w:type="dxa"/>
            <w:tcMar>
              <w:left w:w="57" w:type="dxa"/>
              <w:right w:w="57" w:type="dxa"/>
            </w:tcMar>
            <w:vAlign w:val="bottom"/>
          </w:tcPr>
          <w:p w:rsidR="00000000" w:rsidRDefault="00000000">
            <w:pPr>
              <w:keepNext/>
              <w:keepLines/>
              <w:rPr>
                <w:sz w:val="20"/>
                <w:szCs w:val="20"/>
              </w:rPr>
            </w:pPr>
            <w:r>
              <w:rPr>
                <w:sz w:val="20"/>
                <w:szCs w:val="20"/>
              </w:rPr>
              <w:t>2004</w:t>
            </w:r>
          </w:p>
        </w:tc>
        <w:tc>
          <w:tcPr>
            <w:tcW w:w="1979" w:type="dxa"/>
            <w:tcMar>
              <w:left w:w="57" w:type="dxa"/>
              <w:right w:w="57" w:type="dxa"/>
            </w:tcMar>
            <w:vAlign w:val="bottom"/>
          </w:tcPr>
          <w:p w:rsidR="00000000" w:rsidRDefault="00000000">
            <w:pPr>
              <w:keepNext/>
              <w:keepLines/>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Esperanza de vida (en años)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50</w:t>
            </w:r>
          </w:p>
        </w:tc>
        <w:tc>
          <w:tcPr>
            <w:tcW w:w="994" w:type="dxa"/>
            <w:tcMar>
              <w:left w:w="57" w:type="dxa"/>
              <w:right w:w="57" w:type="dxa"/>
            </w:tcMar>
            <w:vAlign w:val="bottom"/>
          </w:tcPr>
          <w:p w:rsidR="00000000" w:rsidRDefault="00000000">
            <w:pPr>
              <w:keepNext/>
              <w:keepLines/>
              <w:rPr>
                <w:sz w:val="20"/>
                <w:szCs w:val="20"/>
              </w:rPr>
            </w:pPr>
            <w:r>
              <w:rPr>
                <w:sz w:val="20"/>
                <w:szCs w:val="20"/>
              </w:rPr>
              <w:t>1993</w:t>
            </w:r>
          </w:p>
        </w:tc>
        <w:tc>
          <w:tcPr>
            <w:tcW w:w="1979" w:type="dxa"/>
            <w:tcMar>
              <w:left w:w="57" w:type="dxa"/>
              <w:right w:w="57" w:type="dxa"/>
            </w:tcMar>
            <w:vAlign w:val="bottom"/>
          </w:tcPr>
          <w:p w:rsidR="00000000" w:rsidRDefault="00000000">
            <w:pPr>
              <w:keepNext/>
              <w:keepLines/>
              <w:rPr>
                <w:sz w:val="20"/>
                <w:szCs w:val="20"/>
              </w:rPr>
            </w:pPr>
            <w:r>
              <w:rPr>
                <w:sz w:val="20"/>
                <w:szCs w:val="20"/>
              </w:rPr>
              <w:t>RGPH</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Hombres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47</w:t>
            </w:r>
          </w:p>
        </w:tc>
        <w:tc>
          <w:tcPr>
            <w:tcW w:w="994" w:type="dxa"/>
            <w:tcMar>
              <w:left w:w="57" w:type="dxa"/>
              <w:right w:w="57" w:type="dxa"/>
            </w:tcMar>
            <w:vAlign w:val="bottom"/>
          </w:tcPr>
          <w:p w:rsidR="00000000" w:rsidRDefault="00000000">
            <w:pPr>
              <w:keepNext/>
              <w:keepLines/>
              <w:rPr>
                <w:sz w:val="20"/>
                <w:szCs w:val="20"/>
              </w:rPr>
            </w:pPr>
            <w:r>
              <w:rPr>
                <w:sz w:val="20"/>
                <w:szCs w:val="20"/>
              </w:rPr>
              <w:t>1993</w:t>
            </w:r>
          </w:p>
        </w:tc>
        <w:tc>
          <w:tcPr>
            <w:tcW w:w="1979" w:type="dxa"/>
            <w:tcMar>
              <w:left w:w="57" w:type="dxa"/>
              <w:right w:w="57" w:type="dxa"/>
            </w:tcMar>
            <w:vAlign w:val="bottom"/>
          </w:tcPr>
          <w:p w:rsidR="00000000" w:rsidRDefault="00000000">
            <w:pPr>
              <w:keepNext/>
              <w:keepLines/>
              <w:rPr>
                <w:sz w:val="20"/>
                <w:szCs w:val="20"/>
              </w:rPr>
            </w:pPr>
            <w:r>
              <w:rPr>
                <w:sz w:val="20"/>
                <w:szCs w:val="20"/>
              </w:rPr>
              <w:t>RGPH</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Mujeres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54,5</w:t>
            </w:r>
          </w:p>
        </w:tc>
        <w:tc>
          <w:tcPr>
            <w:tcW w:w="994" w:type="dxa"/>
            <w:tcMar>
              <w:left w:w="57" w:type="dxa"/>
              <w:right w:w="57" w:type="dxa"/>
            </w:tcMar>
            <w:vAlign w:val="bottom"/>
          </w:tcPr>
          <w:p w:rsidR="00000000" w:rsidRDefault="00000000">
            <w:pPr>
              <w:keepNext/>
              <w:keepLines/>
              <w:rPr>
                <w:sz w:val="20"/>
                <w:szCs w:val="20"/>
              </w:rPr>
            </w:pPr>
            <w:r>
              <w:rPr>
                <w:sz w:val="20"/>
                <w:szCs w:val="20"/>
              </w:rPr>
              <w:t>1993</w:t>
            </w:r>
          </w:p>
        </w:tc>
        <w:tc>
          <w:tcPr>
            <w:tcW w:w="1979" w:type="dxa"/>
            <w:tcMar>
              <w:left w:w="57" w:type="dxa"/>
              <w:right w:w="57" w:type="dxa"/>
            </w:tcMar>
            <w:vAlign w:val="bottom"/>
          </w:tcPr>
          <w:p w:rsidR="00000000" w:rsidRDefault="00000000">
            <w:pPr>
              <w:keepNext/>
              <w:keepLines/>
              <w:rPr>
                <w:sz w:val="20"/>
                <w:szCs w:val="20"/>
              </w:rPr>
            </w:pPr>
            <w:r>
              <w:rPr>
                <w:sz w:val="20"/>
                <w:szCs w:val="20"/>
              </w:rPr>
              <w:t>RGPH</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Índice sintético de fecundidad (número medio de hijos)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6,3</w:t>
            </w:r>
          </w:p>
        </w:tc>
        <w:tc>
          <w:tcPr>
            <w:tcW w:w="994" w:type="dxa"/>
            <w:tcMar>
              <w:left w:w="57" w:type="dxa"/>
              <w:right w:w="57" w:type="dxa"/>
            </w:tcMar>
            <w:vAlign w:val="bottom"/>
          </w:tcPr>
          <w:p w:rsidR="00000000" w:rsidRDefault="00000000">
            <w:pPr>
              <w:keepNext/>
              <w:keepLines/>
              <w:rPr>
                <w:sz w:val="20"/>
                <w:szCs w:val="20"/>
              </w:rPr>
            </w:pPr>
            <w:r>
              <w:rPr>
                <w:sz w:val="20"/>
                <w:szCs w:val="20"/>
              </w:rPr>
              <w:t>2004</w:t>
            </w:r>
          </w:p>
        </w:tc>
        <w:tc>
          <w:tcPr>
            <w:tcW w:w="1979" w:type="dxa"/>
            <w:tcMar>
              <w:left w:w="57" w:type="dxa"/>
              <w:right w:w="57" w:type="dxa"/>
            </w:tcMar>
            <w:vAlign w:val="bottom"/>
          </w:tcPr>
          <w:p w:rsidR="00000000" w:rsidRDefault="00000000">
            <w:pPr>
              <w:keepNext/>
              <w:keepLines/>
              <w:rPr>
                <w:sz w:val="20"/>
                <w:szCs w:val="20"/>
              </w:rPr>
            </w:pPr>
            <w:r>
              <w:rPr>
                <w:sz w:val="20"/>
                <w:szCs w:val="20"/>
              </w:rPr>
              <w:t>EDST 2004</w:t>
            </w:r>
          </w:p>
        </w:tc>
      </w:tr>
      <w:tr w:rsidR="00000000">
        <w:trPr>
          <w:cantSplit/>
        </w:trPr>
        <w:tc>
          <w:tcPr>
            <w:tcW w:w="1368" w:type="dxa"/>
            <w:vMerge w:val="restart"/>
            <w:tcMar>
              <w:left w:w="57" w:type="dxa"/>
              <w:right w:w="57" w:type="dxa"/>
            </w:tcMar>
          </w:tcPr>
          <w:p w:rsidR="00000000" w:rsidRDefault="00000000">
            <w:pPr>
              <w:keepNext/>
              <w:rPr>
                <w:sz w:val="20"/>
                <w:szCs w:val="20"/>
              </w:rPr>
            </w:pPr>
            <w:r>
              <w:rPr>
                <w:sz w:val="20"/>
                <w:szCs w:val="20"/>
              </w:rPr>
              <w:t>Salud y nutrición</w:t>
            </w:r>
          </w:p>
        </w:tc>
        <w:tc>
          <w:tcPr>
            <w:tcW w:w="3659" w:type="dxa"/>
            <w:tcMar>
              <w:left w:w="57" w:type="dxa"/>
              <w:right w:w="57" w:type="dxa"/>
            </w:tcMar>
            <w:vAlign w:val="bottom"/>
          </w:tcPr>
          <w:p w:rsidR="00000000" w:rsidRDefault="00000000">
            <w:pPr>
              <w:keepNext/>
              <w:rPr>
                <w:sz w:val="20"/>
                <w:szCs w:val="20"/>
              </w:rPr>
            </w:pPr>
            <w:r>
              <w:rPr>
                <w:sz w:val="20"/>
                <w:szCs w:val="20"/>
              </w:rPr>
              <w:t>Niños menores de 5 años con insuficiencia ponderal</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37</w:t>
            </w:r>
          </w:p>
        </w:tc>
        <w:tc>
          <w:tcPr>
            <w:tcW w:w="994" w:type="dxa"/>
            <w:tcMar>
              <w:left w:w="57" w:type="dxa"/>
              <w:right w:w="57" w:type="dxa"/>
            </w:tcMar>
            <w:vAlign w:val="bottom"/>
          </w:tcPr>
          <w:p w:rsidR="00000000" w:rsidRDefault="00000000">
            <w:pPr>
              <w:keepNext/>
              <w:rPr>
                <w:sz w:val="20"/>
                <w:szCs w:val="20"/>
              </w:rPr>
            </w:pPr>
            <w:r>
              <w:rPr>
                <w:sz w:val="20"/>
                <w:szCs w:val="20"/>
              </w:rPr>
              <w:t>2004</w:t>
            </w:r>
          </w:p>
        </w:tc>
        <w:tc>
          <w:tcPr>
            <w:tcW w:w="1979" w:type="dxa"/>
            <w:tcMar>
              <w:left w:w="57" w:type="dxa"/>
              <w:right w:w="57" w:type="dxa"/>
            </w:tcMar>
            <w:vAlign w:val="bottom"/>
          </w:tcPr>
          <w:p w:rsidR="00000000" w:rsidRDefault="00000000">
            <w:pPr>
              <w:keepNext/>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Niños que sufren de un retraso del crecimiento</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41</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Niños menores de 5 años que sufren de emaciación</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14</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Niños de 6 a 59 meses que han recibido un suplemento de vitamina A</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32</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Niños de 12 a 23 meses vacunados contra (porcentaje):</w:t>
            </w:r>
          </w:p>
        </w:tc>
        <w:tc>
          <w:tcPr>
            <w:tcW w:w="1469" w:type="dxa"/>
            <w:tcMar>
              <w:left w:w="57" w:type="dxa"/>
              <w:right w:w="57" w:type="dxa"/>
            </w:tcMar>
            <w:vAlign w:val="bottom"/>
          </w:tcPr>
          <w:p w:rsidR="00000000" w:rsidRDefault="00000000">
            <w:pPr>
              <w:tabs>
                <w:tab w:val="decimal" w:pos="1202"/>
              </w:tabs>
              <w:rPr>
                <w:sz w:val="20"/>
                <w:szCs w:val="20"/>
              </w:rPr>
            </w:pPr>
          </w:p>
        </w:tc>
        <w:tc>
          <w:tcPr>
            <w:tcW w:w="994" w:type="dxa"/>
            <w:tcMar>
              <w:left w:w="57" w:type="dxa"/>
              <w:right w:w="57" w:type="dxa"/>
            </w:tcMar>
            <w:vAlign w:val="bottom"/>
          </w:tcPr>
          <w:p w:rsidR="00000000" w:rsidRDefault="00000000">
            <w:pPr>
              <w:rPr>
                <w:sz w:val="20"/>
                <w:szCs w:val="20"/>
              </w:rPr>
            </w:pPr>
          </w:p>
        </w:tc>
        <w:tc>
          <w:tcPr>
            <w:tcW w:w="1979" w:type="dxa"/>
            <w:tcMar>
              <w:left w:w="57" w:type="dxa"/>
              <w:right w:w="57" w:type="dxa"/>
            </w:tcMar>
            <w:vAlign w:val="bottom"/>
          </w:tcPr>
          <w:p w:rsidR="00000000" w:rsidRDefault="00000000">
            <w:pPr>
              <w:rPr>
                <w:sz w:val="20"/>
                <w:szCs w:val="20"/>
              </w:rPr>
            </w:pP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BCG</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40</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 xml:space="preserve">Difteria, tétanos y tos ferina </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20</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Poliomielitis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36</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Sarampión</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23</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Mujeres que han recibido dos dosis o más de vacuna antitetánica</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29</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Proporción de partos atendidos por personal de salud calificado</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43</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Tasa de lactancia exclusiva (niños menores de 6 meses) (porcentaje)</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2</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Niños de 6 a 9 meses que reciben complementos alimentarios (porcentaje)</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77</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Familias que consumen sal suficientemente yodada (porcentaje)</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56</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Familias en las que los niños menores de 5 años han dormido bajo mosquitero</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56</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val="restart"/>
            <w:tcMar>
              <w:left w:w="57" w:type="dxa"/>
              <w:right w:w="57" w:type="dxa"/>
            </w:tcMar>
          </w:tcPr>
          <w:p w:rsidR="00000000" w:rsidRDefault="00000000">
            <w:pPr>
              <w:rPr>
                <w:sz w:val="20"/>
                <w:szCs w:val="20"/>
              </w:rPr>
            </w:pPr>
            <w:r>
              <w:rPr>
                <w:sz w:val="20"/>
                <w:szCs w:val="20"/>
              </w:rPr>
              <w:t>Educación</w:t>
            </w:r>
          </w:p>
        </w:tc>
        <w:tc>
          <w:tcPr>
            <w:tcW w:w="3659" w:type="dxa"/>
            <w:tcMar>
              <w:left w:w="57" w:type="dxa"/>
              <w:right w:w="57" w:type="dxa"/>
            </w:tcMar>
            <w:vAlign w:val="bottom"/>
          </w:tcPr>
          <w:p w:rsidR="00000000" w:rsidRDefault="00000000">
            <w:pPr>
              <w:rPr>
                <w:sz w:val="20"/>
                <w:szCs w:val="20"/>
              </w:rPr>
            </w:pPr>
            <w:r>
              <w:rPr>
                <w:sz w:val="20"/>
                <w:szCs w:val="20"/>
              </w:rPr>
              <w:t>Tasa bruta de escolarización (porcentaje)</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88</w:t>
            </w:r>
          </w:p>
        </w:tc>
        <w:tc>
          <w:tcPr>
            <w:tcW w:w="994" w:type="dxa"/>
            <w:tcMar>
              <w:left w:w="57" w:type="dxa"/>
              <w:right w:w="57" w:type="dxa"/>
            </w:tcMar>
            <w:vAlign w:val="bottom"/>
          </w:tcPr>
          <w:p w:rsidR="00000000" w:rsidRDefault="00000000">
            <w:pPr>
              <w:keepNext/>
              <w:rPr>
                <w:sz w:val="20"/>
                <w:szCs w:val="20"/>
              </w:rPr>
            </w:pPr>
            <w:r>
              <w:rPr>
                <w:sz w:val="20"/>
                <w:szCs w:val="20"/>
              </w:rPr>
              <w:t>2003-2004</w:t>
            </w:r>
          </w:p>
        </w:tc>
        <w:tc>
          <w:tcPr>
            <w:tcW w:w="1979" w:type="dxa"/>
            <w:tcMar>
              <w:left w:w="57" w:type="dxa"/>
              <w:right w:w="57" w:type="dxa"/>
            </w:tcMar>
            <w:vAlign w:val="bottom"/>
          </w:tcPr>
          <w:p w:rsidR="00000000" w:rsidRDefault="00000000">
            <w:pPr>
              <w:keepNext/>
              <w:rPr>
                <w:sz w:val="20"/>
                <w:szCs w:val="20"/>
              </w:rPr>
            </w:pPr>
            <w:r>
              <w:rPr>
                <w:sz w:val="20"/>
                <w:szCs w:val="20"/>
              </w:rPr>
              <w:t>MEN, DSE 2003-2004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Niños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106</w:t>
            </w:r>
          </w:p>
        </w:tc>
        <w:tc>
          <w:tcPr>
            <w:tcW w:w="994" w:type="dxa"/>
            <w:tcMar>
              <w:left w:w="57" w:type="dxa"/>
              <w:right w:w="57" w:type="dxa"/>
            </w:tcMar>
            <w:vAlign w:val="bottom"/>
          </w:tcPr>
          <w:p w:rsidR="00000000" w:rsidRDefault="00000000">
            <w:pPr>
              <w:keepNext/>
              <w:rPr>
                <w:sz w:val="20"/>
                <w:szCs w:val="20"/>
              </w:rPr>
            </w:pPr>
            <w:r>
              <w:rPr>
                <w:sz w:val="20"/>
                <w:szCs w:val="20"/>
              </w:rPr>
              <w:t>2003-2004</w:t>
            </w:r>
          </w:p>
        </w:tc>
        <w:tc>
          <w:tcPr>
            <w:tcW w:w="1979" w:type="dxa"/>
            <w:tcMar>
              <w:left w:w="57" w:type="dxa"/>
              <w:right w:w="57" w:type="dxa"/>
            </w:tcMar>
            <w:vAlign w:val="bottom"/>
          </w:tcPr>
          <w:p w:rsidR="00000000" w:rsidRDefault="00000000">
            <w:pPr>
              <w:keepNext/>
              <w:rPr>
                <w:sz w:val="20"/>
                <w:szCs w:val="20"/>
              </w:rPr>
            </w:pPr>
            <w:r>
              <w:rPr>
                <w:sz w:val="20"/>
                <w:szCs w:val="20"/>
              </w:rPr>
              <w:t>MEN, DSE 2003-2004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Niñas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69</w:t>
            </w:r>
          </w:p>
        </w:tc>
        <w:tc>
          <w:tcPr>
            <w:tcW w:w="994" w:type="dxa"/>
            <w:tcMar>
              <w:left w:w="57" w:type="dxa"/>
              <w:right w:w="57" w:type="dxa"/>
            </w:tcMar>
            <w:vAlign w:val="bottom"/>
          </w:tcPr>
          <w:p w:rsidR="00000000" w:rsidRDefault="00000000">
            <w:pPr>
              <w:keepNext/>
              <w:rPr>
                <w:sz w:val="20"/>
                <w:szCs w:val="20"/>
              </w:rPr>
            </w:pPr>
            <w:r>
              <w:rPr>
                <w:sz w:val="20"/>
                <w:szCs w:val="20"/>
              </w:rPr>
              <w:t>2003-2004</w:t>
            </w:r>
          </w:p>
        </w:tc>
        <w:tc>
          <w:tcPr>
            <w:tcW w:w="1979" w:type="dxa"/>
            <w:tcMar>
              <w:left w:w="57" w:type="dxa"/>
              <w:right w:w="57" w:type="dxa"/>
            </w:tcMar>
            <w:vAlign w:val="bottom"/>
          </w:tcPr>
          <w:p w:rsidR="00000000" w:rsidRDefault="00000000">
            <w:pPr>
              <w:keepNext/>
              <w:rPr>
                <w:sz w:val="20"/>
                <w:szCs w:val="20"/>
              </w:rPr>
            </w:pPr>
            <w:r>
              <w:rPr>
                <w:sz w:val="20"/>
                <w:szCs w:val="20"/>
              </w:rPr>
              <w:t>MEN, DSE 2003-2004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Tasa de ingreso en el primer año de enseñanza primaria (curso 2003/04)</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107</w:t>
            </w:r>
          </w:p>
        </w:tc>
        <w:tc>
          <w:tcPr>
            <w:tcW w:w="994" w:type="dxa"/>
            <w:tcMar>
              <w:left w:w="57" w:type="dxa"/>
              <w:right w:w="57" w:type="dxa"/>
            </w:tcMar>
            <w:vAlign w:val="bottom"/>
          </w:tcPr>
          <w:p w:rsidR="00000000" w:rsidRDefault="00000000">
            <w:pPr>
              <w:keepNext/>
              <w:rPr>
                <w:sz w:val="20"/>
                <w:szCs w:val="20"/>
              </w:rPr>
            </w:pPr>
            <w:r>
              <w:rPr>
                <w:sz w:val="20"/>
                <w:szCs w:val="20"/>
              </w:rPr>
              <w:t>2003-2004</w:t>
            </w:r>
          </w:p>
        </w:tc>
        <w:tc>
          <w:tcPr>
            <w:tcW w:w="1979" w:type="dxa"/>
            <w:tcMar>
              <w:left w:w="57" w:type="dxa"/>
              <w:right w:w="57" w:type="dxa"/>
            </w:tcMar>
            <w:vAlign w:val="bottom"/>
          </w:tcPr>
          <w:p w:rsidR="00000000" w:rsidRDefault="00000000">
            <w:pPr>
              <w:rPr>
                <w:sz w:val="20"/>
                <w:szCs w:val="20"/>
              </w:rPr>
            </w:pPr>
            <w:r>
              <w:rPr>
                <w:sz w:val="20"/>
                <w:szCs w:val="20"/>
              </w:rPr>
              <w:t>MEN, DSE 2003-2004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Niños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123</w:t>
            </w:r>
          </w:p>
        </w:tc>
        <w:tc>
          <w:tcPr>
            <w:tcW w:w="994" w:type="dxa"/>
            <w:tcMar>
              <w:left w:w="57" w:type="dxa"/>
              <w:right w:w="57" w:type="dxa"/>
            </w:tcMar>
            <w:vAlign w:val="bottom"/>
          </w:tcPr>
          <w:p w:rsidR="00000000" w:rsidRDefault="00000000">
            <w:pPr>
              <w:keepNext/>
              <w:rPr>
                <w:sz w:val="20"/>
                <w:szCs w:val="20"/>
              </w:rPr>
            </w:pPr>
            <w:r>
              <w:rPr>
                <w:sz w:val="20"/>
                <w:szCs w:val="20"/>
              </w:rPr>
              <w:t>2003-2004</w:t>
            </w:r>
          </w:p>
        </w:tc>
        <w:tc>
          <w:tcPr>
            <w:tcW w:w="1979" w:type="dxa"/>
            <w:tcMar>
              <w:left w:w="57" w:type="dxa"/>
              <w:right w:w="57" w:type="dxa"/>
            </w:tcMar>
            <w:vAlign w:val="bottom"/>
          </w:tcPr>
          <w:p w:rsidR="00000000" w:rsidRDefault="00000000">
            <w:pPr>
              <w:rPr>
                <w:sz w:val="20"/>
                <w:szCs w:val="20"/>
              </w:rPr>
            </w:pPr>
            <w:r>
              <w:rPr>
                <w:sz w:val="20"/>
                <w:szCs w:val="20"/>
              </w:rPr>
              <w:t>MEN, DSE 2003-2004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Niñas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91</w:t>
            </w:r>
          </w:p>
        </w:tc>
        <w:tc>
          <w:tcPr>
            <w:tcW w:w="994" w:type="dxa"/>
            <w:tcMar>
              <w:left w:w="57" w:type="dxa"/>
              <w:right w:w="57" w:type="dxa"/>
            </w:tcMar>
            <w:vAlign w:val="bottom"/>
          </w:tcPr>
          <w:p w:rsidR="00000000" w:rsidRDefault="00000000">
            <w:pPr>
              <w:keepNext/>
              <w:rPr>
                <w:sz w:val="20"/>
                <w:szCs w:val="20"/>
              </w:rPr>
            </w:pPr>
            <w:r>
              <w:rPr>
                <w:sz w:val="20"/>
                <w:szCs w:val="20"/>
              </w:rPr>
              <w:t>2003-2004</w:t>
            </w:r>
          </w:p>
        </w:tc>
        <w:tc>
          <w:tcPr>
            <w:tcW w:w="1979" w:type="dxa"/>
            <w:tcMar>
              <w:left w:w="57" w:type="dxa"/>
              <w:right w:w="57" w:type="dxa"/>
            </w:tcMar>
            <w:vAlign w:val="bottom"/>
          </w:tcPr>
          <w:p w:rsidR="00000000" w:rsidRDefault="00000000">
            <w:pPr>
              <w:rPr>
                <w:sz w:val="20"/>
                <w:szCs w:val="20"/>
              </w:rPr>
            </w:pPr>
            <w:r>
              <w:rPr>
                <w:sz w:val="20"/>
                <w:szCs w:val="20"/>
              </w:rPr>
              <w:t>MEN, DSE 2003-2004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Tasa de abandono</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13</w:t>
            </w:r>
          </w:p>
        </w:tc>
        <w:tc>
          <w:tcPr>
            <w:tcW w:w="994" w:type="dxa"/>
            <w:tcMar>
              <w:left w:w="57" w:type="dxa"/>
              <w:right w:w="57" w:type="dxa"/>
            </w:tcMar>
            <w:vAlign w:val="bottom"/>
          </w:tcPr>
          <w:p w:rsidR="00000000" w:rsidRDefault="00000000">
            <w:pPr>
              <w:keepNext/>
              <w:rPr>
                <w:sz w:val="20"/>
                <w:szCs w:val="20"/>
              </w:rPr>
            </w:pPr>
            <w:r>
              <w:rPr>
                <w:sz w:val="20"/>
                <w:szCs w:val="20"/>
              </w:rPr>
              <w:t>2003-2004</w:t>
            </w:r>
          </w:p>
        </w:tc>
        <w:tc>
          <w:tcPr>
            <w:tcW w:w="1979" w:type="dxa"/>
            <w:tcMar>
              <w:left w:w="57" w:type="dxa"/>
              <w:right w:w="57" w:type="dxa"/>
            </w:tcMar>
            <w:vAlign w:val="bottom"/>
          </w:tcPr>
          <w:p w:rsidR="00000000" w:rsidRDefault="00000000">
            <w:pPr>
              <w:rPr>
                <w:sz w:val="20"/>
                <w:szCs w:val="20"/>
              </w:rPr>
            </w:pPr>
            <w:r>
              <w:rPr>
                <w:sz w:val="20"/>
                <w:szCs w:val="20"/>
              </w:rPr>
              <w:t>MEN, DSE 2003-2004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Niños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11</w:t>
            </w:r>
          </w:p>
        </w:tc>
        <w:tc>
          <w:tcPr>
            <w:tcW w:w="994" w:type="dxa"/>
            <w:tcMar>
              <w:left w:w="57" w:type="dxa"/>
              <w:right w:w="57" w:type="dxa"/>
            </w:tcMar>
            <w:vAlign w:val="bottom"/>
          </w:tcPr>
          <w:p w:rsidR="00000000" w:rsidRDefault="00000000">
            <w:pPr>
              <w:keepNext/>
              <w:rPr>
                <w:sz w:val="20"/>
                <w:szCs w:val="20"/>
              </w:rPr>
            </w:pPr>
            <w:r>
              <w:rPr>
                <w:sz w:val="20"/>
                <w:szCs w:val="20"/>
              </w:rPr>
              <w:t>2003-2004</w:t>
            </w:r>
          </w:p>
        </w:tc>
        <w:tc>
          <w:tcPr>
            <w:tcW w:w="1979" w:type="dxa"/>
            <w:tcMar>
              <w:left w:w="57" w:type="dxa"/>
              <w:right w:w="57" w:type="dxa"/>
            </w:tcMar>
            <w:vAlign w:val="bottom"/>
          </w:tcPr>
          <w:p w:rsidR="00000000" w:rsidRDefault="00000000">
            <w:pPr>
              <w:rPr>
                <w:sz w:val="20"/>
                <w:szCs w:val="20"/>
              </w:rPr>
            </w:pPr>
            <w:r>
              <w:rPr>
                <w:sz w:val="20"/>
                <w:szCs w:val="20"/>
              </w:rPr>
              <w:t>MEN, DSE 2003-2004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Niñas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15</w:t>
            </w:r>
          </w:p>
        </w:tc>
        <w:tc>
          <w:tcPr>
            <w:tcW w:w="994" w:type="dxa"/>
            <w:tcMar>
              <w:left w:w="57" w:type="dxa"/>
              <w:right w:w="57" w:type="dxa"/>
            </w:tcMar>
            <w:vAlign w:val="bottom"/>
          </w:tcPr>
          <w:p w:rsidR="00000000" w:rsidRDefault="00000000">
            <w:pPr>
              <w:keepNext/>
              <w:rPr>
                <w:sz w:val="20"/>
                <w:szCs w:val="20"/>
              </w:rPr>
            </w:pPr>
            <w:r>
              <w:rPr>
                <w:sz w:val="20"/>
                <w:szCs w:val="20"/>
              </w:rPr>
              <w:t>2003-2004</w:t>
            </w:r>
          </w:p>
        </w:tc>
        <w:tc>
          <w:tcPr>
            <w:tcW w:w="1979" w:type="dxa"/>
            <w:tcMar>
              <w:left w:w="57" w:type="dxa"/>
              <w:right w:w="57" w:type="dxa"/>
            </w:tcMar>
            <w:vAlign w:val="bottom"/>
          </w:tcPr>
          <w:p w:rsidR="00000000" w:rsidRDefault="00000000">
            <w:pPr>
              <w:rPr>
                <w:sz w:val="20"/>
                <w:szCs w:val="20"/>
              </w:rPr>
            </w:pPr>
            <w:r>
              <w:rPr>
                <w:sz w:val="20"/>
                <w:szCs w:val="20"/>
              </w:rPr>
              <w:t>MEN, DSE 2003-2004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Tasa de repetición de curso</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22</w:t>
            </w:r>
          </w:p>
        </w:tc>
        <w:tc>
          <w:tcPr>
            <w:tcW w:w="994" w:type="dxa"/>
            <w:tcMar>
              <w:left w:w="57" w:type="dxa"/>
              <w:right w:w="57" w:type="dxa"/>
            </w:tcMar>
            <w:vAlign w:val="bottom"/>
          </w:tcPr>
          <w:p w:rsidR="00000000" w:rsidRDefault="00000000">
            <w:pPr>
              <w:keepNext/>
              <w:rPr>
                <w:sz w:val="20"/>
                <w:szCs w:val="20"/>
              </w:rPr>
            </w:pPr>
            <w:r>
              <w:rPr>
                <w:sz w:val="20"/>
                <w:szCs w:val="20"/>
              </w:rPr>
              <w:t>2003-2004</w:t>
            </w:r>
          </w:p>
        </w:tc>
        <w:tc>
          <w:tcPr>
            <w:tcW w:w="1979" w:type="dxa"/>
            <w:tcMar>
              <w:left w:w="57" w:type="dxa"/>
              <w:right w:w="57" w:type="dxa"/>
            </w:tcMar>
            <w:vAlign w:val="bottom"/>
          </w:tcPr>
          <w:p w:rsidR="00000000" w:rsidRDefault="00000000">
            <w:pPr>
              <w:rPr>
                <w:sz w:val="20"/>
                <w:szCs w:val="20"/>
              </w:rPr>
            </w:pPr>
            <w:r>
              <w:rPr>
                <w:sz w:val="20"/>
                <w:szCs w:val="20"/>
              </w:rPr>
              <w:t>MEN, DSE 2003-2004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Niños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22</w:t>
            </w:r>
          </w:p>
        </w:tc>
        <w:tc>
          <w:tcPr>
            <w:tcW w:w="994" w:type="dxa"/>
            <w:tcMar>
              <w:left w:w="57" w:type="dxa"/>
              <w:right w:w="57" w:type="dxa"/>
            </w:tcMar>
            <w:vAlign w:val="bottom"/>
          </w:tcPr>
          <w:p w:rsidR="00000000" w:rsidRDefault="00000000">
            <w:pPr>
              <w:keepNext/>
              <w:rPr>
                <w:sz w:val="20"/>
                <w:szCs w:val="20"/>
              </w:rPr>
            </w:pPr>
            <w:r>
              <w:rPr>
                <w:sz w:val="20"/>
                <w:szCs w:val="20"/>
              </w:rPr>
              <w:t>2003-2004</w:t>
            </w:r>
          </w:p>
        </w:tc>
        <w:tc>
          <w:tcPr>
            <w:tcW w:w="1979" w:type="dxa"/>
            <w:tcMar>
              <w:left w:w="57" w:type="dxa"/>
              <w:right w:w="57" w:type="dxa"/>
            </w:tcMar>
            <w:vAlign w:val="bottom"/>
          </w:tcPr>
          <w:p w:rsidR="00000000" w:rsidRDefault="00000000">
            <w:pPr>
              <w:rPr>
                <w:sz w:val="20"/>
                <w:szCs w:val="20"/>
              </w:rPr>
            </w:pPr>
            <w:r>
              <w:rPr>
                <w:sz w:val="20"/>
                <w:szCs w:val="20"/>
              </w:rPr>
              <w:t>MEN, DSE 2003-2004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Niñas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23</w:t>
            </w:r>
          </w:p>
        </w:tc>
        <w:tc>
          <w:tcPr>
            <w:tcW w:w="994" w:type="dxa"/>
            <w:tcMar>
              <w:left w:w="57" w:type="dxa"/>
              <w:right w:w="57" w:type="dxa"/>
            </w:tcMar>
            <w:vAlign w:val="bottom"/>
          </w:tcPr>
          <w:p w:rsidR="00000000" w:rsidRDefault="00000000">
            <w:pPr>
              <w:keepNext/>
              <w:rPr>
                <w:sz w:val="20"/>
                <w:szCs w:val="20"/>
              </w:rPr>
            </w:pPr>
            <w:r>
              <w:rPr>
                <w:sz w:val="20"/>
                <w:szCs w:val="20"/>
              </w:rPr>
              <w:t>2003-2004</w:t>
            </w:r>
          </w:p>
        </w:tc>
        <w:tc>
          <w:tcPr>
            <w:tcW w:w="1979" w:type="dxa"/>
            <w:tcMar>
              <w:left w:w="57" w:type="dxa"/>
              <w:right w:w="57" w:type="dxa"/>
            </w:tcMar>
            <w:vAlign w:val="bottom"/>
          </w:tcPr>
          <w:p w:rsidR="00000000" w:rsidRDefault="00000000">
            <w:pPr>
              <w:rPr>
                <w:sz w:val="20"/>
                <w:szCs w:val="20"/>
              </w:rPr>
            </w:pPr>
            <w:r>
              <w:rPr>
                <w:sz w:val="20"/>
                <w:szCs w:val="20"/>
              </w:rPr>
              <w:t>MEN, DSE 2003-2004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Tasa de escolarización de los niños de 6 a 10 años de edad (porcentaje)</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41,5</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Niños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48</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Niñas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35</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Tasa de escolarización de los niños de 6 a 15 años de edad</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47,5</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Niños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57</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Niñas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38</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Proporción de mujeres de 15 a 59 años de edad alfabetizadas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12</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Proporción de hombres de 15 a 59 años de edad alfabetizados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35</w:t>
            </w:r>
          </w:p>
        </w:tc>
        <w:tc>
          <w:tcPr>
            <w:tcW w:w="994" w:type="dxa"/>
            <w:tcMar>
              <w:left w:w="57" w:type="dxa"/>
              <w:right w:w="57" w:type="dxa"/>
            </w:tcMar>
            <w:vAlign w:val="bottom"/>
          </w:tcPr>
          <w:p w:rsidR="00000000" w:rsidRDefault="00000000">
            <w:pPr>
              <w:rPr>
                <w:sz w:val="20"/>
                <w:szCs w:val="20"/>
              </w:rPr>
            </w:pPr>
            <w:r>
              <w:rPr>
                <w:sz w:val="20"/>
                <w:szCs w:val="20"/>
              </w:rPr>
              <w:t>2004</w:t>
            </w:r>
          </w:p>
        </w:tc>
        <w:tc>
          <w:tcPr>
            <w:tcW w:w="1979" w:type="dxa"/>
            <w:tcMar>
              <w:left w:w="57" w:type="dxa"/>
              <w:right w:w="57" w:type="dxa"/>
            </w:tcMar>
            <w:vAlign w:val="bottom"/>
          </w:tcPr>
          <w:p w:rsidR="00000000" w:rsidRDefault="00000000">
            <w:pPr>
              <w:rPr>
                <w:sz w:val="20"/>
                <w:szCs w:val="20"/>
              </w:rPr>
            </w:pPr>
            <w:r>
              <w:rPr>
                <w:sz w:val="20"/>
                <w:szCs w:val="20"/>
              </w:rPr>
              <w:t>EDST 2004</w:t>
            </w:r>
          </w:p>
        </w:tc>
      </w:tr>
      <w:tr w:rsidR="00000000">
        <w:trPr>
          <w:cantSplit/>
        </w:trPr>
        <w:tc>
          <w:tcPr>
            <w:tcW w:w="1368" w:type="dxa"/>
            <w:vMerge w:val="restart"/>
            <w:tcMar>
              <w:left w:w="57" w:type="dxa"/>
              <w:right w:w="57" w:type="dxa"/>
            </w:tcMar>
          </w:tcPr>
          <w:p w:rsidR="00000000" w:rsidRDefault="00000000">
            <w:pPr>
              <w:keepNext/>
              <w:keepLines/>
              <w:rPr>
                <w:sz w:val="20"/>
                <w:szCs w:val="20"/>
              </w:rPr>
            </w:pPr>
            <w:r>
              <w:rPr>
                <w:sz w:val="20"/>
                <w:szCs w:val="20"/>
              </w:rPr>
              <w:t>VIH/SIDA</w:t>
            </w:r>
          </w:p>
        </w:tc>
        <w:tc>
          <w:tcPr>
            <w:tcW w:w="3659" w:type="dxa"/>
            <w:tcMar>
              <w:left w:w="57" w:type="dxa"/>
              <w:right w:w="57" w:type="dxa"/>
            </w:tcMar>
            <w:vAlign w:val="bottom"/>
          </w:tcPr>
          <w:p w:rsidR="00000000" w:rsidRDefault="00000000">
            <w:pPr>
              <w:keepNext/>
              <w:keepLines/>
              <w:rPr>
                <w:sz w:val="20"/>
                <w:szCs w:val="20"/>
              </w:rPr>
            </w:pPr>
            <w:r>
              <w:rPr>
                <w:sz w:val="20"/>
                <w:szCs w:val="20"/>
              </w:rPr>
              <w:t>Tasa de prevalencia del VIH entre los adultos (porcentaje)</w:t>
            </w:r>
          </w:p>
        </w:tc>
        <w:tc>
          <w:tcPr>
            <w:tcW w:w="1469" w:type="dxa"/>
            <w:tcMar>
              <w:left w:w="57" w:type="dxa"/>
              <w:right w:w="57" w:type="dxa"/>
            </w:tcMar>
            <w:vAlign w:val="bottom"/>
          </w:tcPr>
          <w:p w:rsidR="00000000" w:rsidRDefault="00000000">
            <w:pPr>
              <w:keepNext/>
              <w:keepLines/>
              <w:tabs>
                <w:tab w:val="decimal" w:pos="1202"/>
              </w:tabs>
              <w:rPr>
                <w:sz w:val="20"/>
                <w:szCs w:val="20"/>
              </w:rPr>
            </w:pPr>
            <w:r>
              <w:rPr>
                <w:sz w:val="20"/>
                <w:szCs w:val="20"/>
              </w:rPr>
              <w:t>5</w:t>
            </w:r>
          </w:p>
        </w:tc>
        <w:tc>
          <w:tcPr>
            <w:tcW w:w="994" w:type="dxa"/>
            <w:tcMar>
              <w:left w:w="57" w:type="dxa"/>
              <w:right w:w="57" w:type="dxa"/>
            </w:tcMar>
            <w:vAlign w:val="bottom"/>
          </w:tcPr>
          <w:p w:rsidR="00000000" w:rsidRDefault="00000000">
            <w:pPr>
              <w:keepNext/>
              <w:keepLines/>
              <w:rPr>
                <w:sz w:val="20"/>
                <w:szCs w:val="20"/>
              </w:rPr>
            </w:pPr>
            <w:r>
              <w:rPr>
                <w:sz w:val="20"/>
                <w:szCs w:val="20"/>
              </w:rPr>
              <w:t>2003</w:t>
            </w:r>
          </w:p>
        </w:tc>
        <w:tc>
          <w:tcPr>
            <w:tcW w:w="1979" w:type="dxa"/>
            <w:tcMar>
              <w:left w:w="57" w:type="dxa"/>
              <w:right w:w="57" w:type="dxa"/>
            </w:tcMar>
            <w:vAlign w:val="bottom"/>
          </w:tcPr>
          <w:p w:rsidR="00000000" w:rsidRDefault="00000000">
            <w:pPr>
              <w:keepNext/>
              <w:keepLines/>
              <w:rPr>
                <w:sz w:val="20"/>
                <w:szCs w:val="20"/>
              </w:rPr>
            </w:pPr>
            <w:r>
              <w:rPr>
                <w:sz w:val="20"/>
                <w:szCs w:val="20"/>
              </w:rPr>
              <w:t>ONUSIDA</w:t>
            </w:r>
          </w:p>
        </w:tc>
      </w:tr>
      <w:tr w:rsidR="00000000">
        <w:trPr>
          <w:cantSplit/>
        </w:trPr>
        <w:tc>
          <w:tcPr>
            <w:tcW w:w="1368" w:type="dxa"/>
            <w:vMerge/>
            <w:tcMar>
              <w:left w:w="57" w:type="dxa"/>
              <w:right w:w="57" w:type="dxa"/>
            </w:tcMar>
          </w:tcPr>
          <w:p w:rsidR="00000000" w:rsidRDefault="00000000">
            <w:pPr>
              <w:keepNext/>
              <w:keepLines/>
              <w:rPr>
                <w:sz w:val="20"/>
                <w:szCs w:val="20"/>
              </w:rPr>
            </w:pPr>
          </w:p>
        </w:tc>
        <w:tc>
          <w:tcPr>
            <w:tcW w:w="3659" w:type="dxa"/>
            <w:tcMar>
              <w:left w:w="57" w:type="dxa"/>
              <w:right w:w="57" w:type="dxa"/>
            </w:tcMar>
            <w:vAlign w:val="bottom"/>
          </w:tcPr>
          <w:p w:rsidR="00000000" w:rsidRDefault="00000000">
            <w:pPr>
              <w:keepNext/>
              <w:keepLines/>
              <w:rPr>
                <w:sz w:val="20"/>
                <w:szCs w:val="20"/>
              </w:rPr>
            </w:pPr>
            <w:r>
              <w:rPr>
                <w:sz w:val="20"/>
                <w:szCs w:val="20"/>
              </w:rPr>
              <w:t>Cifra estimada de niños de 0 a 14 años que viven con el VIH</w:t>
            </w:r>
          </w:p>
        </w:tc>
        <w:tc>
          <w:tcPr>
            <w:tcW w:w="1469" w:type="dxa"/>
            <w:tcMar>
              <w:left w:w="57" w:type="dxa"/>
              <w:right w:w="57" w:type="dxa"/>
            </w:tcMar>
            <w:vAlign w:val="bottom"/>
          </w:tcPr>
          <w:p w:rsidR="00000000" w:rsidRDefault="00000000">
            <w:pPr>
              <w:keepNext/>
              <w:keepLines/>
              <w:tabs>
                <w:tab w:val="decimal" w:pos="1202"/>
              </w:tabs>
              <w:rPr>
                <w:sz w:val="20"/>
                <w:szCs w:val="20"/>
              </w:rPr>
            </w:pPr>
            <w:r>
              <w:rPr>
                <w:sz w:val="20"/>
                <w:szCs w:val="20"/>
              </w:rPr>
              <w:t>18.000</w:t>
            </w:r>
          </w:p>
        </w:tc>
        <w:tc>
          <w:tcPr>
            <w:tcW w:w="994" w:type="dxa"/>
            <w:tcMar>
              <w:left w:w="57" w:type="dxa"/>
              <w:right w:w="57" w:type="dxa"/>
            </w:tcMar>
            <w:vAlign w:val="bottom"/>
          </w:tcPr>
          <w:p w:rsidR="00000000" w:rsidRDefault="00000000">
            <w:pPr>
              <w:keepNext/>
              <w:keepLines/>
              <w:rPr>
                <w:sz w:val="20"/>
                <w:szCs w:val="20"/>
              </w:rPr>
            </w:pPr>
            <w:r>
              <w:rPr>
                <w:sz w:val="20"/>
                <w:szCs w:val="20"/>
              </w:rPr>
              <w:t>2003</w:t>
            </w:r>
          </w:p>
        </w:tc>
        <w:tc>
          <w:tcPr>
            <w:tcW w:w="1979" w:type="dxa"/>
            <w:tcMar>
              <w:left w:w="57" w:type="dxa"/>
              <w:right w:w="57" w:type="dxa"/>
            </w:tcMar>
            <w:vAlign w:val="bottom"/>
          </w:tcPr>
          <w:p w:rsidR="00000000" w:rsidRDefault="00000000">
            <w:pPr>
              <w:keepNext/>
              <w:keepLines/>
              <w:rPr>
                <w:sz w:val="20"/>
                <w:szCs w:val="20"/>
              </w:rPr>
            </w:pPr>
            <w:r>
              <w:rPr>
                <w:sz w:val="20"/>
                <w:szCs w:val="20"/>
              </w:rPr>
              <w:t>ONUSIDA</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Cifra estimada de mujeres de 15 a 49 años que viven con el VIH</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100.000</w:t>
            </w:r>
          </w:p>
        </w:tc>
        <w:tc>
          <w:tcPr>
            <w:tcW w:w="994" w:type="dxa"/>
            <w:tcMar>
              <w:left w:w="57" w:type="dxa"/>
              <w:right w:w="57" w:type="dxa"/>
            </w:tcMar>
            <w:vAlign w:val="bottom"/>
          </w:tcPr>
          <w:p w:rsidR="00000000" w:rsidRDefault="00000000">
            <w:pPr>
              <w:keepNext/>
              <w:keepLines/>
              <w:rPr>
                <w:sz w:val="20"/>
                <w:szCs w:val="20"/>
              </w:rPr>
            </w:pPr>
            <w:r>
              <w:rPr>
                <w:sz w:val="20"/>
                <w:szCs w:val="20"/>
              </w:rPr>
              <w:t>2003</w:t>
            </w:r>
          </w:p>
        </w:tc>
        <w:tc>
          <w:tcPr>
            <w:tcW w:w="1979" w:type="dxa"/>
            <w:tcMar>
              <w:left w:w="57" w:type="dxa"/>
              <w:right w:w="57" w:type="dxa"/>
            </w:tcMar>
            <w:vAlign w:val="bottom"/>
          </w:tcPr>
          <w:p w:rsidR="00000000" w:rsidRDefault="00000000">
            <w:pPr>
              <w:keepNext/>
              <w:keepLines/>
              <w:rPr>
                <w:sz w:val="20"/>
                <w:szCs w:val="20"/>
              </w:rPr>
            </w:pPr>
            <w:r>
              <w:rPr>
                <w:sz w:val="20"/>
                <w:szCs w:val="20"/>
              </w:rPr>
              <w:t>ONUSIDA</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Tasa de prevalencia de embarazadas de 15 a 24 años en la capital</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5</w:t>
            </w:r>
          </w:p>
        </w:tc>
        <w:tc>
          <w:tcPr>
            <w:tcW w:w="994" w:type="dxa"/>
            <w:tcMar>
              <w:left w:w="57" w:type="dxa"/>
              <w:right w:w="57" w:type="dxa"/>
            </w:tcMar>
            <w:vAlign w:val="bottom"/>
          </w:tcPr>
          <w:p w:rsidR="00000000" w:rsidRDefault="00000000">
            <w:pPr>
              <w:keepNext/>
              <w:keepLines/>
              <w:rPr>
                <w:sz w:val="20"/>
                <w:szCs w:val="20"/>
              </w:rPr>
            </w:pPr>
            <w:r>
              <w:rPr>
                <w:sz w:val="20"/>
                <w:szCs w:val="20"/>
              </w:rPr>
              <w:t>2003</w:t>
            </w:r>
          </w:p>
        </w:tc>
        <w:tc>
          <w:tcPr>
            <w:tcW w:w="1979" w:type="dxa"/>
            <w:tcMar>
              <w:left w:w="57" w:type="dxa"/>
              <w:right w:w="57" w:type="dxa"/>
            </w:tcMar>
            <w:vAlign w:val="bottom"/>
          </w:tcPr>
          <w:p w:rsidR="00000000" w:rsidRDefault="00000000">
            <w:pPr>
              <w:keepNext/>
              <w:keepLines/>
              <w:rPr>
                <w:sz w:val="20"/>
                <w:szCs w:val="20"/>
              </w:rPr>
            </w:pPr>
            <w:r>
              <w:rPr>
                <w:sz w:val="20"/>
                <w:szCs w:val="20"/>
              </w:rPr>
              <w:t>UNICEF</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Niños de 0 a 17 años huérfanos a causa del SIDA</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96.000</w:t>
            </w:r>
          </w:p>
        </w:tc>
        <w:tc>
          <w:tcPr>
            <w:tcW w:w="994" w:type="dxa"/>
            <w:tcMar>
              <w:left w:w="57" w:type="dxa"/>
              <w:right w:w="57" w:type="dxa"/>
            </w:tcMar>
            <w:vAlign w:val="bottom"/>
          </w:tcPr>
          <w:p w:rsidR="00000000" w:rsidRDefault="00000000">
            <w:pPr>
              <w:keepNext/>
              <w:keepLines/>
              <w:rPr>
                <w:sz w:val="20"/>
                <w:szCs w:val="20"/>
              </w:rPr>
            </w:pPr>
            <w:r>
              <w:rPr>
                <w:sz w:val="20"/>
                <w:szCs w:val="20"/>
              </w:rPr>
              <w:t>2003</w:t>
            </w:r>
          </w:p>
        </w:tc>
        <w:tc>
          <w:tcPr>
            <w:tcW w:w="1979" w:type="dxa"/>
            <w:tcMar>
              <w:left w:w="57" w:type="dxa"/>
              <w:right w:w="57" w:type="dxa"/>
            </w:tcMar>
            <w:vAlign w:val="bottom"/>
          </w:tcPr>
          <w:p w:rsidR="00000000" w:rsidRDefault="00000000">
            <w:pPr>
              <w:keepNext/>
              <w:keepLines/>
              <w:rPr>
                <w:sz w:val="20"/>
                <w:szCs w:val="20"/>
              </w:rPr>
            </w:pPr>
            <w:r>
              <w:rPr>
                <w:sz w:val="20"/>
                <w:szCs w:val="20"/>
              </w:rPr>
              <w:t>ONUSIDA/UNICEF/</w:t>
            </w:r>
          </w:p>
          <w:p w:rsidR="00000000" w:rsidRDefault="00000000">
            <w:pPr>
              <w:keepNext/>
              <w:keepLines/>
              <w:rPr>
                <w:sz w:val="20"/>
                <w:szCs w:val="20"/>
              </w:rPr>
            </w:pPr>
            <w:r>
              <w:rPr>
                <w:sz w:val="20"/>
                <w:szCs w:val="20"/>
              </w:rPr>
              <w:t>USAID</w:t>
            </w:r>
          </w:p>
        </w:tc>
      </w:tr>
      <w:tr w:rsidR="00000000">
        <w:trPr>
          <w:cantSplit/>
        </w:trPr>
        <w:tc>
          <w:tcPr>
            <w:tcW w:w="1368" w:type="dxa"/>
            <w:vMerge w:val="restart"/>
            <w:tcMar>
              <w:left w:w="57" w:type="dxa"/>
              <w:right w:w="57" w:type="dxa"/>
            </w:tcMar>
          </w:tcPr>
          <w:p w:rsidR="00000000" w:rsidRDefault="00000000">
            <w:pPr>
              <w:rPr>
                <w:sz w:val="20"/>
                <w:szCs w:val="20"/>
              </w:rPr>
            </w:pPr>
            <w:r>
              <w:rPr>
                <w:sz w:val="20"/>
                <w:szCs w:val="20"/>
              </w:rPr>
              <w:t>Protección de la infancia</w:t>
            </w:r>
          </w:p>
        </w:tc>
        <w:tc>
          <w:tcPr>
            <w:tcW w:w="3659" w:type="dxa"/>
            <w:tcMar>
              <w:left w:w="57" w:type="dxa"/>
              <w:right w:w="57" w:type="dxa"/>
            </w:tcMar>
            <w:vAlign w:val="bottom"/>
          </w:tcPr>
          <w:p w:rsidR="00000000" w:rsidRDefault="00000000">
            <w:pPr>
              <w:rPr>
                <w:sz w:val="20"/>
                <w:szCs w:val="20"/>
              </w:rPr>
            </w:pPr>
            <w:r>
              <w:rPr>
                <w:sz w:val="20"/>
                <w:szCs w:val="20"/>
              </w:rPr>
              <w:t>Proporción de mujeres que han sufrido la circuncisión femenina (porcentaje)</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45</w:t>
            </w:r>
          </w:p>
        </w:tc>
        <w:tc>
          <w:tcPr>
            <w:tcW w:w="994" w:type="dxa"/>
            <w:tcMar>
              <w:left w:w="57" w:type="dxa"/>
              <w:right w:w="57" w:type="dxa"/>
            </w:tcMar>
            <w:vAlign w:val="bottom"/>
          </w:tcPr>
          <w:p w:rsidR="00000000" w:rsidRDefault="00000000">
            <w:pPr>
              <w:rPr>
                <w:sz w:val="20"/>
              </w:rPr>
            </w:pPr>
            <w:r>
              <w:rPr>
                <w:sz w:val="20"/>
              </w:rPr>
              <w:t>2004</w:t>
            </w:r>
          </w:p>
        </w:tc>
        <w:tc>
          <w:tcPr>
            <w:tcW w:w="1979" w:type="dxa"/>
            <w:tcMar>
              <w:left w:w="57" w:type="dxa"/>
              <w:right w:w="57" w:type="dxa"/>
            </w:tcMar>
            <w:vAlign w:val="bottom"/>
          </w:tcPr>
          <w:p w:rsidR="00000000" w:rsidRDefault="00000000">
            <w:pPr>
              <w:rPr>
                <w:sz w:val="20"/>
              </w:rPr>
            </w:pPr>
            <w:r>
              <w:rPr>
                <w:sz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Edad a la que se practica esa circuncisión (años)</w:t>
            </w:r>
          </w:p>
        </w:tc>
        <w:tc>
          <w:tcPr>
            <w:tcW w:w="1469" w:type="dxa"/>
            <w:tcMar>
              <w:left w:w="57" w:type="dxa"/>
              <w:right w:w="57" w:type="dxa"/>
            </w:tcMar>
            <w:vAlign w:val="bottom"/>
          </w:tcPr>
          <w:p w:rsidR="00000000" w:rsidRDefault="00000000">
            <w:pPr>
              <w:tabs>
                <w:tab w:val="decimal" w:pos="363"/>
              </w:tabs>
              <w:rPr>
                <w:sz w:val="20"/>
                <w:szCs w:val="20"/>
              </w:rPr>
            </w:pPr>
            <w:r>
              <w:rPr>
                <w:sz w:val="20"/>
                <w:szCs w:val="20"/>
              </w:rPr>
              <w:t>5 a 14 años</w:t>
            </w:r>
          </w:p>
        </w:tc>
        <w:tc>
          <w:tcPr>
            <w:tcW w:w="994" w:type="dxa"/>
            <w:tcMar>
              <w:left w:w="57" w:type="dxa"/>
              <w:right w:w="57" w:type="dxa"/>
            </w:tcMar>
            <w:vAlign w:val="bottom"/>
          </w:tcPr>
          <w:p w:rsidR="00000000" w:rsidRDefault="00000000">
            <w:pPr>
              <w:rPr>
                <w:sz w:val="20"/>
              </w:rPr>
            </w:pPr>
            <w:r>
              <w:rPr>
                <w:sz w:val="20"/>
              </w:rPr>
              <w:t>2004</w:t>
            </w:r>
          </w:p>
        </w:tc>
        <w:tc>
          <w:tcPr>
            <w:tcW w:w="1979" w:type="dxa"/>
            <w:tcMar>
              <w:left w:w="57" w:type="dxa"/>
              <w:right w:w="57" w:type="dxa"/>
            </w:tcMar>
            <w:vAlign w:val="bottom"/>
          </w:tcPr>
          <w:p w:rsidR="00000000" w:rsidRDefault="00000000">
            <w:pPr>
              <w:rPr>
                <w:sz w:val="20"/>
              </w:rPr>
            </w:pPr>
            <w:r>
              <w:rPr>
                <w:sz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Porcentaje de huérfanos de 0 a 14 años que viven en familia</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7</w:t>
            </w:r>
          </w:p>
        </w:tc>
        <w:tc>
          <w:tcPr>
            <w:tcW w:w="994" w:type="dxa"/>
            <w:tcMar>
              <w:left w:w="57" w:type="dxa"/>
              <w:right w:w="57" w:type="dxa"/>
            </w:tcMar>
            <w:vAlign w:val="bottom"/>
          </w:tcPr>
          <w:p w:rsidR="00000000" w:rsidRDefault="00000000">
            <w:pPr>
              <w:rPr>
                <w:sz w:val="20"/>
              </w:rPr>
            </w:pPr>
            <w:r>
              <w:rPr>
                <w:sz w:val="20"/>
              </w:rPr>
              <w:t>2004</w:t>
            </w:r>
          </w:p>
        </w:tc>
        <w:tc>
          <w:tcPr>
            <w:tcW w:w="1979" w:type="dxa"/>
            <w:tcMar>
              <w:left w:w="57" w:type="dxa"/>
              <w:right w:w="57" w:type="dxa"/>
            </w:tcMar>
            <w:vAlign w:val="bottom"/>
          </w:tcPr>
          <w:p w:rsidR="00000000" w:rsidRDefault="00000000">
            <w:pPr>
              <w:rPr>
                <w:sz w:val="20"/>
              </w:rPr>
            </w:pPr>
            <w:r>
              <w:rPr>
                <w:sz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Proporción de niños inscritos en el Registro Civil al nacer</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6</w:t>
            </w:r>
          </w:p>
        </w:tc>
        <w:tc>
          <w:tcPr>
            <w:tcW w:w="994" w:type="dxa"/>
            <w:tcMar>
              <w:left w:w="57" w:type="dxa"/>
              <w:right w:w="57" w:type="dxa"/>
            </w:tcMar>
            <w:vAlign w:val="bottom"/>
          </w:tcPr>
          <w:p w:rsidR="00000000" w:rsidRDefault="00000000">
            <w:pPr>
              <w:rPr>
                <w:sz w:val="20"/>
              </w:rPr>
            </w:pPr>
            <w:r>
              <w:rPr>
                <w:sz w:val="20"/>
              </w:rPr>
              <w:t>2004</w:t>
            </w:r>
          </w:p>
        </w:tc>
        <w:tc>
          <w:tcPr>
            <w:tcW w:w="1979" w:type="dxa"/>
            <w:tcMar>
              <w:left w:w="57" w:type="dxa"/>
              <w:right w:w="57" w:type="dxa"/>
            </w:tcMar>
            <w:vAlign w:val="bottom"/>
          </w:tcPr>
          <w:p w:rsidR="00000000" w:rsidRDefault="00000000">
            <w:pPr>
              <w:rPr>
                <w:sz w:val="20"/>
              </w:rPr>
            </w:pPr>
            <w:r>
              <w:rPr>
                <w:sz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Zonas urbanas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25</w:t>
            </w:r>
          </w:p>
        </w:tc>
        <w:tc>
          <w:tcPr>
            <w:tcW w:w="994" w:type="dxa"/>
            <w:tcMar>
              <w:left w:w="57" w:type="dxa"/>
              <w:right w:w="57" w:type="dxa"/>
            </w:tcMar>
            <w:vAlign w:val="bottom"/>
          </w:tcPr>
          <w:p w:rsidR="00000000" w:rsidRDefault="00000000">
            <w:pPr>
              <w:rPr>
                <w:sz w:val="20"/>
              </w:rPr>
            </w:pPr>
            <w:r>
              <w:rPr>
                <w:sz w:val="20"/>
              </w:rPr>
              <w:t>2004</w:t>
            </w:r>
          </w:p>
        </w:tc>
        <w:tc>
          <w:tcPr>
            <w:tcW w:w="1979" w:type="dxa"/>
            <w:tcMar>
              <w:left w:w="57" w:type="dxa"/>
              <w:right w:w="57" w:type="dxa"/>
            </w:tcMar>
            <w:vAlign w:val="bottom"/>
          </w:tcPr>
          <w:p w:rsidR="00000000" w:rsidRDefault="00000000">
            <w:pPr>
              <w:rPr>
                <w:sz w:val="20"/>
              </w:rPr>
            </w:pPr>
            <w:r>
              <w:rPr>
                <w:sz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Zonas rurales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2</w:t>
            </w:r>
          </w:p>
        </w:tc>
        <w:tc>
          <w:tcPr>
            <w:tcW w:w="994" w:type="dxa"/>
            <w:tcMar>
              <w:left w:w="57" w:type="dxa"/>
              <w:right w:w="57" w:type="dxa"/>
            </w:tcMar>
            <w:vAlign w:val="bottom"/>
          </w:tcPr>
          <w:p w:rsidR="00000000" w:rsidRDefault="00000000">
            <w:pPr>
              <w:rPr>
                <w:sz w:val="20"/>
              </w:rPr>
            </w:pPr>
            <w:r>
              <w:rPr>
                <w:sz w:val="20"/>
              </w:rPr>
              <w:t>2000</w:t>
            </w:r>
          </w:p>
        </w:tc>
        <w:tc>
          <w:tcPr>
            <w:tcW w:w="1979" w:type="dxa"/>
            <w:tcMar>
              <w:left w:w="57" w:type="dxa"/>
              <w:right w:w="57" w:type="dxa"/>
            </w:tcMar>
            <w:vAlign w:val="bottom"/>
          </w:tcPr>
          <w:p w:rsidR="00000000" w:rsidRDefault="00000000">
            <w:pPr>
              <w:rPr>
                <w:sz w:val="20"/>
              </w:rPr>
            </w:pPr>
            <w:r>
              <w:rPr>
                <w:sz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rPr>
                <w:sz w:val="20"/>
                <w:szCs w:val="20"/>
              </w:rPr>
            </w:pPr>
            <w:r>
              <w:rPr>
                <w:sz w:val="20"/>
                <w:szCs w:val="20"/>
              </w:rPr>
              <w:t>Proporción de niños de 5 a 17 años que trabajan</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83</w:t>
            </w:r>
          </w:p>
        </w:tc>
        <w:tc>
          <w:tcPr>
            <w:tcW w:w="994" w:type="dxa"/>
            <w:tcMar>
              <w:left w:w="57" w:type="dxa"/>
              <w:right w:w="57" w:type="dxa"/>
            </w:tcMar>
            <w:vAlign w:val="bottom"/>
          </w:tcPr>
          <w:p w:rsidR="00000000" w:rsidRDefault="00000000">
            <w:pPr>
              <w:rPr>
                <w:sz w:val="20"/>
              </w:rPr>
            </w:pPr>
            <w:r>
              <w:rPr>
                <w:sz w:val="20"/>
              </w:rPr>
              <w:t>2004</w:t>
            </w:r>
          </w:p>
        </w:tc>
        <w:tc>
          <w:tcPr>
            <w:tcW w:w="1979" w:type="dxa"/>
            <w:tcMar>
              <w:left w:w="57" w:type="dxa"/>
              <w:right w:w="57" w:type="dxa"/>
            </w:tcMar>
            <w:vAlign w:val="bottom"/>
          </w:tcPr>
          <w:p w:rsidR="00000000" w:rsidRDefault="00000000">
            <w:pPr>
              <w:rPr>
                <w:sz w:val="20"/>
              </w:rPr>
            </w:pPr>
            <w:r>
              <w:rPr>
                <w:sz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Zonas urbanas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75</w:t>
            </w:r>
          </w:p>
        </w:tc>
        <w:tc>
          <w:tcPr>
            <w:tcW w:w="994" w:type="dxa"/>
            <w:tcMar>
              <w:left w:w="57" w:type="dxa"/>
              <w:right w:w="57" w:type="dxa"/>
            </w:tcMar>
            <w:vAlign w:val="bottom"/>
          </w:tcPr>
          <w:p w:rsidR="00000000" w:rsidRDefault="00000000">
            <w:pPr>
              <w:rPr>
                <w:sz w:val="20"/>
              </w:rPr>
            </w:pPr>
            <w:r>
              <w:rPr>
                <w:sz w:val="20"/>
              </w:rPr>
              <w:t>2004</w:t>
            </w:r>
          </w:p>
        </w:tc>
        <w:tc>
          <w:tcPr>
            <w:tcW w:w="1979" w:type="dxa"/>
            <w:tcMar>
              <w:left w:w="57" w:type="dxa"/>
              <w:right w:w="57" w:type="dxa"/>
            </w:tcMar>
            <w:vAlign w:val="bottom"/>
          </w:tcPr>
          <w:p w:rsidR="00000000" w:rsidRDefault="00000000">
            <w:pPr>
              <w:rPr>
                <w:sz w:val="20"/>
              </w:rPr>
            </w:pPr>
            <w:r>
              <w:rPr>
                <w:sz w:val="20"/>
              </w:rPr>
              <w:t>EDST 2004</w:t>
            </w:r>
          </w:p>
        </w:tc>
      </w:tr>
      <w:tr w:rsidR="00000000">
        <w:trPr>
          <w:cantSplit/>
        </w:trPr>
        <w:tc>
          <w:tcPr>
            <w:tcW w:w="1368" w:type="dxa"/>
            <w:vMerge/>
            <w:tcMar>
              <w:left w:w="57" w:type="dxa"/>
              <w:right w:w="57" w:type="dxa"/>
            </w:tcMar>
          </w:tcPr>
          <w:p w:rsidR="00000000" w:rsidRDefault="00000000">
            <w:pPr>
              <w:rPr>
                <w:sz w:val="20"/>
                <w:szCs w:val="20"/>
              </w:rPr>
            </w:pPr>
          </w:p>
        </w:tc>
        <w:tc>
          <w:tcPr>
            <w:tcW w:w="3659" w:type="dxa"/>
            <w:tcMar>
              <w:left w:w="57" w:type="dxa"/>
              <w:right w:w="57" w:type="dxa"/>
            </w:tcMar>
            <w:vAlign w:val="bottom"/>
          </w:tcPr>
          <w:p w:rsidR="00000000" w:rsidRDefault="00000000">
            <w:pPr>
              <w:ind w:left="172"/>
              <w:rPr>
                <w:sz w:val="20"/>
                <w:szCs w:val="20"/>
              </w:rPr>
            </w:pPr>
            <w:r>
              <w:rPr>
                <w:sz w:val="20"/>
                <w:szCs w:val="20"/>
              </w:rPr>
              <w:t>Zonas rurales</w:t>
            </w:r>
          </w:p>
        </w:tc>
        <w:tc>
          <w:tcPr>
            <w:tcW w:w="1469" w:type="dxa"/>
            <w:tcMar>
              <w:left w:w="57" w:type="dxa"/>
              <w:right w:w="57" w:type="dxa"/>
            </w:tcMar>
            <w:vAlign w:val="bottom"/>
          </w:tcPr>
          <w:p w:rsidR="00000000" w:rsidRDefault="00000000">
            <w:pPr>
              <w:tabs>
                <w:tab w:val="decimal" w:pos="1202"/>
              </w:tabs>
              <w:rPr>
                <w:sz w:val="20"/>
                <w:szCs w:val="20"/>
              </w:rPr>
            </w:pPr>
            <w:r>
              <w:rPr>
                <w:sz w:val="20"/>
                <w:szCs w:val="20"/>
              </w:rPr>
              <w:t>85</w:t>
            </w:r>
          </w:p>
        </w:tc>
        <w:tc>
          <w:tcPr>
            <w:tcW w:w="994" w:type="dxa"/>
            <w:tcMar>
              <w:left w:w="57" w:type="dxa"/>
              <w:right w:w="57" w:type="dxa"/>
            </w:tcMar>
            <w:vAlign w:val="bottom"/>
          </w:tcPr>
          <w:p w:rsidR="00000000" w:rsidRDefault="00000000">
            <w:pPr>
              <w:rPr>
                <w:sz w:val="20"/>
              </w:rPr>
            </w:pPr>
            <w:r>
              <w:rPr>
                <w:sz w:val="20"/>
              </w:rPr>
              <w:t>2004</w:t>
            </w:r>
          </w:p>
        </w:tc>
        <w:tc>
          <w:tcPr>
            <w:tcW w:w="1979" w:type="dxa"/>
            <w:tcMar>
              <w:left w:w="57" w:type="dxa"/>
              <w:right w:w="57" w:type="dxa"/>
            </w:tcMar>
            <w:vAlign w:val="bottom"/>
          </w:tcPr>
          <w:p w:rsidR="00000000" w:rsidRDefault="00000000">
            <w:pPr>
              <w:rPr>
                <w:sz w:val="20"/>
              </w:rPr>
            </w:pPr>
            <w:r>
              <w:rPr>
                <w:sz w:val="20"/>
              </w:rPr>
              <w:t>EDST 2004</w:t>
            </w:r>
          </w:p>
        </w:tc>
      </w:tr>
    </w:tbl>
    <w:p w:rsidR="00000000" w:rsidRDefault="00000000">
      <w:pPr>
        <w:spacing w:before="240" w:after="480"/>
        <w:rPr>
          <w:sz w:val="20"/>
          <w:szCs w:val="20"/>
        </w:rPr>
      </w:pPr>
      <w:r>
        <w:rPr>
          <w:i/>
          <w:sz w:val="20"/>
          <w:szCs w:val="20"/>
        </w:rPr>
        <w:t xml:space="preserve">Fuentes:  </w:t>
      </w:r>
      <w:r>
        <w:rPr>
          <w:sz w:val="20"/>
          <w:szCs w:val="20"/>
        </w:rPr>
        <w:t>Encuesta demográfica y de salud del Chad (EDST) 2004; Dirección de coordinación de las actividades en materia de población (DCAP) del Ministerio de Economía, Planificación y Cooperación:  Proyección de la población del Chad en el período 2000-2050; Ministerio de Salud Pública (MSP):  Anuario de Estadísticas Sanitarias del Chad, 2002; Censo general de población y hábitat, 1993 (RGPH); Ministerio de Educación Nacional (MEN), Datos Estadísticos sobre Educación, año 2003-2004; ONUSIDA, Report on the Global HIV/AIDS Epidemic (Informe sobre la epidemia mundial de VIH/SIDA), 2004; UNICEF, Estado Mundial de la Infancia, 2005; MAT:  Ministerio de Administración del Territorio:  Repartición administrativa de octubre de 2002 (Decreto Nº 415/419/PR/MAT/2002, de 17 de octubre de 2002; PNUD:  Informe sobre desarrollo humano, 2005; ONUSIDA/UNICEF/USAID, Niños al borde del abismo, 2004; BEAC (Banco de los Estados del África Central), Principales indicadores económicos y financieros del Chad.</w:t>
      </w:r>
    </w:p>
    <w:p w:rsidR="00000000" w:rsidRDefault="00000000">
      <w:pPr>
        <w:spacing w:before="240" w:after="240"/>
        <w:jc w:val="center"/>
        <w:rPr>
          <w:b/>
        </w:rPr>
      </w:pPr>
      <w:r>
        <w:rPr>
          <w:sz w:val="20"/>
          <w:szCs w:val="20"/>
        </w:rPr>
        <w:br w:type="page"/>
      </w:r>
      <w:r>
        <w:rPr>
          <w:b/>
        </w:rPr>
        <w:t>INTRODUCCIÓN</w:t>
      </w:r>
    </w:p>
    <w:p w:rsidR="00000000" w:rsidRDefault="00000000">
      <w:pPr>
        <w:spacing w:after="240"/>
      </w:pPr>
      <w:r>
        <w:t>1.</w:t>
      </w:r>
      <w:r>
        <w:tab/>
        <w:t>Con el presente informe el Gobierno del Chad desea dar una respuesta adecuada a las sugerencias y recomendaciones formuladas por el Comité en sus períodos de sesiones y, en particular, en el de 17 de agosto de 1995 (véase CERD/C/SR.1119 y A/50/18, párrs. 637 a 668).  En el informe se darán también aclaraciones a los miembros del Comité sobre los principales motivos de inquietud expresados en esa ocasión.</w:t>
      </w:r>
    </w:p>
    <w:p w:rsidR="00000000" w:rsidRDefault="00000000">
      <w:pPr>
        <w:spacing w:after="240"/>
      </w:pPr>
      <w:r>
        <w:t>2.</w:t>
      </w:r>
      <w:r>
        <w:tab/>
        <w:t>El presente informe reemplaza los informes periódicos 10º, 11º, 12º, 13º, 14º y 15º del Chad en virtud de la Convención Internacional sobre la Eliminación de todas las Formas de Discriminación Racial y en él se describen, en la medida de lo posible, las medidas adoptadas para dar cumplimiento a las disposiciones de la Convención.</w:t>
      </w:r>
    </w:p>
    <w:p w:rsidR="00000000" w:rsidRDefault="00000000">
      <w:pPr>
        <w:spacing w:after="240"/>
      </w:pPr>
      <w:r>
        <w:t>3.</w:t>
      </w:r>
      <w:r>
        <w:tab/>
        <w:t xml:space="preserve">El Comité sugirió al Gobierno del Chad que adoptase una serie de medidas, entre otras:  </w:t>
      </w:r>
    </w:p>
    <w:p w:rsidR="00000000" w:rsidRDefault="00000000">
      <w:pPr>
        <w:spacing w:after="240"/>
        <w:ind w:left="1134" w:hanging="567"/>
      </w:pPr>
      <w:r>
        <w:t>a)</w:t>
      </w:r>
      <w:r>
        <w:tab/>
        <w:t>Recurrir a la asistencia técnica ofrecida como parte del programa de servicios consultivos y de asistencia técnica del Centro de Derechos Humanos;</w:t>
      </w:r>
    </w:p>
    <w:p w:rsidR="00000000" w:rsidRDefault="00000000">
      <w:pPr>
        <w:spacing w:after="240"/>
        <w:ind w:left="1134" w:hanging="567"/>
      </w:pPr>
      <w:r>
        <w:t>b)</w:t>
      </w:r>
      <w:r>
        <w:tab/>
        <w:t>Facilitar en su siguiente informe datos más completos sobre la aplicación efectiva de la Convención y, en particular, información sobre las características étnicas del país, de conformidad con el párrafo 8 de las directrices del Comité para la preparación de los informes;</w:t>
      </w:r>
    </w:p>
    <w:p w:rsidR="00000000" w:rsidRDefault="00000000">
      <w:pPr>
        <w:spacing w:after="240"/>
        <w:ind w:left="1134" w:hanging="567"/>
      </w:pPr>
      <w:r>
        <w:t>c)</w:t>
      </w:r>
      <w:r>
        <w:tab/>
        <w:t>Proporcionar información más precisa sobre las reformas emprendidas a raíz de la Conferencia Nacional destinada a iniciar el proceso de reconciliación nacional:  reforma de la Constitución, proyecto de código electoral, Ley de amnistía, Ley de indemnización de las víctimas de violaciones de los derechos humanos, reorganización de las fuerzas de seguridad y de la gendarmería nacional y reforzamiento del aparato judicial;</w:t>
      </w:r>
    </w:p>
    <w:p w:rsidR="00000000" w:rsidRDefault="00000000">
      <w:pPr>
        <w:spacing w:after="240"/>
        <w:ind w:left="1134" w:hanging="567"/>
      </w:pPr>
      <w:r>
        <w:t>d)</w:t>
      </w:r>
      <w:r>
        <w:tab/>
        <w:t>Informar al Comité sobre los medios de acción reales de que dispone la Comisión Nacional de Derechos Humanos y sobre sus actividades en lo que respecta a la aplicación de la Convención;</w:t>
      </w:r>
    </w:p>
    <w:p w:rsidR="00000000" w:rsidRDefault="00000000">
      <w:pPr>
        <w:spacing w:after="240"/>
        <w:ind w:left="1134" w:hanging="567"/>
      </w:pPr>
      <w:r>
        <w:t>e)</w:t>
      </w:r>
      <w:r>
        <w:tab/>
        <w:t>Llevar a cabo un programa de formación en derecho humanitario y en derechos humanos para los agentes de las fuerzas armadas, la policía, la gendarmería nacional y otras entidades del Estado;</w:t>
      </w:r>
    </w:p>
    <w:p w:rsidR="00000000" w:rsidRDefault="00000000">
      <w:pPr>
        <w:spacing w:after="480"/>
        <w:ind w:left="1134" w:hanging="567"/>
      </w:pPr>
      <w:r>
        <w:t>f)</w:t>
      </w:r>
      <w:r>
        <w:tab/>
        <w:t>Crear una misión permanente del Chad ante las Naciones Unidas.</w:t>
      </w:r>
    </w:p>
    <w:p w:rsidR="00000000" w:rsidRDefault="00000000">
      <w:pPr>
        <w:keepNext/>
        <w:keepLines/>
        <w:spacing w:after="240"/>
        <w:jc w:val="center"/>
        <w:rPr>
          <w:b/>
        </w:rPr>
      </w:pPr>
      <w:r>
        <w:rPr>
          <w:b/>
        </w:rPr>
        <w:t>I.  RESPUESTAS A LAS RECOMENDACIONES DEL COMITÉ</w:t>
      </w:r>
    </w:p>
    <w:p w:rsidR="00000000" w:rsidRDefault="00000000">
      <w:pPr>
        <w:keepNext/>
        <w:keepLines/>
        <w:spacing w:after="240"/>
        <w:jc w:val="center"/>
        <w:rPr>
          <w:b/>
        </w:rPr>
      </w:pPr>
      <w:r>
        <w:rPr>
          <w:b/>
        </w:rPr>
        <w:t>A.  Asistencia técnica internacional</w:t>
      </w:r>
    </w:p>
    <w:p w:rsidR="00000000" w:rsidRDefault="00000000">
      <w:pPr>
        <w:keepNext/>
        <w:keepLines/>
        <w:spacing w:after="240"/>
      </w:pPr>
      <w:r>
        <w:t>4.</w:t>
      </w:r>
      <w:r>
        <w:tab/>
        <w:t>La voluntad del Gobierno del Chad de aplicar la Convención tropezaba con dificultades de orden técnico, razón por la que solicitó la cooperación internacional, gracias a la cual se han formulado dos proyectos sucesivos, de 2001 a 2002 y a partir de 2006.</w:t>
      </w:r>
    </w:p>
    <w:p w:rsidR="00000000" w:rsidRDefault="00000000">
      <w:pPr>
        <w:keepNext/>
        <w:keepLines/>
        <w:spacing w:after="240"/>
      </w:pPr>
      <w:r>
        <w:t>5.</w:t>
      </w:r>
      <w:r>
        <w:tab/>
        <w:t>El Chad ha obtenido ayuda del programa de cooperación técnica y servicios de asesoramiento a través de un proyecto conjunto del Alto Comisionado de las Naciones Unidas para los Derechos Humanos (ACNUDH) y del Programa de las Naciones Unidas para el Desarrollo (PNUD) titulado "Apoyo al reforzamiento de la capacidad del Chad en materia de gobernanza y derechos humanos".  Uno de los objetivos de este proyecto era reforzar la capacidad de la Comisión Nacional de Derechos Humanos (CNDH) y contribuir al desarrollo de las relaciones de cooperación entre las entidades públicas y la sociedad civil.  Por desgracia, la evaluación final del proyecto, realizada en 2002, reveló que este proyecto había sido muy ambicioso y no fue posible alcanzar todos sus objetivos.</w:t>
      </w:r>
    </w:p>
    <w:p w:rsidR="00000000" w:rsidRDefault="00000000">
      <w:pPr>
        <w:spacing w:after="240"/>
      </w:pPr>
      <w:r>
        <w:t>6.</w:t>
      </w:r>
      <w:r>
        <w:tab/>
        <w:t>De ahí que el Chad formulase en 2003 una nueva solicitud de asistencia técnica que desembocó, después de una evaluación de la situación del Chad efectuada por el Alto Comisionado para los Derechos Humanos, en la creación de un proyecto conjunto ACNUDH/PNUD destinado a reforzar las capacidades nacionales del Chad en materia de derechos humanos.</w:t>
      </w:r>
    </w:p>
    <w:p w:rsidR="00000000" w:rsidRDefault="00000000">
      <w:pPr>
        <w:spacing w:after="240"/>
        <w:jc w:val="center"/>
        <w:rPr>
          <w:b/>
        </w:rPr>
      </w:pPr>
      <w:r>
        <w:rPr>
          <w:b/>
        </w:rPr>
        <w:t>B.  Reformas constitucionales y otras reformas nacionales</w:t>
      </w:r>
    </w:p>
    <w:p w:rsidR="00000000" w:rsidRDefault="00000000">
      <w:pPr>
        <w:spacing w:after="240"/>
      </w:pPr>
      <w:r>
        <w:t>7.</w:t>
      </w:r>
      <w:r>
        <w:tab/>
        <w:t>La Constitución del Chad, resultante de las recomendaciones de la Conferencia Nacional Soberana, fue elaborada por un comité técnico institucional y aprobada el 31 de marzo de 1996 por referendo.  En su artículo 1 se dispone que el Chad es una república soberana, independiente, laica, social, una e indivisible, fundada en los principios de la democracia, el imperio de la ley y la justicia.  En ella se afirma además la separación de las religiones y el Estado.</w:t>
      </w:r>
    </w:p>
    <w:p w:rsidR="00000000" w:rsidRDefault="00000000">
      <w:pPr>
        <w:spacing w:after="240"/>
      </w:pPr>
      <w:r>
        <w:t>8.</w:t>
      </w:r>
      <w:r>
        <w:tab/>
        <w:t>Según la Constitución (art. 3), la soberanía pertenece al pueblo, que la ejerce, ya sea directamente por referendo, ya sea indirectamente a través de sus representantes elegidos.  El principio del ejercicio del poder definido en el artículo 7 de esta Constitución es el gobierno del pueblo por el pueblo y para el pueblo, fundado en la separación de los poderes ejecutivo, legislativo y judicial.</w:t>
      </w:r>
    </w:p>
    <w:p w:rsidR="00000000" w:rsidRDefault="00000000">
      <w:pPr>
        <w:spacing w:after="240"/>
      </w:pPr>
      <w:r>
        <w:t>9.</w:t>
      </w:r>
      <w:r>
        <w:tab/>
        <w:t>La Constitución consagra además un capítulo (32 artículos) a las libertades y los derechos fundamentales.  Estas disposiciones garantizan la protección de la integridad física y moral de la persona humana y las libertades fundamentales definidas en los instrumentos internacionales pertinentes.</w:t>
      </w:r>
    </w:p>
    <w:p w:rsidR="00000000" w:rsidRDefault="00000000">
      <w:pPr>
        <w:spacing w:after="240"/>
      </w:pPr>
      <w:r>
        <w:t>10.</w:t>
      </w:r>
      <w:r>
        <w:tab/>
        <w:t>La Constitución crea un órgano encargado de regular la libertad de prensa, de expresión y de comunicación, a saber, el Consejo Superior de la Comunicación (HCC) (art. 185).  El HCC es una autoridad administrativa independiente integrada por nueve miembros, cuatro de los cuales son designados por el Presidente de la República y de la Asamblea Nacional, tres por los profesionales de la prensa, un magistrado designado por el Presidente del Tribunal Supremo y una personalidad del mundo de la cultura elegida por sus pares.</w:t>
      </w:r>
    </w:p>
    <w:p w:rsidR="00000000" w:rsidRDefault="00000000">
      <w:pPr>
        <w:spacing w:after="240"/>
      </w:pPr>
      <w:r>
        <w:t>11.</w:t>
      </w:r>
      <w:r>
        <w:tab/>
        <w:t>También se ha creado un Consejo Constitucional (art. 159) que entiende en los litigios sobre la constitucionalidad de las leyes, los tratados y acuerdos internacionales, y las elecciones presidenciales y legislativas.  El Consejo Constitucional se encarga además de regular el funcionamiento de las instituciones y la actividad de los poderes públicos y resuelve los conflictos de atribución entre las instituciones y el Estado.</w:t>
      </w:r>
    </w:p>
    <w:p w:rsidR="00000000" w:rsidRDefault="00000000">
      <w:pPr>
        <w:spacing w:after="240"/>
      </w:pPr>
      <w:r>
        <w:t>12.</w:t>
      </w:r>
      <w:r>
        <w:tab/>
        <w:t xml:space="preserve"> Por último, con objeto de evitar la impunidad de las altas personalidades gubernamentales, la Constitución crea un alto tribunal de justicia (art. 171), competente para juzgar al Presidente de la República y a los miembros del Gobierno, así como a sus cómplices, en caso de alta traición.  Se considera crimen de alta traición, entre otras cosas, el atentado contra la forma republicana del Estado, la unidad y el laicismo, la soberanía, la independencia y la integridad territorial del país.  Se consideran asimismo alta traición las violaciones graves y cualificadas de los derechos humanos, la malversación de fondos públicos, la corrupción activa y pasiva, el tráfico de drogas y la introducción de desechos tóxicos o peligrosos para su tránsito, depósito o almacenamiento en el territorio nacional.  </w:t>
      </w:r>
    </w:p>
    <w:p w:rsidR="00000000" w:rsidRDefault="00000000">
      <w:pPr>
        <w:spacing w:after="240"/>
      </w:pPr>
      <w:r>
        <w:t>13.</w:t>
      </w:r>
      <w:r>
        <w:tab/>
        <w:t>Las fuerzas armadas y de seguridad (art. 188), compuestas por el Ejército Nacional del Chad, la Gendarmería Nacional, la Guardia Nacional y Nómada y la Policía Nacional, están al servicio de la nación, sujetas a la legalidad republicana, y subordinadas al poder civil (art. 189).  Son además apolíticas y nadie puede utilizarlas para fines propios (art. 190).  La defensa nacional incumbe al Ejército Nacional y a la Gendarmería Nacional; en cambio, el mantenimiento del orden público y de la seguridad corresponden a la Policía Nacional, la Guardia Nacional y la Gendarmería Nacional.</w:t>
      </w:r>
    </w:p>
    <w:p w:rsidR="00000000" w:rsidRDefault="00000000">
      <w:pPr>
        <w:spacing w:after="240"/>
      </w:pPr>
      <w:r>
        <w:t>14.</w:t>
      </w:r>
      <w:r>
        <w:tab/>
        <w:t>Además de su misión clásica, el Ejército nacional del Chad debe participar en tareas de desarrollo económico y social y en operaciones humanitarias.</w:t>
      </w:r>
    </w:p>
    <w:p w:rsidR="00000000" w:rsidRDefault="00000000">
      <w:pPr>
        <w:spacing w:after="240"/>
      </w:pPr>
      <w:r>
        <w:t>15.</w:t>
      </w:r>
      <w:r>
        <w:tab/>
        <w:t>La reforma del ejército, emprendida en 1991, continuó con la celebración en 2005 de una asamblea general de los ejércitos.  Por decisión del Ministerio de la Defensa se ha creado un comité de seguimiento de esa asamblea general, que tiene por misión traducir en hechos las recomendaciones adoptadas.</w:t>
      </w:r>
    </w:p>
    <w:p w:rsidR="00000000" w:rsidRDefault="00000000">
      <w:pPr>
        <w:spacing w:after="240"/>
      </w:pPr>
      <w:r>
        <w:t>16.</w:t>
      </w:r>
      <w:r>
        <w:tab/>
        <w:t>La Constitución dedica su título 13 a las autoridades tradicionales y consuetudinarias.  Éstas colaboran con la administración en el respeto de las libertades y los derechos humanos (art. 215), contribuyen a encuadrar a las poblaciones y apoyan la acción de las colectividades territoriales descentralizadas (art. 214).  Son además garantes de los usos y costumbres que, en espera de su codificación, se aplican en las comunidades que los reconocen.</w:t>
      </w:r>
    </w:p>
    <w:p w:rsidR="00000000" w:rsidRDefault="00000000">
      <w:pPr>
        <w:spacing w:after="240"/>
      </w:pPr>
      <w:r>
        <w:t>17.</w:t>
      </w:r>
      <w:r>
        <w:tab/>
        <w:t>La Constitución precisa sin embargo que están prohibidas las costumbres contrarias al orden público o las que preconizan la desigualdad entre los ciudadanos (art. 156).</w:t>
      </w:r>
    </w:p>
    <w:p w:rsidR="00000000" w:rsidRDefault="00000000">
      <w:pPr>
        <w:spacing w:after="240"/>
      </w:pPr>
      <w:r>
        <w:t>18.</w:t>
      </w:r>
      <w:r>
        <w:tab/>
        <w:t>En 2005, después de nueve años de aplicación, el pueblo del Chad juzgó necesario adaptar la Constitución procediendo a su revisión parcial en un referendo, que tuvo lugar el 15 de julio de 2005.</w:t>
      </w:r>
    </w:p>
    <w:p w:rsidR="00000000" w:rsidRDefault="00000000">
      <w:pPr>
        <w:spacing w:after="240"/>
      </w:pPr>
      <w:r>
        <w:t>19.</w:t>
      </w:r>
      <w:r>
        <w:tab/>
        <w:t>Como parte de esta revisión se creó un órgano consultivo llamado Consejo Económico, Social y Cultural, que tenía por misión asesorar al Presidente de la República, el Gobierno o la Asamblea Nacional sobre todas las cuestiones de carácter económico, social o cultural.</w:t>
      </w:r>
    </w:p>
    <w:p w:rsidR="00000000" w:rsidRDefault="00000000">
      <w:pPr>
        <w:spacing w:after="240"/>
      </w:pPr>
      <w:r>
        <w:t>20.</w:t>
      </w:r>
      <w:r>
        <w:tab/>
        <w:t>Con objeto de favorecer un seguimiento mejor de las cuestiones de derechos humanos a nivel de las Naciones Unidas, el Gobierno del Chad creó una misión permanente del Chad en Ginebra, además de su embajada ante las Naciones Unidas en Nueva York.</w:t>
      </w:r>
    </w:p>
    <w:p w:rsidR="00000000" w:rsidRDefault="00000000">
      <w:pPr>
        <w:spacing w:after="240"/>
        <w:jc w:val="center"/>
        <w:rPr>
          <w:b/>
        </w:rPr>
      </w:pPr>
      <w:r>
        <w:rPr>
          <w:b/>
        </w:rPr>
        <w:t>C.  Política seguida para eliminar todas las formas de discriminación racial</w:t>
      </w:r>
    </w:p>
    <w:p w:rsidR="00000000" w:rsidRDefault="00000000">
      <w:pPr>
        <w:spacing w:after="240"/>
      </w:pPr>
      <w:r>
        <w:t>21.</w:t>
      </w:r>
      <w:r>
        <w:tab/>
        <w:t>La voluntad del Gobierno del Chad de combatir la discriminación está claramente expresada en la Constitución, ley fundamental del país, que establece el principio de la prohibición de toda forma de discriminación.  Todas las demás leyes de rango inferior han recogido a su vez numerosas disposiciones de la Convención.</w:t>
      </w:r>
    </w:p>
    <w:p w:rsidR="00000000" w:rsidRDefault="00000000">
      <w:pPr>
        <w:spacing w:after="240"/>
      </w:pPr>
      <w:r>
        <w:t>22.</w:t>
      </w:r>
      <w:r>
        <w:tab/>
        <w:t>Aunque la definición de la discriminación que figura en el artículo 1 de la Convención no aparezca en un texto legal preciso, la prohibición de discriminación existe en varias leyes nacionales, en particular el Código del Trabajo, la carta de los partidos políticos, el código electoral, etc.</w:t>
      </w:r>
    </w:p>
    <w:p w:rsidR="00000000" w:rsidRDefault="00000000">
      <w:pPr>
        <w:spacing w:after="240"/>
      </w:pPr>
      <w:r>
        <w:t>23.</w:t>
      </w:r>
      <w:r>
        <w:tab/>
        <w:t>Sin embargo, esta insuficiencia no supone un desconocimiento de ese instrumento internacional de lucha contra la discriminación definido en el artículo 1 de la Convención.  De ahí que en varios textos legales o reglamentarios se reconozcan a todos los ciudadanos sin discriminación alguna el goce o el ejercicio de los derechos humanos y de las libertades fundamentales en pie de igualdad y tanto en los sectores político, económico, social y cultural, como en todos los demás sectores de la vida pública.</w:t>
      </w:r>
    </w:p>
    <w:p w:rsidR="00000000" w:rsidRDefault="00000000">
      <w:pPr>
        <w:spacing w:after="240"/>
        <w:jc w:val="center"/>
        <w:rPr>
          <w:b/>
        </w:rPr>
      </w:pPr>
      <w:r>
        <w:rPr>
          <w:b/>
        </w:rPr>
        <w:t>D.  Principales características socioculturales:  etnias y religiones en el Chad</w:t>
      </w:r>
    </w:p>
    <w:p w:rsidR="00000000" w:rsidRDefault="00000000">
      <w:pPr>
        <w:spacing w:after="240"/>
      </w:pPr>
      <w:r>
        <w:t>24.</w:t>
      </w:r>
      <w:r>
        <w:tab/>
        <w:t>El Comité había recomendado entre otras cosas que, sobre la base del censo general de población y hábitat (RGPH), se le facilitase más información acerca de la importancia de los diferentes grupos étnicos (A/50/18, párr. 646).  Con los diferentes cuadros que se presentan y que resumen la situación nacional en lo que respecta a la composición étnica y la pertenencia religiosa de la población, el Gobierno del Chad espera dar al Comité una respuesta satisfactoria a la recomendación formulada.</w:t>
      </w:r>
    </w:p>
    <w:p w:rsidR="00000000" w:rsidRDefault="00000000">
      <w:pPr>
        <w:spacing w:after="240"/>
        <w:rPr>
          <w:b/>
        </w:rPr>
      </w:pPr>
      <w:r>
        <w:rPr>
          <w:b/>
        </w:rPr>
        <w:t>1.</w:t>
      </w:r>
      <w:r>
        <w:rPr>
          <w:b/>
        </w:rPr>
        <w:tab/>
        <w:t>Población y grandes grupos étnicos</w:t>
      </w:r>
    </w:p>
    <w:p w:rsidR="00000000" w:rsidRDefault="00000000">
      <w:pPr>
        <w:spacing w:after="240"/>
      </w:pPr>
      <w:r>
        <w:t>25.</w:t>
      </w:r>
      <w:r>
        <w:tab/>
        <w:t>En el censo de abril de 1993 se contó más de un centenar de etnias.  Para facilitar el análisis y a causa del número y la diversidad de las etnias, se ha procedido a agruparlas sobre la base de criterios lingüísticos y geográficos, modo de vida, y usos y costumbres.</w:t>
      </w:r>
    </w:p>
    <w:p w:rsidR="00000000" w:rsidRDefault="00000000">
      <w:pPr>
        <w:spacing w:after="240"/>
      </w:pPr>
      <w:r>
        <w:t>26.</w:t>
      </w:r>
      <w:r>
        <w:tab/>
        <w:t>Esta agrupación ha producido 14 grandes grupos étnicos, comprendido un grupo de extranjeros y otro de etnia indeterminada.  Los grupos "otros" y "varios" están constituidos respectivamente por etnias no clasificadas en otro lugar, porque difícilmente integrables en los demás grandes grupos a causa de sus particularidades lingüísticas y sus costumbres, y por las etnias de extranjeros que se han naturalizado.</w:t>
      </w:r>
    </w:p>
    <w:p w:rsidR="00000000" w:rsidRDefault="00000000">
      <w:pPr>
        <w:spacing w:after="240"/>
      </w:pPr>
      <w:r>
        <w:t>27.</w:t>
      </w:r>
      <w:r>
        <w:tab/>
        <w:t>Entre los grandes grupos étnicos del Chad, algunos son numéricamente más importantes que otros.  Los grupos más numerosos están constituidos por los Sara (12,3%) y Mayo Kebbi (11,5%).  Ciertos grupos representan del 5 al 10% de la población total.  Se trata en concreto de los grupos siguientes:  Kanem-Bornou (9,0%), Ouaddaï (8,7%), Hadjaraï (6,5%), y Tandjilé y Gourane con el 6,5 y el 6,3% respectivamente.</w:t>
      </w:r>
    </w:p>
    <w:p w:rsidR="00000000" w:rsidRDefault="00000000">
      <w:pPr>
        <w:spacing w:after="240"/>
      </w:pPr>
      <w:r>
        <w:t>28.</w:t>
      </w:r>
      <w:r>
        <w:tab/>
        <w:t>En cambio, otros grupos que representan cada uno menos del 5% de la población total constituyen grupos minoritarios.  En esta categoría entran los grandes grupos siguientes:</w:t>
      </w:r>
    </w:p>
    <w:p w:rsidR="00000000" w:rsidRDefault="00000000">
      <w:pPr>
        <w:spacing w:after="240"/>
        <w:ind w:left="924" w:hanging="357"/>
      </w:pPr>
      <w:r>
        <w:t>-</w:t>
      </w:r>
      <w:r>
        <w:tab/>
        <w:t>Fitri-Batha (4,7%);</w:t>
      </w:r>
    </w:p>
    <w:p w:rsidR="00000000" w:rsidRDefault="00000000">
      <w:pPr>
        <w:spacing w:after="240"/>
        <w:ind w:left="924" w:hanging="357"/>
      </w:pPr>
      <w:r>
        <w:t>-</w:t>
      </w:r>
      <w:r>
        <w:tab/>
        <w:t>Peul (2,4%);</w:t>
      </w:r>
    </w:p>
    <w:p w:rsidR="00000000" w:rsidRDefault="00000000">
      <w:pPr>
        <w:spacing w:after="240"/>
        <w:ind w:left="924" w:hanging="357"/>
      </w:pPr>
      <w:r>
        <w:t>-</w:t>
      </w:r>
      <w:r>
        <w:tab/>
        <w:t>Baguirmien (1,5%);</w:t>
      </w:r>
    </w:p>
    <w:p w:rsidR="00000000" w:rsidRDefault="00000000">
      <w:pPr>
        <w:spacing w:after="240"/>
        <w:ind w:left="924" w:hanging="357"/>
      </w:pPr>
      <w:r>
        <w:t>-</w:t>
      </w:r>
      <w:r>
        <w:tab/>
        <w:t>Lac Iro (0,5%).</w:t>
      </w:r>
    </w:p>
    <w:p w:rsidR="00000000" w:rsidRDefault="00000000">
      <w:pPr>
        <w:spacing w:after="240"/>
      </w:pPr>
      <w:r>
        <w:t>29.</w:t>
      </w:r>
      <w:r>
        <w:tab/>
        <w:t>Los grupos "otros" y "varios" representan juntos el 1,2% de la población total.  La población extranjera y la de etnia indeterminada corresponden al 1% aproximadamente de la población total, es decir, 0,7 y 0,3% respectivamente (cuadro 1).</w:t>
      </w:r>
    </w:p>
    <w:p w:rsidR="00000000" w:rsidRDefault="00000000">
      <w:pPr>
        <w:spacing w:after="240"/>
        <w:jc w:val="center"/>
        <w:rPr>
          <w:b/>
        </w:rPr>
      </w:pPr>
      <w:r>
        <w:rPr>
          <w:b/>
        </w:rPr>
        <w:t>Cuadro 1</w:t>
      </w:r>
    </w:p>
    <w:p w:rsidR="00000000" w:rsidRDefault="00000000">
      <w:pPr>
        <w:spacing w:after="240"/>
        <w:jc w:val="center"/>
        <w:rPr>
          <w:b/>
        </w:rPr>
      </w:pPr>
      <w:r>
        <w:rPr>
          <w:b/>
        </w:rPr>
        <w:t>Distribución de la población residente de los grandes grupos étnicos, por sexo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Pr>
      <w:tblGrid>
        <w:gridCol w:w="2112"/>
        <w:gridCol w:w="1418"/>
        <w:gridCol w:w="1418"/>
        <w:gridCol w:w="1419"/>
        <w:gridCol w:w="1134"/>
        <w:gridCol w:w="1022"/>
        <w:gridCol w:w="968"/>
      </w:tblGrid>
      <w:tr w:rsidR="00000000">
        <w:trPr>
          <w:cantSplit/>
        </w:trPr>
        <w:tc>
          <w:tcPr>
            <w:tcW w:w="2112" w:type="dxa"/>
            <w:vMerge w:val="restart"/>
            <w:tcMar>
              <w:left w:w="68" w:type="dxa"/>
              <w:right w:w="68" w:type="dxa"/>
            </w:tcMar>
            <w:vAlign w:val="center"/>
          </w:tcPr>
          <w:p w:rsidR="00000000" w:rsidRDefault="00000000">
            <w:pPr>
              <w:rPr>
                <w:b/>
              </w:rPr>
            </w:pPr>
            <w:r>
              <w:rPr>
                <w:b/>
              </w:rPr>
              <w:t>Gran grupo étnico</w:t>
            </w:r>
          </w:p>
        </w:tc>
        <w:tc>
          <w:tcPr>
            <w:tcW w:w="4255" w:type="dxa"/>
            <w:gridSpan w:val="3"/>
            <w:tcMar>
              <w:left w:w="68" w:type="dxa"/>
              <w:right w:w="68" w:type="dxa"/>
            </w:tcMar>
            <w:vAlign w:val="center"/>
          </w:tcPr>
          <w:p w:rsidR="00000000" w:rsidRDefault="00000000">
            <w:pPr>
              <w:jc w:val="center"/>
              <w:rPr>
                <w:b/>
              </w:rPr>
            </w:pPr>
            <w:r>
              <w:rPr>
                <w:b/>
              </w:rPr>
              <w:t>Número de habitantes</w:t>
            </w:r>
          </w:p>
        </w:tc>
        <w:tc>
          <w:tcPr>
            <w:tcW w:w="3124" w:type="dxa"/>
            <w:gridSpan w:val="3"/>
            <w:tcMar>
              <w:left w:w="68" w:type="dxa"/>
              <w:right w:w="68" w:type="dxa"/>
            </w:tcMar>
            <w:vAlign w:val="center"/>
          </w:tcPr>
          <w:p w:rsidR="00000000" w:rsidRDefault="00000000">
            <w:pPr>
              <w:jc w:val="center"/>
              <w:rPr>
                <w:b/>
              </w:rPr>
            </w:pPr>
            <w:r>
              <w:rPr>
                <w:b/>
              </w:rPr>
              <w:t>Proporción</w:t>
            </w:r>
          </w:p>
        </w:tc>
      </w:tr>
      <w:tr w:rsidR="00000000">
        <w:trPr>
          <w:cantSplit/>
        </w:trPr>
        <w:tc>
          <w:tcPr>
            <w:tcW w:w="2112" w:type="dxa"/>
            <w:vMerge/>
            <w:tcMar>
              <w:left w:w="68" w:type="dxa"/>
              <w:right w:w="68" w:type="dxa"/>
            </w:tcMar>
            <w:vAlign w:val="center"/>
          </w:tcPr>
          <w:p w:rsidR="00000000" w:rsidRDefault="00000000"/>
        </w:tc>
        <w:tc>
          <w:tcPr>
            <w:tcW w:w="1418" w:type="dxa"/>
            <w:tcMar>
              <w:left w:w="68" w:type="dxa"/>
              <w:right w:w="68" w:type="dxa"/>
            </w:tcMar>
            <w:vAlign w:val="center"/>
          </w:tcPr>
          <w:p w:rsidR="00000000" w:rsidRDefault="00000000">
            <w:pPr>
              <w:jc w:val="center"/>
              <w:rPr>
                <w:b/>
              </w:rPr>
            </w:pPr>
            <w:r>
              <w:rPr>
                <w:b/>
              </w:rPr>
              <w:t>Hombres</w:t>
            </w:r>
          </w:p>
        </w:tc>
        <w:tc>
          <w:tcPr>
            <w:tcW w:w="1418" w:type="dxa"/>
            <w:tcMar>
              <w:left w:w="68" w:type="dxa"/>
              <w:right w:w="68" w:type="dxa"/>
            </w:tcMar>
            <w:vAlign w:val="center"/>
          </w:tcPr>
          <w:p w:rsidR="00000000" w:rsidRDefault="00000000">
            <w:pPr>
              <w:jc w:val="center"/>
              <w:rPr>
                <w:b/>
              </w:rPr>
            </w:pPr>
            <w:r>
              <w:rPr>
                <w:b/>
              </w:rPr>
              <w:t>Mujeres</w:t>
            </w:r>
          </w:p>
        </w:tc>
        <w:tc>
          <w:tcPr>
            <w:tcW w:w="1419" w:type="dxa"/>
            <w:tcMar>
              <w:left w:w="68" w:type="dxa"/>
              <w:right w:w="68" w:type="dxa"/>
            </w:tcMar>
            <w:vAlign w:val="center"/>
          </w:tcPr>
          <w:p w:rsidR="00000000" w:rsidRDefault="00000000">
            <w:pPr>
              <w:jc w:val="center"/>
              <w:rPr>
                <w:b/>
              </w:rPr>
            </w:pPr>
            <w:r>
              <w:rPr>
                <w:b/>
              </w:rPr>
              <w:t>Total</w:t>
            </w:r>
          </w:p>
        </w:tc>
        <w:tc>
          <w:tcPr>
            <w:tcW w:w="1134" w:type="dxa"/>
            <w:tcMar>
              <w:left w:w="68" w:type="dxa"/>
              <w:right w:w="68" w:type="dxa"/>
            </w:tcMar>
            <w:vAlign w:val="center"/>
          </w:tcPr>
          <w:p w:rsidR="00000000" w:rsidRDefault="00000000">
            <w:pPr>
              <w:jc w:val="center"/>
              <w:rPr>
                <w:b/>
              </w:rPr>
            </w:pPr>
            <w:r>
              <w:rPr>
                <w:b/>
              </w:rPr>
              <w:t>Hombres</w:t>
            </w:r>
          </w:p>
        </w:tc>
        <w:tc>
          <w:tcPr>
            <w:tcW w:w="1022" w:type="dxa"/>
            <w:tcMar>
              <w:left w:w="68" w:type="dxa"/>
              <w:right w:w="68" w:type="dxa"/>
            </w:tcMar>
            <w:vAlign w:val="center"/>
          </w:tcPr>
          <w:p w:rsidR="00000000" w:rsidRDefault="00000000">
            <w:pPr>
              <w:jc w:val="center"/>
              <w:rPr>
                <w:b/>
              </w:rPr>
            </w:pPr>
            <w:r>
              <w:rPr>
                <w:b/>
              </w:rPr>
              <w:t>Mujeres</w:t>
            </w:r>
          </w:p>
        </w:tc>
        <w:tc>
          <w:tcPr>
            <w:tcW w:w="968" w:type="dxa"/>
            <w:tcMar>
              <w:left w:w="68" w:type="dxa"/>
              <w:right w:w="68" w:type="dxa"/>
            </w:tcMar>
            <w:vAlign w:val="center"/>
          </w:tcPr>
          <w:p w:rsidR="00000000" w:rsidRDefault="00000000">
            <w:pPr>
              <w:jc w:val="center"/>
              <w:rPr>
                <w:b/>
              </w:rPr>
            </w:pPr>
            <w:r>
              <w:rPr>
                <w:b/>
              </w:rPr>
              <w:t>Total</w:t>
            </w:r>
          </w:p>
        </w:tc>
      </w:tr>
      <w:tr w:rsidR="00000000">
        <w:tc>
          <w:tcPr>
            <w:tcW w:w="2112" w:type="dxa"/>
            <w:tcMar>
              <w:left w:w="68" w:type="dxa"/>
              <w:right w:w="68" w:type="dxa"/>
            </w:tcMar>
            <w:vAlign w:val="bottom"/>
          </w:tcPr>
          <w:p w:rsidR="00000000" w:rsidRDefault="00000000">
            <w:r>
              <w:t>Árabe</w:t>
            </w:r>
          </w:p>
        </w:tc>
        <w:tc>
          <w:tcPr>
            <w:tcW w:w="1418" w:type="dxa"/>
            <w:tcMar>
              <w:left w:w="68" w:type="dxa"/>
              <w:right w:w="68" w:type="dxa"/>
            </w:tcMar>
            <w:vAlign w:val="bottom"/>
          </w:tcPr>
          <w:p w:rsidR="00000000" w:rsidRDefault="00000000">
            <w:pPr>
              <w:tabs>
                <w:tab w:val="decimal" w:pos="1122"/>
              </w:tabs>
            </w:pPr>
            <w:r>
              <w:t>373.366</w:t>
            </w:r>
          </w:p>
        </w:tc>
        <w:tc>
          <w:tcPr>
            <w:tcW w:w="1418" w:type="dxa"/>
            <w:tcMar>
              <w:left w:w="68" w:type="dxa"/>
              <w:right w:w="68" w:type="dxa"/>
            </w:tcMar>
            <w:vAlign w:val="bottom"/>
          </w:tcPr>
          <w:p w:rsidR="00000000" w:rsidRDefault="00000000">
            <w:pPr>
              <w:tabs>
                <w:tab w:val="decimal" w:pos="1132"/>
              </w:tabs>
            </w:pPr>
            <w:r>
              <w:t>388.408</w:t>
            </w:r>
          </w:p>
        </w:tc>
        <w:tc>
          <w:tcPr>
            <w:tcW w:w="1419" w:type="dxa"/>
            <w:tcMar>
              <w:left w:w="68" w:type="dxa"/>
              <w:right w:w="68" w:type="dxa"/>
            </w:tcMar>
            <w:vAlign w:val="bottom"/>
          </w:tcPr>
          <w:p w:rsidR="00000000" w:rsidRDefault="00000000">
            <w:pPr>
              <w:tabs>
                <w:tab w:val="decimal" w:pos="1155"/>
              </w:tabs>
            </w:pPr>
            <w:r>
              <w:t>761.774</w:t>
            </w:r>
          </w:p>
        </w:tc>
        <w:tc>
          <w:tcPr>
            <w:tcW w:w="1134" w:type="dxa"/>
            <w:tcMar>
              <w:left w:w="68" w:type="dxa"/>
              <w:right w:w="68" w:type="dxa"/>
            </w:tcMar>
            <w:vAlign w:val="bottom"/>
          </w:tcPr>
          <w:p w:rsidR="00000000" w:rsidRDefault="00000000">
            <w:pPr>
              <w:tabs>
                <w:tab w:val="decimal" w:pos="604"/>
              </w:tabs>
            </w:pPr>
            <w:r>
              <w:t>12,4</w:t>
            </w:r>
          </w:p>
        </w:tc>
        <w:tc>
          <w:tcPr>
            <w:tcW w:w="1022" w:type="dxa"/>
            <w:tcMar>
              <w:left w:w="68" w:type="dxa"/>
              <w:right w:w="68" w:type="dxa"/>
            </w:tcMar>
            <w:vAlign w:val="bottom"/>
          </w:tcPr>
          <w:p w:rsidR="00000000" w:rsidRDefault="00000000">
            <w:pPr>
              <w:tabs>
                <w:tab w:val="decimal" w:pos="534"/>
              </w:tabs>
            </w:pPr>
            <w:r>
              <w:t>12,2</w:t>
            </w:r>
          </w:p>
        </w:tc>
        <w:tc>
          <w:tcPr>
            <w:tcW w:w="968" w:type="dxa"/>
            <w:tcMar>
              <w:left w:w="68" w:type="dxa"/>
              <w:right w:w="68" w:type="dxa"/>
            </w:tcMar>
            <w:vAlign w:val="bottom"/>
          </w:tcPr>
          <w:p w:rsidR="00000000" w:rsidRDefault="00000000">
            <w:pPr>
              <w:tabs>
                <w:tab w:val="decimal" w:pos="492"/>
              </w:tabs>
            </w:pPr>
            <w:r>
              <w:t>12,3</w:t>
            </w:r>
          </w:p>
        </w:tc>
      </w:tr>
      <w:tr w:rsidR="00000000">
        <w:tc>
          <w:tcPr>
            <w:tcW w:w="2112" w:type="dxa"/>
            <w:tcMar>
              <w:left w:w="68" w:type="dxa"/>
              <w:right w:w="68" w:type="dxa"/>
            </w:tcMar>
            <w:vAlign w:val="bottom"/>
          </w:tcPr>
          <w:p w:rsidR="00000000" w:rsidRDefault="00000000">
            <w:r>
              <w:t>Baguirmien</w:t>
            </w:r>
          </w:p>
        </w:tc>
        <w:tc>
          <w:tcPr>
            <w:tcW w:w="1418" w:type="dxa"/>
            <w:tcMar>
              <w:left w:w="68" w:type="dxa"/>
              <w:right w:w="68" w:type="dxa"/>
            </w:tcMar>
            <w:vAlign w:val="bottom"/>
          </w:tcPr>
          <w:p w:rsidR="00000000" w:rsidRDefault="00000000">
            <w:pPr>
              <w:tabs>
                <w:tab w:val="decimal" w:pos="1122"/>
              </w:tabs>
            </w:pPr>
            <w:r>
              <w:t>45.286</w:t>
            </w:r>
          </w:p>
        </w:tc>
        <w:tc>
          <w:tcPr>
            <w:tcW w:w="1418" w:type="dxa"/>
            <w:tcMar>
              <w:left w:w="68" w:type="dxa"/>
              <w:right w:w="68" w:type="dxa"/>
            </w:tcMar>
            <w:vAlign w:val="bottom"/>
          </w:tcPr>
          <w:p w:rsidR="00000000" w:rsidRDefault="00000000">
            <w:pPr>
              <w:tabs>
                <w:tab w:val="decimal" w:pos="1132"/>
              </w:tabs>
            </w:pPr>
            <w:r>
              <w:t>46.790</w:t>
            </w:r>
          </w:p>
        </w:tc>
        <w:tc>
          <w:tcPr>
            <w:tcW w:w="1419" w:type="dxa"/>
            <w:tcMar>
              <w:left w:w="68" w:type="dxa"/>
              <w:right w:w="68" w:type="dxa"/>
            </w:tcMar>
            <w:vAlign w:val="bottom"/>
          </w:tcPr>
          <w:p w:rsidR="00000000" w:rsidRDefault="00000000">
            <w:pPr>
              <w:tabs>
                <w:tab w:val="decimal" w:pos="1155"/>
              </w:tabs>
            </w:pPr>
            <w:r>
              <w:t>92.076</w:t>
            </w:r>
          </w:p>
        </w:tc>
        <w:tc>
          <w:tcPr>
            <w:tcW w:w="1134" w:type="dxa"/>
            <w:tcMar>
              <w:left w:w="68" w:type="dxa"/>
              <w:right w:w="68" w:type="dxa"/>
            </w:tcMar>
            <w:vAlign w:val="bottom"/>
          </w:tcPr>
          <w:p w:rsidR="00000000" w:rsidRDefault="00000000">
            <w:pPr>
              <w:tabs>
                <w:tab w:val="decimal" w:pos="604"/>
              </w:tabs>
            </w:pPr>
            <w:r>
              <w:t>1,5</w:t>
            </w:r>
          </w:p>
        </w:tc>
        <w:tc>
          <w:tcPr>
            <w:tcW w:w="1022" w:type="dxa"/>
            <w:tcMar>
              <w:left w:w="68" w:type="dxa"/>
              <w:right w:w="68" w:type="dxa"/>
            </w:tcMar>
            <w:vAlign w:val="bottom"/>
          </w:tcPr>
          <w:p w:rsidR="00000000" w:rsidRDefault="00000000">
            <w:pPr>
              <w:tabs>
                <w:tab w:val="decimal" w:pos="534"/>
              </w:tabs>
            </w:pPr>
            <w:r>
              <w:t>1,5</w:t>
            </w:r>
          </w:p>
        </w:tc>
        <w:tc>
          <w:tcPr>
            <w:tcW w:w="968" w:type="dxa"/>
            <w:tcMar>
              <w:left w:w="68" w:type="dxa"/>
              <w:right w:w="68" w:type="dxa"/>
            </w:tcMar>
            <w:vAlign w:val="bottom"/>
          </w:tcPr>
          <w:p w:rsidR="00000000" w:rsidRDefault="00000000">
            <w:pPr>
              <w:tabs>
                <w:tab w:val="decimal" w:pos="492"/>
              </w:tabs>
            </w:pPr>
            <w:r>
              <w:t>1,5</w:t>
            </w:r>
          </w:p>
        </w:tc>
      </w:tr>
      <w:tr w:rsidR="00000000">
        <w:tc>
          <w:tcPr>
            <w:tcW w:w="2112" w:type="dxa"/>
            <w:tcMar>
              <w:left w:w="68" w:type="dxa"/>
              <w:right w:w="68" w:type="dxa"/>
            </w:tcMar>
            <w:vAlign w:val="bottom"/>
          </w:tcPr>
          <w:p w:rsidR="00000000" w:rsidRDefault="00000000">
            <w:r>
              <w:t>Fitri Batha</w:t>
            </w:r>
          </w:p>
        </w:tc>
        <w:tc>
          <w:tcPr>
            <w:tcW w:w="1418" w:type="dxa"/>
            <w:tcMar>
              <w:left w:w="68" w:type="dxa"/>
              <w:right w:w="68" w:type="dxa"/>
            </w:tcMar>
            <w:vAlign w:val="bottom"/>
          </w:tcPr>
          <w:p w:rsidR="00000000" w:rsidRDefault="00000000">
            <w:pPr>
              <w:tabs>
                <w:tab w:val="decimal" w:pos="1122"/>
              </w:tabs>
            </w:pPr>
            <w:r>
              <w:t>139.913</w:t>
            </w:r>
          </w:p>
        </w:tc>
        <w:tc>
          <w:tcPr>
            <w:tcW w:w="1418" w:type="dxa"/>
            <w:tcMar>
              <w:left w:w="68" w:type="dxa"/>
              <w:right w:w="68" w:type="dxa"/>
            </w:tcMar>
            <w:vAlign w:val="bottom"/>
          </w:tcPr>
          <w:p w:rsidR="00000000" w:rsidRDefault="00000000">
            <w:pPr>
              <w:tabs>
                <w:tab w:val="decimal" w:pos="1132"/>
              </w:tabs>
            </w:pPr>
            <w:r>
              <w:t>148.981</w:t>
            </w:r>
          </w:p>
        </w:tc>
        <w:tc>
          <w:tcPr>
            <w:tcW w:w="1419" w:type="dxa"/>
            <w:tcMar>
              <w:left w:w="68" w:type="dxa"/>
              <w:right w:w="68" w:type="dxa"/>
            </w:tcMar>
            <w:vAlign w:val="bottom"/>
          </w:tcPr>
          <w:p w:rsidR="00000000" w:rsidRDefault="00000000">
            <w:pPr>
              <w:tabs>
                <w:tab w:val="decimal" w:pos="1155"/>
              </w:tabs>
            </w:pPr>
            <w:r>
              <w:t>288.894</w:t>
            </w:r>
          </w:p>
        </w:tc>
        <w:tc>
          <w:tcPr>
            <w:tcW w:w="1134" w:type="dxa"/>
            <w:tcMar>
              <w:left w:w="68" w:type="dxa"/>
              <w:right w:w="68" w:type="dxa"/>
            </w:tcMar>
            <w:vAlign w:val="bottom"/>
          </w:tcPr>
          <w:p w:rsidR="00000000" w:rsidRDefault="00000000">
            <w:pPr>
              <w:tabs>
                <w:tab w:val="decimal" w:pos="604"/>
              </w:tabs>
            </w:pPr>
            <w:r>
              <w:t>4,7</w:t>
            </w:r>
          </w:p>
        </w:tc>
        <w:tc>
          <w:tcPr>
            <w:tcW w:w="1022" w:type="dxa"/>
            <w:tcMar>
              <w:left w:w="68" w:type="dxa"/>
              <w:right w:w="68" w:type="dxa"/>
            </w:tcMar>
            <w:vAlign w:val="bottom"/>
          </w:tcPr>
          <w:p w:rsidR="00000000" w:rsidRDefault="00000000">
            <w:pPr>
              <w:tabs>
                <w:tab w:val="decimal" w:pos="534"/>
              </w:tabs>
            </w:pPr>
            <w:r>
              <w:t>4,7</w:t>
            </w:r>
          </w:p>
        </w:tc>
        <w:tc>
          <w:tcPr>
            <w:tcW w:w="968" w:type="dxa"/>
            <w:tcMar>
              <w:left w:w="68" w:type="dxa"/>
              <w:right w:w="68" w:type="dxa"/>
            </w:tcMar>
            <w:vAlign w:val="bottom"/>
          </w:tcPr>
          <w:p w:rsidR="00000000" w:rsidRDefault="00000000">
            <w:pPr>
              <w:tabs>
                <w:tab w:val="decimal" w:pos="492"/>
              </w:tabs>
            </w:pPr>
            <w:r>
              <w:t>4,7</w:t>
            </w:r>
          </w:p>
        </w:tc>
      </w:tr>
      <w:tr w:rsidR="00000000">
        <w:tc>
          <w:tcPr>
            <w:tcW w:w="2112" w:type="dxa"/>
            <w:tcMar>
              <w:left w:w="68" w:type="dxa"/>
              <w:right w:w="68" w:type="dxa"/>
            </w:tcMar>
            <w:vAlign w:val="bottom"/>
          </w:tcPr>
          <w:p w:rsidR="00000000" w:rsidRDefault="00000000">
            <w:r>
              <w:t>Gorane</w:t>
            </w:r>
          </w:p>
        </w:tc>
        <w:tc>
          <w:tcPr>
            <w:tcW w:w="1418" w:type="dxa"/>
            <w:tcMar>
              <w:left w:w="68" w:type="dxa"/>
              <w:right w:w="68" w:type="dxa"/>
            </w:tcMar>
            <w:vAlign w:val="bottom"/>
          </w:tcPr>
          <w:p w:rsidR="00000000" w:rsidRDefault="00000000">
            <w:pPr>
              <w:tabs>
                <w:tab w:val="decimal" w:pos="1122"/>
              </w:tabs>
            </w:pPr>
            <w:r>
              <w:t>194.939</w:t>
            </w:r>
          </w:p>
        </w:tc>
        <w:tc>
          <w:tcPr>
            <w:tcW w:w="1418" w:type="dxa"/>
            <w:tcMar>
              <w:left w:w="68" w:type="dxa"/>
              <w:right w:w="68" w:type="dxa"/>
            </w:tcMar>
            <w:vAlign w:val="bottom"/>
          </w:tcPr>
          <w:p w:rsidR="00000000" w:rsidRDefault="00000000">
            <w:pPr>
              <w:tabs>
                <w:tab w:val="decimal" w:pos="1132"/>
              </w:tabs>
            </w:pPr>
            <w:r>
              <w:t>193.849</w:t>
            </w:r>
          </w:p>
        </w:tc>
        <w:tc>
          <w:tcPr>
            <w:tcW w:w="1419" w:type="dxa"/>
            <w:tcMar>
              <w:left w:w="68" w:type="dxa"/>
              <w:right w:w="68" w:type="dxa"/>
            </w:tcMar>
            <w:vAlign w:val="bottom"/>
          </w:tcPr>
          <w:p w:rsidR="00000000" w:rsidRDefault="00000000">
            <w:pPr>
              <w:tabs>
                <w:tab w:val="decimal" w:pos="1155"/>
              </w:tabs>
            </w:pPr>
            <w:r>
              <w:t>388.788</w:t>
            </w:r>
          </w:p>
        </w:tc>
        <w:tc>
          <w:tcPr>
            <w:tcW w:w="1134" w:type="dxa"/>
            <w:tcMar>
              <w:left w:w="68" w:type="dxa"/>
              <w:right w:w="68" w:type="dxa"/>
            </w:tcMar>
            <w:vAlign w:val="bottom"/>
          </w:tcPr>
          <w:p w:rsidR="00000000" w:rsidRDefault="00000000">
            <w:pPr>
              <w:tabs>
                <w:tab w:val="decimal" w:pos="604"/>
              </w:tabs>
            </w:pPr>
            <w:r>
              <w:t>6,5</w:t>
            </w:r>
          </w:p>
        </w:tc>
        <w:tc>
          <w:tcPr>
            <w:tcW w:w="1022" w:type="dxa"/>
            <w:tcMar>
              <w:left w:w="68" w:type="dxa"/>
              <w:right w:w="68" w:type="dxa"/>
            </w:tcMar>
            <w:vAlign w:val="bottom"/>
          </w:tcPr>
          <w:p w:rsidR="00000000" w:rsidRDefault="00000000">
            <w:pPr>
              <w:tabs>
                <w:tab w:val="decimal" w:pos="534"/>
              </w:tabs>
            </w:pPr>
            <w:r>
              <w:t>6,1</w:t>
            </w:r>
          </w:p>
        </w:tc>
        <w:tc>
          <w:tcPr>
            <w:tcW w:w="968" w:type="dxa"/>
            <w:tcMar>
              <w:left w:w="68" w:type="dxa"/>
              <w:right w:w="68" w:type="dxa"/>
            </w:tcMar>
            <w:vAlign w:val="bottom"/>
          </w:tcPr>
          <w:p w:rsidR="00000000" w:rsidRDefault="00000000">
            <w:pPr>
              <w:tabs>
                <w:tab w:val="decimal" w:pos="492"/>
              </w:tabs>
            </w:pPr>
            <w:r>
              <w:t>6,3</w:t>
            </w:r>
          </w:p>
        </w:tc>
      </w:tr>
      <w:tr w:rsidR="00000000">
        <w:tc>
          <w:tcPr>
            <w:tcW w:w="2112" w:type="dxa"/>
            <w:tcMar>
              <w:left w:w="68" w:type="dxa"/>
              <w:right w:w="68" w:type="dxa"/>
            </w:tcMar>
            <w:vAlign w:val="bottom"/>
          </w:tcPr>
          <w:p w:rsidR="00000000" w:rsidRDefault="00000000">
            <w:r>
              <w:t>Hadjaraï</w:t>
            </w:r>
          </w:p>
        </w:tc>
        <w:tc>
          <w:tcPr>
            <w:tcW w:w="1418" w:type="dxa"/>
            <w:tcMar>
              <w:left w:w="68" w:type="dxa"/>
              <w:right w:w="68" w:type="dxa"/>
            </w:tcMar>
            <w:vAlign w:val="bottom"/>
          </w:tcPr>
          <w:p w:rsidR="00000000" w:rsidRDefault="00000000">
            <w:pPr>
              <w:tabs>
                <w:tab w:val="decimal" w:pos="1122"/>
              </w:tabs>
            </w:pPr>
            <w:r>
              <w:t>192.808</w:t>
            </w:r>
          </w:p>
        </w:tc>
        <w:tc>
          <w:tcPr>
            <w:tcW w:w="1418" w:type="dxa"/>
            <w:tcMar>
              <w:left w:w="68" w:type="dxa"/>
              <w:right w:w="68" w:type="dxa"/>
            </w:tcMar>
            <w:vAlign w:val="bottom"/>
          </w:tcPr>
          <w:p w:rsidR="00000000" w:rsidRDefault="00000000">
            <w:pPr>
              <w:tabs>
                <w:tab w:val="decimal" w:pos="1132"/>
              </w:tabs>
            </w:pPr>
            <w:r>
              <w:t>221.111</w:t>
            </w:r>
          </w:p>
        </w:tc>
        <w:tc>
          <w:tcPr>
            <w:tcW w:w="1419" w:type="dxa"/>
            <w:tcMar>
              <w:left w:w="68" w:type="dxa"/>
              <w:right w:w="68" w:type="dxa"/>
            </w:tcMar>
            <w:vAlign w:val="bottom"/>
          </w:tcPr>
          <w:p w:rsidR="00000000" w:rsidRDefault="00000000">
            <w:pPr>
              <w:tabs>
                <w:tab w:val="decimal" w:pos="1155"/>
              </w:tabs>
            </w:pPr>
            <w:r>
              <w:t>413.919</w:t>
            </w:r>
          </w:p>
        </w:tc>
        <w:tc>
          <w:tcPr>
            <w:tcW w:w="1134" w:type="dxa"/>
            <w:tcMar>
              <w:left w:w="68" w:type="dxa"/>
              <w:right w:w="68" w:type="dxa"/>
            </w:tcMar>
            <w:vAlign w:val="bottom"/>
          </w:tcPr>
          <w:p w:rsidR="00000000" w:rsidRDefault="00000000">
            <w:pPr>
              <w:tabs>
                <w:tab w:val="decimal" w:pos="604"/>
              </w:tabs>
            </w:pPr>
            <w:r>
              <w:t>6,4</w:t>
            </w:r>
          </w:p>
        </w:tc>
        <w:tc>
          <w:tcPr>
            <w:tcW w:w="1022" w:type="dxa"/>
            <w:tcMar>
              <w:left w:w="68" w:type="dxa"/>
              <w:right w:w="68" w:type="dxa"/>
            </w:tcMar>
            <w:vAlign w:val="bottom"/>
          </w:tcPr>
          <w:p w:rsidR="00000000" w:rsidRDefault="00000000">
            <w:pPr>
              <w:tabs>
                <w:tab w:val="decimal" w:pos="534"/>
              </w:tabs>
            </w:pPr>
            <w:r>
              <w:t>6,9</w:t>
            </w:r>
          </w:p>
        </w:tc>
        <w:tc>
          <w:tcPr>
            <w:tcW w:w="968" w:type="dxa"/>
            <w:tcMar>
              <w:left w:w="68" w:type="dxa"/>
              <w:right w:w="68" w:type="dxa"/>
            </w:tcMar>
            <w:vAlign w:val="bottom"/>
          </w:tcPr>
          <w:p w:rsidR="00000000" w:rsidRDefault="00000000">
            <w:pPr>
              <w:tabs>
                <w:tab w:val="decimal" w:pos="492"/>
              </w:tabs>
            </w:pPr>
            <w:r>
              <w:t>6,7</w:t>
            </w:r>
          </w:p>
        </w:tc>
      </w:tr>
      <w:tr w:rsidR="00000000">
        <w:tc>
          <w:tcPr>
            <w:tcW w:w="2112" w:type="dxa"/>
            <w:tcMar>
              <w:left w:w="68" w:type="dxa"/>
              <w:right w:w="68" w:type="dxa"/>
            </w:tcMar>
            <w:vAlign w:val="bottom"/>
          </w:tcPr>
          <w:p w:rsidR="00000000" w:rsidRDefault="00000000">
            <w:r>
              <w:t>Kanem-Bornou</w:t>
            </w:r>
          </w:p>
        </w:tc>
        <w:tc>
          <w:tcPr>
            <w:tcW w:w="1418" w:type="dxa"/>
            <w:tcMar>
              <w:left w:w="68" w:type="dxa"/>
              <w:right w:w="68" w:type="dxa"/>
            </w:tcMar>
            <w:vAlign w:val="bottom"/>
          </w:tcPr>
          <w:p w:rsidR="00000000" w:rsidRDefault="00000000">
            <w:pPr>
              <w:tabs>
                <w:tab w:val="decimal" w:pos="1122"/>
              </w:tabs>
            </w:pPr>
            <w:r>
              <w:t>279.682</w:t>
            </w:r>
          </w:p>
        </w:tc>
        <w:tc>
          <w:tcPr>
            <w:tcW w:w="1418" w:type="dxa"/>
            <w:tcMar>
              <w:left w:w="68" w:type="dxa"/>
              <w:right w:w="68" w:type="dxa"/>
            </w:tcMar>
            <w:vAlign w:val="bottom"/>
          </w:tcPr>
          <w:p w:rsidR="00000000" w:rsidRDefault="00000000">
            <w:pPr>
              <w:tabs>
                <w:tab w:val="decimal" w:pos="1132"/>
              </w:tabs>
            </w:pPr>
            <w:r>
              <w:t>276.793</w:t>
            </w:r>
          </w:p>
        </w:tc>
        <w:tc>
          <w:tcPr>
            <w:tcW w:w="1419" w:type="dxa"/>
            <w:tcMar>
              <w:left w:w="68" w:type="dxa"/>
              <w:right w:w="68" w:type="dxa"/>
            </w:tcMar>
            <w:vAlign w:val="bottom"/>
          </w:tcPr>
          <w:p w:rsidR="00000000" w:rsidRDefault="00000000">
            <w:pPr>
              <w:tabs>
                <w:tab w:val="decimal" w:pos="1155"/>
              </w:tabs>
            </w:pPr>
            <w:r>
              <w:t>556.475</w:t>
            </w:r>
          </w:p>
        </w:tc>
        <w:tc>
          <w:tcPr>
            <w:tcW w:w="1134" w:type="dxa"/>
            <w:tcMar>
              <w:left w:w="68" w:type="dxa"/>
              <w:right w:w="68" w:type="dxa"/>
            </w:tcMar>
            <w:vAlign w:val="bottom"/>
          </w:tcPr>
          <w:p w:rsidR="00000000" w:rsidRDefault="00000000">
            <w:pPr>
              <w:tabs>
                <w:tab w:val="decimal" w:pos="604"/>
              </w:tabs>
            </w:pPr>
            <w:r>
              <w:t>9,3</w:t>
            </w:r>
          </w:p>
        </w:tc>
        <w:tc>
          <w:tcPr>
            <w:tcW w:w="1022" w:type="dxa"/>
            <w:tcMar>
              <w:left w:w="68" w:type="dxa"/>
              <w:right w:w="68" w:type="dxa"/>
            </w:tcMar>
            <w:vAlign w:val="bottom"/>
          </w:tcPr>
          <w:p w:rsidR="00000000" w:rsidRDefault="00000000">
            <w:pPr>
              <w:tabs>
                <w:tab w:val="decimal" w:pos="534"/>
              </w:tabs>
            </w:pPr>
            <w:r>
              <w:t>8,7</w:t>
            </w:r>
          </w:p>
        </w:tc>
        <w:tc>
          <w:tcPr>
            <w:tcW w:w="968" w:type="dxa"/>
            <w:tcMar>
              <w:left w:w="68" w:type="dxa"/>
              <w:right w:w="68" w:type="dxa"/>
            </w:tcMar>
            <w:vAlign w:val="bottom"/>
          </w:tcPr>
          <w:p w:rsidR="00000000" w:rsidRDefault="00000000">
            <w:pPr>
              <w:tabs>
                <w:tab w:val="decimal" w:pos="492"/>
              </w:tabs>
            </w:pPr>
            <w:r>
              <w:t>9,0</w:t>
            </w:r>
          </w:p>
        </w:tc>
      </w:tr>
      <w:tr w:rsidR="00000000">
        <w:tc>
          <w:tcPr>
            <w:tcW w:w="2112" w:type="dxa"/>
            <w:tcMar>
              <w:left w:w="68" w:type="dxa"/>
              <w:right w:w="68" w:type="dxa"/>
            </w:tcMar>
            <w:vAlign w:val="bottom"/>
          </w:tcPr>
          <w:p w:rsidR="00000000" w:rsidRDefault="00000000">
            <w:r>
              <w:t>Lac Iro</w:t>
            </w:r>
          </w:p>
        </w:tc>
        <w:tc>
          <w:tcPr>
            <w:tcW w:w="1418" w:type="dxa"/>
            <w:tcMar>
              <w:left w:w="68" w:type="dxa"/>
              <w:right w:w="68" w:type="dxa"/>
            </w:tcMar>
            <w:vAlign w:val="bottom"/>
          </w:tcPr>
          <w:p w:rsidR="00000000" w:rsidRDefault="00000000">
            <w:pPr>
              <w:tabs>
                <w:tab w:val="decimal" w:pos="1122"/>
              </w:tabs>
            </w:pPr>
            <w:r>
              <w:t>15.293</w:t>
            </w:r>
          </w:p>
        </w:tc>
        <w:tc>
          <w:tcPr>
            <w:tcW w:w="1418" w:type="dxa"/>
            <w:tcMar>
              <w:left w:w="68" w:type="dxa"/>
              <w:right w:w="68" w:type="dxa"/>
            </w:tcMar>
            <w:vAlign w:val="bottom"/>
          </w:tcPr>
          <w:p w:rsidR="00000000" w:rsidRDefault="00000000">
            <w:pPr>
              <w:tabs>
                <w:tab w:val="decimal" w:pos="1132"/>
              </w:tabs>
            </w:pPr>
            <w:r>
              <w:t>18.252</w:t>
            </w:r>
          </w:p>
        </w:tc>
        <w:tc>
          <w:tcPr>
            <w:tcW w:w="1419" w:type="dxa"/>
            <w:tcMar>
              <w:left w:w="68" w:type="dxa"/>
              <w:right w:w="68" w:type="dxa"/>
            </w:tcMar>
            <w:vAlign w:val="bottom"/>
          </w:tcPr>
          <w:p w:rsidR="00000000" w:rsidRDefault="00000000">
            <w:pPr>
              <w:tabs>
                <w:tab w:val="decimal" w:pos="1155"/>
              </w:tabs>
            </w:pPr>
            <w:r>
              <w:t>33.545</w:t>
            </w:r>
          </w:p>
        </w:tc>
        <w:tc>
          <w:tcPr>
            <w:tcW w:w="1134" w:type="dxa"/>
            <w:tcMar>
              <w:left w:w="68" w:type="dxa"/>
              <w:right w:w="68" w:type="dxa"/>
            </w:tcMar>
            <w:vAlign w:val="bottom"/>
          </w:tcPr>
          <w:p w:rsidR="00000000" w:rsidRDefault="00000000">
            <w:pPr>
              <w:tabs>
                <w:tab w:val="decimal" w:pos="604"/>
              </w:tabs>
            </w:pPr>
            <w:r>
              <w:t>0,5</w:t>
            </w:r>
          </w:p>
        </w:tc>
        <w:tc>
          <w:tcPr>
            <w:tcW w:w="1022" w:type="dxa"/>
            <w:tcMar>
              <w:left w:w="68" w:type="dxa"/>
              <w:right w:w="68" w:type="dxa"/>
            </w:tcMar>
            <w:vAlign w:val="bottom"/>
          </w:tcPr>
          <w:p w:rsidR="00000000" w:rsidRDefault="00000000">
            <w:pPr>
              <w:tabs>
                <w:tab w:val="decimal" w:pos="534"/>
              </w:tabs>
            </w:pPr>
            <w:r>
              <w:t>0,6</w:t>
            </w:r>
          </w:p>
        </w:tc>
        <w:tc>
          <w:tcPr>
            <w:tcW w:w="968" w:type="dxa"/>
            <w:tcMar>
              <w:left w:w="68" w:type="dxa"/>
              <w:right w:w="68" w:type="dxa"/>
            </w:tcMar>
            <w:vAlign w:val="bottom"/>
          </w:tcPr>
          <w:p w:rsidR="00000000" w:rsidRDefault="00000000">
            <w:pPr>
              <w:tabs>
                <w:tab w:val="decimal" w:pos="492"/>
              </w:tabs>
            </w:pPr>
            <w:r>
              <w:t>0,5</w:t>
            </w:r>
          </w:p>
        </w:tc>
      </w:tr>
      <w:tr w:rsidR="00000000">
        <w:tc>
          <w:tcPr>
            <w:tcW w:w="2112" w:type="dxa"/>
            <w:tcMar>
              <w:left w:w="68" w:type="dxa"/>
              <w:right w:w="68" w:type="dxa"/>
            </w:tcMar>
            <w:vAlign w:val="bottom"/>
          </w:tcPr>
          <w:p w:rsidR="00000000" w:rsidRDefault="00000000">
            <w:r>
              <w:t>Mayo Kebbi</w:t>
            </w:r>
          </w:p>
        </w:tc>
        <w:tc>
          <w:tcPr>
            <w:tcW w:w="1418" w:type="dxa"/>
            <w:tcMar>
              <w:left w:w="68" w:type="dxa"/>
              <w:right w:w="68" w:type="dxa"/>
            </w:tcMar>
            <w:vAlign w:val="bottom"/>
          </w:tcPr>
          <w:p w:rsidR="00000000" w:rsidRDefault="00000000">
            <w:pPr>
              <w:tabs>
                <w:tab w:val="decimal" w:pos="1122"/>
              </w:tabs>
            </w:pPr>
            <w:r>
              <w:t>343.832</w:t>
            </w:r>
          </w:p>
        </w:tc>
        <w:tc>
          <w:tcPr>
            <w:tcW w:w="1418" w:type="dxa"/>
            <w:tcMar>
              <w:left w:w="68" w:type="dxa"/>
              <w:right w:w="68" w:type="dxa"/>
            </w:tcMar>
            <w:vAlign w:val="bottom"/>
          </w:tcPr>
          <w:p w:rsidR="00000000" w:rsidRDefault="00000000">
            <w:pPr>
              <w:tabs>
                <w:tab w:val="decimal" w:pos="1132"/>
              </w:tabs>
            </w:pPr>
            <w:r>
              <w:t>369.995</w:t>
            </w:r>
          </w:p>
        </w:tc>
        <w:tc>
          <w:tcPr>
            <w:tcW w:w="1419" w:type="dxa"/>
            <w:tcMar>
              <w:left w:w="68" w:type="dxa"/>
              <w:right w:w="68" w:type="dxa"/>
            </w:tcMar>
            <w:vAlign w:val="bottom"/>
          </w:tcPr>
          <w:p w:rsidR="00000000" w:rsidRDefault="00000000">
            <w:pPr>
              <w:tabs>
                <w:tab w:val="decimal" w:pos="1155"/>
              </w:tabs>
            </w:pPr>
            <w:r>
              <w:t>713.827</w:t>
            </w:r>
          </w:p>
        </w:tc>
        <w:tc>
          <w:tcPr>
            <w:tcW w:w="1134" w:type="dxa"/>
            <w:tcMar>
              <w:left w:w="68" w:type="dxa"/>
              <w:right w:w="68" w:type="dxa"/>
            </w:tcMar>
            <w:vAlign w:val="bottom"/>
          </w:tcPr>
          <w:p w:rsidR="00000000" w:rsidRDefault="00000000">
            <w:pPr>
              <w:tabs>
                <w:tab w:val="decimal" w:pos="604"/>
              </w:tabs>
            </w:pPr>
            <w:r>
              <w:t>11,5</w:t>
            </w:r>
          </w:p>
        </w:tc>
        <w:tc>
          <w:tcPr>
            <w:tcW w:w="1022" w:type="dxa"/>
            <w:tcMar>
              <w:left w:w="68" w:type="dxa"/>
              <w:right w:w="68" w:type="dxa"/>
            </w:tcMar>
            <w:vAlign w:val="bottom"/>
          </w:tcPr>
          <w:p w:rsidR="00000000" w:rsidRDefault="00000000">
            <w:pPr>
              <w:tabs>
                <w:tab w:val="decimal" w:pos="534"/>
              </w:tabs>
            </w:pPr>
            <w:r>
              <w:t>11,6</w:t>
            </w:r>
          </w:p>
        </w:tc>
        <w:tc>
          <w:tcPr>
            <w:tcW w:w="968" w:type="dxa"/>
            <w:tcMar>
              <w:left w:w="68" w:type="dxa"/>
              <w:right w:w="68" w:type="dxa"/>
            </w:tcMar>
            <w:vAlign w:val="bottom"/>
          </w:tcPr>
          <w:p w:rsidR="00000000" w:rsidRDefault="00000000">
            <w:pPr>
              <w:tabs>
                <w:tab w:val="decimal" w:pos="492"/>
              </w:tabs>
            </w:pPr>
            <w:r>
              <w:t>11,5</w:t>
            </w:r>
          </w:p>
        </w:tc>
      </w:tr>
      <w:tr w:rsidR="00000000">
        <w:tc>
          <w:tcPr>
            <w:tcW w:w="2112" w:type="dxa"/>
            <w:tcMar>
              <w:left w:w="68" w:type="dxa"/>
              <w:right w:w="68" w:type="dxa"/>
            </w:tcMar>
            <w:vAlign w:val="bottom"/>
          </w:tcPr>
          <w:p w:rsidR="00000000" w:rsidRDefault="00000000">
            <w:r>
              <w:t>Ouaddaï</w:t>
            </w:r>
          </w:p>
        </w:tc>
        <w:tc>
          <w:tcPr>
            <w:tcW w:w="1418" w:type="dxa"/>
            <w:tcMar>
              <w:left w:w="68" w:type="dxa"/>
              <w:right w:w="68" w:type="dxa"/>
            </w:tcMar>
            <w:vAlign w:val="bottom"/>
          </w:tcPr>
          <w:p w:rsidR="00000000" w:rsidRDefault="00000000">
            <w:pPr>
              <w:tabs>
                <w:tab w:val="decimal" w:pos="1122"/>
              </w:tabs>
            </w:pPr>
            <w:r>
              <w:t>245.932</w:t>
            </w:r>
          </w:p>
        </w:tc>
        <w:tc>
          <w:tcPr>
            <w:tcW w:w="1418" w:type="dxa"/>
            <w:tcMar>
              <w:left w:w="68" w:type="dxa"/>
              <w:right w:w="68" w:type="dxa"/>
            </w:tcMar>
            <w:vAlign w:val="bottom"/>
          </w:tcPr>
          <w:p w:rsidR="00000000" w:rsidRDefault="00000000">
            <w:pPr>
              <w:tabs>
                <w:tab w:val="decimal" w:pos="1132"/>
              </w:tabs>
            </w:pPr>
            <w:r>
              <w:t>295.350</w:t>
            </w:r>
          </w:p>
        </w:tc>
        <w:tc>
          <w:tcPr>
            <w:tcW w:w="1419" w:type="dxa"/>
            <w:tcMar>
              <w:left w:w="68" w:type="dxa"/>
              <w:right w:w="68" w:type="dxa"/>
            </w:tcMar>
            <w:vAlign w:val="bottom"/>
          </w:tcPr>
          <w:p w:rsidR="00000000" w:rsidRDefault="00000000">
            <w:pPr>
              <w:tabs>
                <w:tab w:val="decimal" w:pos="1155"/>
              </w:tabs>
            </w:pPr>
            <w:r>
              <w:t>541.282</w:t>
            </w:r>
          </w:p>
        </w:tc>
        <w:tc>
          <w:tcPr>
            <w:tcW w:w="1134" w:type="dxa"/>
            <w:tcMar>
              <w:left w:w="68" w:type="dxa"/>
              <w:right w:w="68" w:type="dxa"/>
            </w:tcMar>
            <w:vAlign w:val="bottom"/>
          </w:tcPr>
          <w:p w:rsidR="00000000" w:rsidRDefault="00000000">
            <w:pPr>
              <w:tabs>
                <w:tab w:val="decimal" w:pos="604"/>
              </w:tabs>
            </w:pPr>
            <w:r>
              <w:t>8,2</w:t>
            </w:r>
          </w:p>
        </w:tc>
        <w:tc>
          <w:tcPr>
            <w:tcW w:w="1022" w:type="dxa"/>
            <w:tcMar>
              <w:left w:w="68" w:type="dxa"/>
              <w:right w:w="68" w:type="dxa"/>
            </w:tcMar>
            <w:vAlign w:val="bottom"/>
          </w:tcPr>
          <w:p w:rsidR="00000000" w:rsidRDefault="00000000">
            <w:pPr>
              <w:tabs>
                <w:tab w:val="decimal" w:pos="534"/>
              </w:tabs>
            </w:pPr>
            <w:r>
              <w:t>9,3</w:t>
            </w:r>
          </w:p>
        </w:tc>
        <w:tc>
          <w:tcPr>
            <w:tcW w:w="968" w:type="dxa"/>
            <w:tcMar>
              <w:left w:w="68" w:type="dxa"/>
              <w:right w:w="68" w:type="dxa"/>
            </w:tcMar>
            <w:vAlign w:val="bottom"/>
          </w:tcPr>
          <w:p w:rsidR="00000000" w:rsidRDefault="00000000">
            <w:pPr>
              <w:tabs>
                <w:tab w:val="decimal" w:pos="492"/>
              </w:tabs>
            </w:pPr>
            <w:r>
              <w:t>8,7</w:t>
            </w:r>
          </w:p>
        </w:tc>
      </w:tr>
      <w:tr w:rsidR="00000000">
        <w:tc>
          <w:tcPr>
            <w:tcW w:w="2112" w:type="dxa"/>
            <w:tcMar>
              <w:left w:w="68" w:type="dxa"/>
              <w:right w:w="68" w:type="dxa"/>
            </w:tcMar>
            <w:vAlign w:val="bottom"/>
          </w:tcPr>
          <w:p w:rsidR="00000000" w:rsidRDefault="00000000">
            <w:r>
              <w:t>Peul</w:t>
            </w:r>
          </w:p>
        </w:tc>
        <w:tc>
          <w:tcPr>
            <w:tcW w:w="1418" w:type="dxa"/>
            <w:tcMar>
              <w:left w:w="68" w:type="dxa"/>
              <w:right w:w="68" w:type="dxa"/>
            </w:tcMar>
            <w:vAlign w:val="bottom"/>
          </w:tcPr>
          <w:p w:rsidR="00000000" w:rsidRDefault="00000000">
            <w:pPr>
              <w:tabs>
                <w:tab w:val="decimal" w:pos="1122"/>
              </w:tabs>
            </w:pPr>
            <w:r>
              <w:t>78.476</w:t>
            </w:r>
          </w:p>
        </w:tc>
        <w:tc>
          <w:tcPr>
            <w:tcW w:w="1418" w:type="dxa"/>
            <w:tcMar>
              <w:left w:w="68" w:type="dxa"/>
              <w:right w:w="68" w:type="dxa"/>
            </w:tcMar>
            <w:vAlign w:val="bottom"/>
          </w:tcPr>
          <w:p w:rsidR="00000000" w:rsidRDefault="00000000">
            <w:pPr>
              <w:tabs>
                <w:tab w:val="decimal" w:pos="1132"/>
              </w:tabs>
            </w:pPr>
            <w:r>
              <w:t>73.207</w:t>
            </w:r>
          </w:p>
        </w:tc>
        <w:tc>
          <w:tcPr>
            <w:tcW w:w="1419" w:type="dxa"/>
            <w:tcMar>
              <w:left w:w="68" w:type="dxa"/>
              <w:right w:w="68" w:type="dxa"/>
            </w:tcMar>
            <w:vAlign w:val="bottom"/>
          </w:tcPr>
          <w:p w:rsidR="00000000" w:rsidRDefault="00000000">
            <w:pPr>
              <w:tabs>
                <w:tab w:val="decimal" w:pos="1155"/>
              </w:tabs>
            </w:pPr>
            <w:r>
              <w:t>151.683</w:t>
            </w:r>
          </w:p>
        </w:tc>
        <w:tc>
          <w:tcPr>
            <w:tcW w:w="1134" w:type="dxa"/>
            <w:tcMar>
              <w:left w:w="68" w:type="dxa"/>
              <w:right w:w="68" w:type="dxa"/>
            </w:tcMar>
            <w:vAlign w:val="bottom"/>
          </w:tcPr>
          <w:p w:rsidR="00000000" w:rsidRDefault="00000000">
            <w:pPr>
              <w:tabs>
                <w:tab w:val="decimal" w:pos="604"/>
              </w:tabs>
            </w:pPr>
            <w:r>
              <w:t>2,6</w:t>
            </w:r>
          </w:p>
        </w:tc>
        <w:tc>
          <w:tcPr>
            <w:tcW w:w="1022" w:type="dxa"/>
            <w:tcMar>
              <w:left w:w="68" w:type="dxa"/>
              <w:right w:w="68" w:type="dxa"/>
            </w:tcMar>
            <w:vAlign w:val="bottom"/>
          </w:tcPr>
          <w:p w:rsidR="00000000" w:rsidRDefault="00000000">
            <w:pPr>
              <w:tabs>
                <w:tab w:val="decimal" w:pos="534"/>
              </w:tabs>
            </w:pPr>
            <w:r>
              <w:t>2,3</w:t>
            </w:r>
          </w:p>
        </w:tc>
        <w:tc>
          <w:tcPr>
            <w:tcW w:w="968" w:type="dxa"/>
            <w:tcMar>
              <w:left w:w="68" w:type="dxa"/>
              <w:right w:w="68" w:type="dxa"/>
            </w:tcMar>
            <w:vAlign w:val="bottom"/>
          </w:tcPr>
          <w:p w:rsidR="00000000" w:rsidRDefault="00000000">
            <w:pPr>
              <w:tabs>
                <w:tab w:val="decimal" w:pos="492"/>
              </w:tabs>
            </w:pPr>
            <w:r>
              <w:t>2,4</w:t>
            </w:r>
          </w:p>
        </w:tc>
      </w:tr>
      <w:tr w:rsidR="00000000">
        <w:tc>
          <w:tcPr>
            <w:tcW w:w="2112" w:type="dxa"/>
            <w:tcMar>
              <w:left w:w="68" w:type="dxa"/>
              <w:right w:w="68" w:type="dxa"/>
            </w:tcMar>
            <w:vAlign w:val="bottom"/>
          </w:tcPr>
          <w:p w:rsidR="00000000" w:rsidRDefault="00000000">
            <w:r>
              <w:t>Sara</w:t>
            </w:r>
          </w:p>
        </w:tc>
        <w:tc>
          <w:tcPr>
            <w:tcW w:w="1418" w:type="dxa"/>
            <w:tcMar>
              <w:left w:w="68" w:type="dxa"/>
              <w:right w:w="68" w:type="dxa"/>
            </w:tcMar>
            <w:vAlign w:val="bottom"/>
          </w:tcPr>
          <w:p w:rsidR="00000000" w:rsidRDefault="00000000">
            <w:pPr>
              <w:tabs>
                <w:tab w:val="decimal" w:pos="1122"/>
              </w:tabs>
            </w:pPr>
            <w:r>
              <w:t>831.583</w:t>
            </w:r>
          </w:p>
        </w:tc>
        <w:tc>
          <w:tcPr>
            <w:tcW w:w="1418" w:type="dxa"/>
            <w:tcMar>
              <w:left w:w="68" w:type="dxa"/>
              <w:right w:w="68" w:type="dxa"/>
            </w:tcMar>
            <w:vAlign w:val="bottom"/>
          </w:tcPr>
          <w:p w:rsidR="00000000" w:rsidRDefault="00000000">
            <w:pPr>
              <w:tabs>
                <w:tab w:val="decimal" w:pos="1132"/>
              </w:tabs>
            </w:pPr>
            <w:r>
              <w:t>883.183</w:t>
            </w:r>
          </w:p>
        </w:tc>
        <w:tc>
          <w:tcPr>
            <w:tcW w:w="1419" w:type="dxa"/>
            <w:tcMar>
              <w:left w:w="68" w:type="dxa"/>
              <w:right w:w="68" w:type="dxa"/>
            </w:tcMar>
            <w:vAlign w:val="bottom"/>
          </w:tcPr>
          <w:p w:rsidR="00000000" w:rsidRDefault="00000000">
            <w:pPr>
              <w:tabs>
                <w:tab w:val="decimal" w:pos="1155"/>
              </w:tabs>
            </w:pPr>
            <w:r>
              <w:t>1.714.766</w:t>
            </w:r>
          </w:p>
        </w:tc>
        <w:tc>
          <w:tcPr>
            <w:tcW w:w="1134" w:type="dxa"/>
            <w:tcMar>
              <w:left w:w="68" w:type="dxa"/>
              <w:right w:w="68" w:type="dxa"/>
            </w:tcMar>
            <w:vAlign w:val="bottom"/>
          </w:tcPr>
          <w:p w:rsidR="00000000" w:rsidRDefault="00000000">
            <w:pPr>
              <w:tabs>
                <w:tab w:val="decimal" w:pos="604"/>
              </w:tabs>
            </w:pPr>
            <w:r>
              <w:t>27,7</w:t>
            </w:r>
          </w:p>
        </w:tc>
        <w:tc>
          <w:tcPr>
            <w:tcW w:w="1022" w:type="dxa"/>
            <w:tcMar>
              <w:left w:w="68" w:type="dxa"/>
              <w:right w:w="68" w:type="dxa"/>
            </w:tcMar>
            <w:vAlign w:val="bottom"/>
          </w:tcPr>
          <w:p w:rsidR="00000000" w:rsidRDefault="00000000">
            <w:pPr>
              <w:tabs>
                <w:tab w:val="decimal" w:pos="534"/>
              </w:tabs>
            </w:pPr>
            <w:r>
              <w:t>27,7</w:t>
            </w:r>
          </w:p>
        </w:tc>
        <w:tc>
          <w:tcPr>
            <w:tcW w:w="968" w:type="dxa"/>
            <w:tcMar>
              <w:left w:w="68" w:type="dxa"/>
              <w:right w:w="68" w:type="dxa"/>
            </w:tcMar>
            <w:vAlign w:val="bottom"/>
          </w:tcPr>
          <w:p w:rsidR="00000000" w:rsidRDefault="00000000">
            <w:pPr>
              <w:tabs>
                <w:tab w:val="decimal" w:pos="492"/>
              </w:tabs>
            </w:pPr>
            <w:r>
              <w:t>27,7</w:t>
            </w:r>
          </w:p>
        </w:tc>
      </w:tr>
      <w:tr w:rsidR="00000000">
        <w:tc>
          <w:tcPr>
            <w:tcW w:w="2112" w:type="dxa"/>
            <w:tcMar>
              <w:left w:w="68" w:type="dxa"/>
              <w:right w:w="68" w:type="dxa"/>
            </w:tcMar>
            <w:vAlign w:val="bottom"/>
          </w:tcPr>
          <w:p w:rsidR="00000000" w:rsidRDefault="00000000">
            <w:r>
              <w:t>Tandjilé</w:t>
            </w:r>
          </w:p>
        </w:tc>
        <w:tc>
          <w:tcPr>
            <w:tcW w:w="1418" w:type="dxa"/>
            <w:tcMar>
              <w:left w:w="68" w:type="dxa"/>
              <w:right w:w="68" w:type="dxa"/>
            </w:tcMar>
            <w:vAlign w:val="bottom"/>
          </w:tcPr>
          <w:p w:rsidR="00000000" w:rsidRDefault="00000000">
            <w:pPr>
              <w:tabs>
                <w:tab w:val="decimal" w:pos="1122"/>
              </w:tabs>
            </w:pPr>
            <w:r>
              <w:t>191.657</w:t>
            </w:r>
          </w:p>
        </w:tc>
        <w:tc>
          <w:tcPr>
            <w:tcW w:w="1418" w:type="dxa"/>
            <w:tcMar>
              <w:left w:w="68" w:type="dxa"/>
              <w:right w:w="68" w:type="dxa"/>
            </w:tcMar>
            <w:vAlign w:val="bottom"/>
          </w:tcPr>
          <w:p w:rsidR="00000000" w:rsidRDefault="00000000">
            <w:pPr>
              <w:tabs>
                <w:tab w:val="decimal" w:pos="1132"/>
              </w:tabs>
            </w:pPr>
            <w:r>
              <w:t>209.222</w:t>
            </w:r>
          </w:p>
        </w:tc>
        <w:tc>
          <w:tcPr>
            <w:tcW w:w="1419" w:type="dxa"/>
            <w:tcMar>
              <w:left w:w="68" w:type="dxa"/>
              <w:right w:w="68" w:type="dxa"/>
            </w:tcMar>
            <w:vAlign w:val="bottom"/>
          </w:tcPr>
          <w:p w:rsidR="00000000" w:rsidRDefault="00000000">
            <w:pPr>
              <w:tabs>
                <w:tab w:val="decimal" w:pos="1155"/>
              </w:tabs>
            </w:pPr>
            <w:r>
              <w:t>440.879</w:t>
            </w:r>
          </w:p>
        </w:tc>
        <w:tc>
          <w:tcPr>
            <w:tcW w:w="1134" w:type="dxa"/>
            <w:tcMar>
              <w:left w:w="68" w:type="dxa"/>
              <w:right w:w="68" w:type="dxa"/>
            </w:tcMar>
            <w:vAlign w:val="bottom"/>
          </w:tcPr>
          <w:p w:rsidR="00000000" w:rsidRDefault="00000000">
            <w:pPr>
              <w:tabs>
                <w:tab w:val="decimal" w:pos="604"/>
              </w:tabs>
            </w:pPr>
            <w:r>
              <w:t>6,4</w:t>
            </w:r>
          </w:p>
        </w:tc>
        <w:tc>
          <w:tcPr>
            <w:tcW w:w="1022" w:type="dxa"/>
            <w:tcMar>
              <w:left w:w="68" w:type="dxa"/>
              <w:right w:w="68" w:type="dxa"/>
            </w:tcMar>
            <w:vAlign w:val="bottom"/>
          </w:tcPr>
          <w:p w:rsidR="00000000" w:rsidRDefault="00000000">
            <w:pPr>
              <w:tabs>
                <w:tab w:val="decimal" w:pos="534"/>
              </w:tabs>
            </w:pPr>
            <w:r>
              <w:t>6,6</w:t>
            </w:r>
          </w:p>
        </w:tc>
        <w:tc>
          <w:tcPr>
            <w:tcW w:w="968" w:type="dxa"/>
            <w:tcMar>
              <w:left w:w="68" w:type="dxa"/>
              <w:right w:w="68" w:type="dxa"/>
            </w:tcMar>
            <w:vAlign w:val="bottom"/>
          </w:tcPr>
          <w:p w:rsidR="00000000" w:rsidRDefault="00000000">
            <w:pPr>
              <w:tabs>
                <w:tab w:val="decimal" w:pos="492"/>
              </w:tabs>
            </w:pPr>
            <w:r>
              <w:t>6,5</w:t>
            </w:r>
          </w:p>
        </w:tc>
      </w:tr>
      <w:tr w:rsidR="00000000">
        <w:tc>
          <w:tcPr>
            <w:tcW w:w="2112" w:type="dxa"/>
            <w:tcMar>
              <w:left w:w="68" w:type="dxa"/>
              <w:right w:w="68" w:type="dxa"/>
            </w:tcMar>
            <w:vAlign w:val="bottom"/>
          </w:tcPr>
          <w:p w:rsidR="00000000" w:rsidRDefault="00000000">
            <w:r>
              <w:t>Otros</w:t>
            </w:r>
          </w:p>
        </w:tc>
        <w:tc>
          <w:tcPr>
            <w:tcW w:w="1418" w:type="dxa"/>
            <w:tcMar>
              <w:left w:w="68" w:type="dxa"/>
              <w:right w:w="68" w:type="dxa"/>
            </w:tcMar>
            <w:vAlign w:val="bottom"/>
          </w:tcPr>
          <w:p w:rsidR="00000000" w:rsidRDefault="00000000">
            <w:pPr>
              <w:tabs>
                <w:tab w:val="decimal" w:pos="1122"/>
              </w:tabs>
            </w:pPr>
            <w:r>
              <w:t>14.776</w:t>
            </w:r>
          </w:p>
        </w:tc>
        <w:tc>
          <w:tcPr>
            <w:tcW w:w="1418" w:type="dxa"/>
            <w:tcMar>
              <w:left w:w="68" w:type="dxa"/>
              <w:right w:w="68" w:type="dxa"/>
            </w:tcMar>
            <w:vAlign w:val="bottom"/>
          </w:tcPr>
          <w:p w:rsidR="00000000" w:rsidRDefault="00000000">
            <w:pPr>
              <w:tabs>
                <w:tab w:val="decimal" w:pos="1132"/>
              </w:tabs>
            </w:pPr>
            <w:r>
              <w:t>15.469</w:t>
            </w:r>
          </w:p>
        </w:tc>
        <w:tc>
          <w:tcPr>
            <w:tcW w:w="1419" w:type="dxa"/>
            <w:tcMar>
              <w:left w:w="68" w:type="dxa"/>
              <w:right w:w="68" w:type="dxa"/>
            </w:tcMar>
            <w:vAlign w:val="bottom"/>
          </w:tcPr>
          <w:p w:rsidR="00000000" w:rsidRDefault="00000000">
            <w:pPr>
              <w:tabs>
                <w:tab w:val="decimal" w:pos="1155"/>
              </w:tabs>
            </w:pPr>
            <w:r>
              <w:t>30.245</w:t>
            </w:r>
          </w:p>
        </w:tc>
        <w:tc>
          <w:tcPr>
            <w:tcW w:w="1134" w:type="dxa"/>
            <w:tcMar>
              <w:left w:w="68" w:type="dxa"/>
              <w:right w:w="68" w:type="dxa"/>
            </w:tcMar>
            <w:vAlign w:val="bottom"/>
          </w:tcPr>
          <w:p w:rsidR="00000000" w:rsidRDefault="00000000">
            <w:pPr>
              <w:tabs>
                <w:tab w:val="decimal" w:pos="604"/>
              </w:tabs>
            </w:pPr>
            <w:r>
              <w:t>0,5</w:t>
            </w:r>
          </w:p>
        </w:tc>
        <w:tc>
          <w:tcPr>
            <w:tcW w:w="1022" w:type="dxa"/>
            <w:tcMar>
              <w:left w:w="68" w:type="dxa"/>
              <w:right w:w="68" w:type="dxa"/>
            </w:tcMar>
            <w:vAlign w:val="bottom"/>
          </w:tcPr>
          <w:p w:rsidR="00000000" w:rsidRDefault="00000000">
            <w:pPr>
              <w:tabs>
                <w:tab w:val="decimal" w:pos="534"/>
              </w:tabs>
            </w:pPr>
            <w:r>
              <w:t>0,5</w:t>
            </w:r>
          </w:p>
        </w:tc>
        <w:tc>
          <w:tcPr>
            <w:tcW w:w="968" w:type="dxa"/>
            <w:tcMar>
              <w:left w:w="68" w:type="dxa"/>
              <w:right w:w="68" w:type="dxa"/>
            </w:tcMar>
            <w:vAlign w:val="bottom"/>
          </w:tcPr>
          <w:p w:rsidR="00000000" w:rsidRDefault="00000000">
            <w:pPr>
              <w:tabs>
                <w:tab w:val="decimal" w:pos="492"/>
              </w:tabs>
            </w:pPr>
            <w:r>
              <w:t>0,5</w:t>
            </w:r>
          </w:p>
        </w:tc>
      </w:tr>
      <w:tr w:rsidR="00000000">
        <w:tc>
          <w:tcPr>
            <w:tcW w:w="2112" w:type="dxa"/>
            <w:tcMar>
              <w:left w:w="68" w:type="dxa"/>
              <w:right w:w="68" w:type="dxa"/>
            </w:tcMar>
            <w:vAlign w:val="bottom"/>
          </w:tcPr>
          <w:p w:rsidR="00000000" w:rsidRDefault="00000000">
            <w:r>
              <w:t>Varios</w:t>
            </w:r>
          </w:p>
        </w:tc>
        <w:tc>
          <w:tcPr>
            <w:tcW w:w="1418" w:type="dxa"/>
            <w:tcMar>
              <w:left w:w="68" w:type="dxa"/>
              <w:right w:w="68" w:type="dxa"/>
            </w:tcMar>
            <w:vAlign w:val="bottom"/>
          </w:tcPr>
          <w:p w:rsidR="00000000" w:rsidRDefault="00000000">
            <w:pPr>
              <w:tabs>
                <w:tab w:val="decimal" w:pos="1122"/>
              </w:tabs>
            </w:pPr>
            <w:r>
              <w:t>23.051</w:t>
            </w:r>
          </w:p>
        </w:tc>
        <w:tc>
          <w:tcPr>
            <w:tcW w:w="1418" w:type="dxa"/>
            <w:tcMar>
              <w:left w:w="68" w:type="dxa"/>
              <w:right w:w="68" w:type="dxa"/>
            </w:tcMar>
            <w:vAlign w:val="bottom"/>
          </w:tcPr>
          <w:p w:rsidR="00000000" w:rsidRDefault="00000000">
            <w:pPr>
              <w:tabs>
                <w:tab w:val="decimal" w:pos="1132"/>
              </w:tabs>
            </w:pPr>
            <w:r>
              <w:t>21.943</w:t>
            </w:r>
          </w:p>
        </w:tc>
        <w:tc>
          <w:tcPr>
            <w:tcW w:w="1419" w:type="dxa"/>
            <w:tcMar>
              <w:left w:w="68" w:type="dxa"/>
              <w:right w:w="68" w:type="dxa"/>
            </w:tcMar>
            <w:vAlign w:val="bottom"/>
          </w:tcPr>
          <w:p w:rsidR="00000000" w:rsidRDefault="00000000">
            <w:pPr>
              <w:tabs>
                <w:tab w:val="decimal" w:pos="1155"/>
              </w:tabs>
            </w:pPr>
            <w:r>
              <w:t>44.994</w:t>
            </w:r>
          </w:p>
        </w:tc>
        <w:tc>
          <w:tcPr>
            <w:tcW w:w="1134" w:type="dxa"/>
            <w:tcMar>
              <w:left w:w="68" w:type="dxa"/>
              <w:right w:w="68" w:type="dxa"/>
            </w:tcMar>
            <w:vAlign w:val="bottom"/>
          </w:tcPr>
          <w:p w:rsidR="00000000" w:rsidRDefault="00000000">
            <w:pPr>
              <w:tabs>
                <w:tab w:val="decimal" w:pos="604"/>
              </w:tabs>
            </w:pPr>
            <w:r>
              <w:t>0,8</w:t>
            </w:r>
          </w:p>
        </w:tc>
        <w:tc>
          <w:tcPr>
            <w:tcW w:w="1022" w:type="dxa"/>
            <w:tcMar>
              <w:left w:w="68" w:type="dxa"/>
              <w:right w:w="68" w:type="dxa"/>
            </w:tcMar>
            <w:vAlign w:val="bottom"/>
          </w:tcPr>
          <w:p w:rsidR="00000000" w:rsidRDefault="00000000">
            <w:pPr>
              <w:tabs>
                <w:tab w:val="decimal" w:pos="534"/>
              </w:tabs>
            </w:pPr>
            <w:r>
              <w:t>0,7</w:t>
            </w:r>
          </w:p>
        </w:tc>
        <w:tc>
          <w:tcPr>
            <w:tcW w:w="968" w:type="dxa"/>
            <w:tcMar>
              <w:left w:w="68" w:type="dxa"/>
              <w:right w:w="68" w:type="dxa"/>
            </w:tcMar>
            <w:vAlign w:val="bottom"/>
          </w:tcPr>
          <w:p w:rsidR="00000000" w:rsidRDefault="00000000">
            <w:pPr>
              <w:tabs>
                <w:tab w:val="decimal" w:pos="492"/>
              </w:tabs>
            </w:pPr>
            <w:r>
              <w:t>0,7</w:t>
            </w:r>
          </w:p>
        </w:tc>
      </w:tr>
      <w:tr w:rsidR="00000000">
        <w:tc>
          <w:tcPr>
            <w:tcW w:w="2112" w:type="dxa"/>
            <w:tcMar>
              <w:left w:w="68" w:type="dxa"/>
              <w:right w:w="68" w:type="dxa"/>
            </w:tcMar>
            <w:vAlign w:val="bottom"/>
          </w:tcPr>
          <w:p w:rsidR="00000000" w:rsidRDefault="00000000">
            <w:r>
              <w:t>Extranjeros</w:t>
            </w:r>
          </w:p>
        </w:tc>
        <w:tc>
          <w:tcPr>
            <w:tcW w:w="1418" w:type="dxa"/>
            <w:tcMar>
              <w:left w:w="68" w:type="dxa"/>
              <w:right w:w="68" w:type="dxa"/>
            </w:tcMar>
            <w:vAlign w:val="bottom"/>
          </w:tcPr>
          <w:p w:rsidR="00000000" w:rsidRDefault="00000000">
            <w:pPr>
              <w:tabs>
                <w:tab w:val="decimal" w:pos="1122"/>
              </w:tabs>
            </w:pPr>
            <w:r>
              <w:t>22.948</w:t>
            </w:r>
          </w:p>
        </w:tc>
        <w:tc>
          <w:tcPr>
            <w:tcW w:w="1418" w:type="dxa"/>
            <w:tcMar>
              <w:left w:w="68" w:type="dxa"/>
              <w:right w:w="68" w:type="dxa"/>
            </w:tcMar>
            <w:vAlign w:val="bottom"/>
          </w:tcPr>
          <w:p w:rsidR="00000000" w:rsidRDefault="00000000">
            <w:pPr>
              <w:tabs>
                <w:tab w:val="decimal" w:pos="1132"/>
              </w:tabs>
            </w:pPr>
            <w:r>
              <w:t>20.966</w:t>
            </w:r>
          </w:p>
        </w:tc>
        <w:tc>
          <w:tcPr>
            <w:tcW w:w="1419" w:type="dxa"/>
            <w:tcMar>
              <w:left w:w="68" w:type="dxa"/>
              <w:right w:w="68" w:type="dxa"/>
            </w:tcMar>
            <w:vAlign w:val="bottom"/>
          </w:tcPr>
          <w:p w:rsidR="00000000" w:rsidRDefault="00000000">
            <w:pPr>
              <w:tabs>
                <w:tab w:val="decimal" w:pos="1155"/>
              </w:tabs>
            </w:pPr>
            <w:r>
              <w:t>43.914</w:t>
            </w:r>
          </w:p>
        </w:tc>
        <w:tc>
          <w:tcPr>
            <w:tcW w:w="1134" w:type="dxa"/>
            <w:tcMar>
              <w:left w:w="68" w:type="dxa"/>
              <w:right w:w="68" w:type="dxa"/>
            </w:tcMar>
            <w:vAlign w:val="bottom"/>
          </w:tcPr>
          <w:p w:rsidR="00000000" w:rsidRDefault="00000000">
            <w:pPr>
              <w:tabs>
                <w:tab w:val="decimal" w:pos="604"/>
              </w:tabs>
            </w:pPr>
            <w:r>
              <w:t>0,8</w:t>
            </w:r>
          </w:p>
        </w:tc>
        <w:tc>
          <w:tcPr>
            <w:tcW w:w="1022" w:type="dxa"/>
            <w:tcMar>
              <w:left w:w="68" w:type="dxa"/>
              <w:right w:w="68" w:type="dxa"/>
            </w:tcMar>
            <w:vAlign w:val="bottom"/>
          </w:tcPr>
          <w:p w:rsidR="00000000" w:rsidRDefault="00000000">
            <w:pPr>
              <w:tabs>
                <w:tab w:val="decimal" w:pos="534"/>
              </w:tabs>
            </w:pPr>
            <w:r>
              <w:t>0,7</w:t>
            </w:r>
          </w:p>
        </w:tc>
        <w:tc>
          <w:tcPr>
            <w:tcW w:w="968" w:type="dxa"/>
            <w:tcMar>
              <w:left w:w="68" w:type="dxa"/>
              <w:right w:w="68" w:type="dxa"/>
            </w:tcMar>
            <w:vAlign w:val="bottom"/>
          </w:tcPr>
          <w:p w:rsidR="00000000" w:rsidRDefault="00000000">
            <w:pPr>
              <w:tabs>
                <w:tab w:val="decimal" w:pos="492"/>
              </w:tabs>
            </w:pPr>
            <w:r>
              <w:t>0,7</w:t>
            </w:r>
          </w:p>
        </w:tc>
      </w:tr>
      <w:tr w:rsidR="00000000">
        <w:tc>
          <w:tcPr>
            <w:tcW w:w="2112" w:type="dxa"/>
            <w:tcMar>
              <w:left w:w="68" w:type="dxa"/>
              <w:right w:w="68" w:type="dxa"/>
            </w:tcMar>
            <w:vAlign w:val="bottom"/>
          </w:tcPr>
          <w:p w:rsidR="00000000" w:rsidRDefault="00000000">
            <w:r>
              <w:t>Indeterminados</w:t>
            </w:r>
          </w:p>
        </w:tc>
        <w:tc>
          <w:tcPr>
            <w:tcW w:w="1418" w:type="dxa"/>
            <w:tcMar>
              <w:left w:w="68" w:type="dxa"/>
              <w:right w:w="68" w:type="dxa"/>
            </w:tcMar>
            <w:vAlign w:val="bottom"/>
          </w:tcPr>
          <w:p w:rsidR="00000000" w:rsidRDefault="00000000">
            <w:pPr>
              <w:tabs>
                <w:tab w:val="decimal" w:pos="1122"/>
              </w:tabs>
            </w:pPr>
            <w:r>
              <w:t>7.829</w:t>
            </w:r>
          </w:p>
        </w:tc>
        <w:tc>
          <w:tcPr>
            <w:tcW w:w="1418" w:type="dxa"/>
            <w:tcMar>
              <w:left w:w="68" w:type="dxa"/>
              <w:right w:w="68" w:type="dxa"/>
            </w:tcMar>
            <w:vAlign w:val="bottom"/>
          </w:tcPr>
          <w:p w:rsidR="00000000" w:rsidRDefault="00000000">
            <w:pPr>
              <w:tabs>
                <w:tab w:val="decimal" w:pos="1132"/>
              </w:tabs>
            </w:pPr>
            <w:r>
              <w:t>8.648</w:t>
            </w:r>
          </w:p>
        </w:tc>
        <w:tc>
          <w:tcPr>
            <w:tcW w:w="1419" w:type="dxa"/>
            <w:tcMar>
              <w:left w:w="68" w:type="dxa"/>
              <w:right w:w="68" w:type="dxa"/>
            </w:tcMar>
            <w:vAlign w:val="bottom"/>
          </w:tcPr>
          <w:p w:rsidR="00000000" w:rsidRDefault="00000000">
            <w:pPr>
              <w:tabs>
                <w:tab w:val="decimal" w:pos="1155"/>
              </w:tabs>
            </w:pPr>
            <w:r>
              <w:t>16.477</w:t>
            </w:r>
          </w:p>
        </w:tc>
        <w:tc>
          <w:tcPr>
            <w:tcW w:w="1134" w:type="dxa"/>
            <w:tcMar>
              <w:left w:w="68" w:type="dxa"/>
              <w:right w:w="68" w:type="dxa"/>
            </w:tcMar>
            <w:vAlign w:val="bottom"/>
          </w:tcPr>
          <w:p w:rsidR="00000000" w:rsidRDefault="00000000">
            <w:pPr>
              <w:tabs>
                <w:tab w:val="decimal" w:pos="604"/>
              </w:tabs>
            </w:pPr>
            <w:r>
              <w:t>0,3</w:t>
            </w:r>
          </w:p>
        </w:tc>
        <w:tc>
          <w:tcPr>
            <w:tcW w:w="1022" w:type="dxa"/>
            <w:tcMar>
              <w:left w:w="68" w:type="dxa"/>
              <w:right w:w="68" w:type="dxa"/>
            </w:tcMar>
            <w:vAlign w:val="bottom"/>
          </w:tcPr>
          <w:p w:rsidR="00000000" w:rsidRDefault="00000000">
            <w:pPr>
              <w:tabs>
                <w:tab w:val="decimal" w:pos="534"/>
              </w:tabs>
            </w:pPr>
            <w:r>
              <w:t>0,3</w:t>
            </w:r>
          </w:p>
        </w:tc>
        <w:tc>
          <w:tcPr>
            <w:tcW w:w="968" w:type="dxa"/>
            <w:tcMar>
              <w:left w:w="68" w:type="dxa"/>
              <w:right w:w="68" w:type="dxa"/>
            </w:tcMar>
            <w:vAlign w:val="bottom"/>
          </w:tcPr>
          <w:p w:rsidR="00000000" w:rsidRDefault="00000000">
            <w:pPr>
              <w:tabs>
                <w:tab w:val="decimal" w:pos="492"/>
              </w:tabs>
            </w:pPr>
            <w:r>
              <w:t>0,3</w:t>
            </w:r>
          </w:p>
        </w:tc>
      </w:tr>
      <w:tr w:rsidR="00000000">
        <w:tc>
          <w:tcPr>
            <w:tcW w:w="2112" w:type="dxa"/>
            <w:tcMar>
              <w:left w:w="68" w:type="dxa"/>
              <w:right w:w="68" w:type="dxa"/>
            </w:tcMar>
            <w:vAlign w:val="bottom"/>
          </w:tcPr>
          <w:p w:rsidR="00000000" w:rsidRDefault="00000000">
            <w:pPr>
              <w:ind w:left="336"/>
              <w:rPr>
                <w:b/>
              </w:rPr>
            </w:pPr>
            <w:r>
              <w:rPr>
                <w:b/>
              </w:rPr>
              <w:t>Total</w:t>
            </w:r>
          </w:p>
        </w:tc>
        <w:tc>
          <w:tcPr>
            <w:tcW w:w="1418" w:type="dxa"/>
            <w:tcMar>
              <w:left w:w="68" w:type="dxa"/>
              <w:right w:w="68" w:type="dxa"/>
            </w:tcMar>
            <w:vAlign w:val="bottom"/>
          </w:tcPr>
          <w:p w:rsidR="00000000" w:rsidRDefault="00000000">
            <w:pPr>
              <w:tabs>
                <w:tab w:val="decimal" w:pos="1122"/>
              </w:tabs>
              <w:rPr>
                <w:b/>
                <w:bCs/>
              </w:rPr>
            </w:pPr>
            <w:r>
              <w:rPr>
                <w:b/>
                <w:bCs/>
              </w:rPr>
              <w:t>3.001.371</w:t>
            </w:r>
          </w:p>
        </w:tc>
        <w:tc>
          <w:tcPr>
            <w:tcW w:w="1418" w:type="dxa"/>
            <w:tcMar>
              <w:left w:w="68" w:type="dxa"/>
              <w:right w:w="68" w:type="dxa"/>
            </w:tcMar>
            <w:vAlign w:val="bottom"/>
          </w:tcPr>
          <w:p w:rsidR="00000000" w:rsidRDefault="00000000">
            <w:pPr>
              <w:tabs>
                <w:tab w:val="decimal" w:pos="1132"/>
              </w:tabs>
              <w:rPr>
                <w:b/>
                <w:bCs/>
              </w:rPr>
            </w:pPr>
            <w:r>
              <w:rPr>
                <w:b/>
                <w:bCs/>
              </w:rPr>
              <w:t>3.192.167</w:t>
            </w:r>
          </w:p>
        </w:tc>
        <w:tc>
          <w:tcPr>
            <w:tcW w:w="1419" w:type="dxa"/>
            <w:tcMar>
              <w:left w:w="68" w:type="dxa"/>
              <w:right w:w="68" w:type="dxa"/>
            </w:tcMar>
            <w:vAlign w:val="bottom"/>
          </w:tcPr>
          <w:p w:rsidR="00000000" w:rsidRDefault="00000000">
            <w:pPr>
              <w:tabs>
                <w:tab w:val="decimal" w:pos="1155"/>
              </w:tabs>
              <w:rPr>
                <w:b/>
                <w:bCs/>
              </w:rPr>
            </w:pPr>
            <w:r>
              <w:rPr>
                <w:b/>
                <w:bCs/>
              </w:rPr>
              <w:t>6.193.538</w:t>
            </w:r>
          </w:p>
        </w:tc>
        <w:tc>
          <w:tcPr>
            <w:tcW w:w="1134" w:type="dxa"/>
            <w:tcMar>
              <w:left w:w="68" w:type="dxa"/>
              <w:right w:w="68" w:type="dxa"/>
            </w:tcMar>
            <w:vAlign w:val="bottom"/>
          </w:tcPr>
          <w:p w:rsidR="00000000" w:rsidRDefault="00000000">
            <w:pPr>
              <w:tabs>
                <w:tab w:val="decimal" w:pos="604"/>
              </w:tabs>
              <w:rPr>
                <w:b/>
                <w:bCs/>
              </w:rPr>
            </w:pPr>
            <w:r>
              <w:rPr>
                <w:b/>
                <w:bCs/>
              </w:rPr>
              <w:t>100,0</w:t>
            </w:r>
          </w:p>
        </w:tc>
        <w:tc>
          <w:tcPr>
            <w:tcW w:w="1022" w:type="dxa"/>
            <w:tcMar>
              <w:left w:w="68" w:type="dxa"/>
              <w:right w:w="68" w:type="dxa"/>
            </w:tcMar>
            <w:vAlign w:val="bottom"/>
          </w:tcPr>
          <w:p w:rsidR="00000000" w:rsidRDefault="00000000">
            <w:pPr>
              <w:tabs>
                <w:tab w:val="decimal" w:pos="534"/>
              </w:tabs>
              <w:rPr>
                <w:b/>
                <w:bCs/>
              </w:rPr>
            </w:pPr>
            <w:r>
              <w:rPr>
                <w:b/>
                <w:bCs/>
              </w:rPr>
              <w:t>100,0</w:t>
            </w:r>
          </w:p>
        </w:tc>
        <w:tc>
          <w:tcPr>
            <w:tcW w:w="968" w:type="dxa"/>
            <w:tcMar>
              <w:left w:w="68" w:type="dxa"/>
              <w:right w:w="68" w:type="dxa"/>
            </w:tcMar>
            <w:vAlign w:val="bottom"/>
          </w:tcPr>
          <w:p w:rsidR="00000000" w:rsidRDefault="00000000">
            <w:pPr>
              <w:tabs>
                <w:tab w:val="decimal" w:pos="492"/>
              </w:tabs>
              <w:rPr>
                <w:b/>
                <w:bCs/>
              </w:rPr>
            </w:pPr>
            <w:r>
              <w:rPr>
                <w:b/>
                <w:bCs/>
              </w:rPr>
              <w:t>100,0</w:t>
            </w:r>
          </w:p>
        </w:tc>
      </w:tr>
    </w:tbl>
    <w:p w:rsidR="00000000" w:rsidRDefault="00000000">
      <w:pPr>
        <w:spacing w:before="240" w:after="480"/>
      </w:pPr>
      <w:r>
        <w:rPr>
          <w:i/>
        </w:rPr>
        <w:t>Fuente:</w:t>
      </w:r>
      <w:r>
        <w:t xml:space="preserve">  RGPH de 1993.</w:t>
      </w:r>
    </w:p>
    <w:p w:rsidR="00000000" w:rsidRDefault="00000000">
      <w:pPr>
        <w:spacing w:after="240"/>
      </w:pPr>
      <w:r>
        <w:t>30.</w:t>
      </w:r>
      <w:r>
        <w:tab/>
        <w:t>Además, el cuadro 2 que sigue revela una distribución desigual de la población por sexo dentro de los grandes grupos étnicos.  En efecto, se observa que hay más hombres que mujeres en los grupos étnicos Peul, Kanem-Bornou y Gourane.  Lo mismo sucede en el grupo "varios" y en los "extranjeros", en su mayoría hombres migrantes en busca de empleo.</w:t>
      </w:r>
    </w:p>
    <w:p w:rsidR="00000000" w:rsidRDefault="00000000">
      <w:pPr>
        <w:spacing w:after="240"/>
      </w:pPr>
      <w:r>
        <w:t>31.</w:t>
      </w:r>
      <w:r>
        <w:tab/>
        <w:t>Las mujeres predominan en cambio en los demás grupos étnicos, pero esta predominancia es mayor sobre todo en los grupos Ouaddaï, Lac Iro y Hadjaraï, cuya relación de masculinidad es inferior a 90, es decir, que hay menos de 90 hombres por 100 mujeres.  Este déficit podría corresponder a una emigración mayor de los hombres de estas etnias a las demás regiones del país o al extranjero.</w:t>
      </w:r>
    </w:p>
    <w:p w:rsidR="00000000" w:rsidRDefault="00000000">
      <w:pPr>
        <w:spacing w:after="240"/>
        <w:jc w:val="center"/>
        <w:rPr>
          <w:b/>
        </w:rPr>
      </w:pPr>
      <w:r>
        <w:rPr>
          <w:b/>
        </w:rPr>
        <w:t>Cuadro 2</w:t>
      </w:r>
    </w:p>
    <w:p w:rsidR="00000000" w:rsidRDefault="00000000">
      <w:pPr>
        <w:spacing w:after="240"/>
        <w:jc w:val="center"/>
        <w:rPr>
          <w:b/>
        </w:rPr>
      </w:pPr>
      <w:r>
        <w:rPr>
          <w:b/>
        </w:rPr>
        <w:t>Distribución de la población residente de los grandes grupos étnicos,</w:t>
      </w:r>
      <w:r>
        <w:rPr>
          <w:b/>
        </w:rPr>
        <w:br/>
        <w:t>por sexo y por relación de masculinidad</w:t>
      </w:r>
    </w:p>
    <w:tbl>
      <w:tblPr>
        <w:tblW w:w="0" w:type="auto"/>
        <w:jc w:val="center"/>
        <w:tblInd w:w="-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Pr>
      <w:tblGrid>
        <w:gridCol w:w="2991"/>
        <w:gridCol w:w="1288"/>
        <w:gridCol w:w="1316"/>
        <w:gridCol w:w="1259"/>
        <w:gridCol w:w="1652"/>
      </w:tblGrid>
      <w:tr w:rsidR="00000000">
        <w:trPr>
          <w:cantSplit/>
          <w:jc w:val="center"/>
        </w:trPr>
        <w:tc>
          <w:tcPr>
            <w:tcW w:w="2991" w:type="dxa"/>
            <w:vMerge w:val="restart"/>
            <w:tcMar>
              <w:left w:w="68" w:type="dxa"/>
              <w:right w:w="68" w:type="dxa"/>
            </w:tcMar>
            <w:vAlign w:val="center"/>
          </w:tcPr>
          <w:p w:rsidR="00000000" w:rsidRDefault="00000000">
            <w:pPr>
              <w:rPr>
                <w:b/>
              </w:rPr>
            </w:pPr>
            <w:r>
              <w:rPr>
                <w:b/>
              </w:rPr>
              <w:t>Gran grupo étnico</w:t>
            </w:r>
          </w:p>
        </w:tc>
        <w:tc>
          <w:tcPr>
            <w:tcW w:w="3863" w:type="dxa"/>
            <w:gridSpan w:val="3"/>
            <w:tcMar>
              <w:left w:w="68" w:type="dxa"/>
              <w:right w:w="68" w:type="dxa"/>
            </w:tcMar>
            <w:vAlign w:val="center"/>
          </w:tcPr>
          <w:p w:rsidR="00000000" w:rsidRDefault="00000000">
            <w:pPr>
              <w:jc w:val="center"/>
              <w:rPr>
                <w:b/>
              </w:rPr>
            </w:pPr>
            <w:r>
              <w:rPr>
                <w:b/>
              </w:rPr>
              <w:t>Proporción</w:t>
            </w:r>
          </w:p>
        </w:tc>
        <w:tc>
          <w:tcPr>
            <w:tcW w:w="1652" w:type="dxa"/>
            <w:vMerge w:val="restart"/>
            <w:tcMar>
              <w:left w:w="68" w:type="dxa"/>
              <w:right w:w="68" w:type="dxa"/>
            </w:tcMar>
            <w:vAlign w:val="center"/>
          </w:tcPr>
          <w:p w:rsidR="00000000" w:rsidRDefault="00000000">
            <w:pPr>
              <w:jc w:val="center"/>
              <w:rPr>
                <w:b/>
              </w:rPr>
            </w:pPr>
            <w:r>
              <w:rPr>
                <w:b/>
              </w:rPr>
              <w:t>Relación de masculinidad</w:t>
            </w:r>
          </w:p>
        </w:tc>
      </w:tr>
      <w:tr w:rsidR="00000000">
        <w:trPr>
          <w:cantSplit/>
          <w:jc w:val="center"/>
        </w:trPr>
        <w:tc>
          <w:tcPr>
            <w:tcW w:w="2991" w:type="dxa"/>
            <w:vMerge/>
            <w:tcMar>
              <w:left w:w="68" w:type="dxa"/>
              <w:right w:w="68" w:type="dxa"/>
            </w:tcMar>
          </w:tcPr>
          <w:p w:rsidR="00000000" w:rsidRDefault="00000000"/>
        </w:tc>
        <w:tc>
          <w:tcPr>
            <w:tcW w:w="1288" w:type="dxa"/>
            <w:tcMar>
              <w:left w:w="68" w:type="dxa"/>
              <w:right w:w="68" w:type="dxa"/>
            </w:tcMar>
          </w:tcPr>
          <w:p w:rsidR="00000000" w:rsidRDefault="00000000">
            <w:pPr>
              <w:jc w:val="center"/>
              <w:rPr>
                <w:b/>
              </w:rPr>
            </w:pPr>
            <w:r>
              <w:rPr>
                <w:b/>
              </w:rPr>
              <w:t>Hombres</w:t>
            </w:r>
          </w:p>
        </w:tc>
        <w:tc>
          <w:tcPr>
            <w:tcW w:w="1316" w:type="dxa"/>
            <w:tcMar>
              <w:left w:w="68" w:type="dxa"/>
              <w:right w:w="68" w:type="dxa"/>
            </w:tcMar>
          </w:tcPr>
          <w:p w:rsidR="00000000" w:rsidRDefault="00000000">
            <w:pPr>
              <w:jc w:val="center"/>
              <w:rPr>
                <w:b/>
              </w:rPr>
            </w:pPr>
            <w:r>
              <w:rPr>
                <w:b/>
              </w:rPr>
              <w:t>Mujeres</w:t>
            </w:r>
          </w:p>
        </w:tc>
        <w:tc>
          <w:tcPr>
            <w:tcW w:w="1259" w:type="dxa"/>
            <w:tcMar>
              <w:left w:w="68" w:type="dxa"/>
              <w:right w:w="68" w:type="dxa"/>
            </w:tcMar>
          </w:tcPr>
          <w:p w:rsidR="00000000" w:rsidRDefault="00000000">
            <w:pPr>
              <w:jc w:val="center"/>
              <w:rPr>
                <w:b/>
              </w:rPr>
            </w:pPr>
            <w:r>
              <w:rPr>
                <w:b/>
              </w:rPr>
              <w:t>Total</w:t>
            </w:r>
          </w:p>
        </w:tc>
        <w:tc>
          <w:tcPr>
            <w:tcW w:w="1652" w:type="dxa"/>
            <w:vMerge/>
            <w:tcMar>
              <w:left w:w="68" w:type="dxa"/>
              <w:right w:w="68" w:type="dxa"/>
            </w:tcMar>
          </w:tcPr>
          <w:p w:rsidR="00000000" w:rsidRDefault="00000000">
            <w:pPr>
              <w:rPr>
                <w:b/>
              </w:rPr>
            </w:pPr>
          </w:p>
        </w:tc>
      </w:tr>
      <w:tr w:rsidR="00000000">
        <w:trPr>
          <w:jc w:val="center"/>
        </w:trPr>
        <w:tc>
          <w:tcPr>
            <w:tcW w:w="2991" w:type="dxa"/>
            <w:tcMar>
              <w:left w:w="68" w:type="dxa"/>
              <w:right w:w="68" w:type="dxa"/>
            </w:tcMar>
          </w:tcPr>
          <w:p w:rsidR="00000000" w:rsidRDefault="00000000">
            <w:r>
              <w:t>Árabe</w:t>
            </w:r>
          </w:p>
        </w:tc>
        <w:tc>
          <w:tcPr>
            <w:tcW w:w="1288" w:type="dxa"/>
            <w:tcMar>
              <w:left w:w="68" w:type="dxa"/>
              <w:right w:w="68" w:type="dxa"/>
            </w:tcMar>
          </w:tcPr>
          <w:p w:rsidR="00000000" w:rsidRDefault="00000000">
            <w:pPr>
              <w:tabs>
                <w:tab w:val="decimal" w:pos="549"/>
              </w:tabs>
              <w:ind w:right="20"/>
            </w:pPr>
            <w:r>
              <w:t>49,0</w:t>
            </w:r>
          </w:p>
        </w:tc>
        <w:tc>
          <w:tcPr>
            <w:tcW w:w="1316" w:type="dxa"/>
            <w:tcMar>
              <w:left w:w="68" w:type="dxa"/>
              <w:right w:w="68" w:type="dxa"/>
            </w:tcMar>
          </w:tcPr>
          <w:p w:rsidR="00000000" w:rsidRDefault="00000000">
            <w:pPr>
              <w:tabs>
                <w:tab w:val="decimal" w:pos="577"/>
              </w:tabs>
              <w:ind w:right="20"/>
            </w:pPr>
            <w:r>
              <w:t>51,0</w:t>
            </w:r>
          </w:p>
        </w:tc>
        <w:tc>
          <w:tcPr>
            <w:tcW w:w="1259" w:type="dxa"/>
            <w:tcMar>
              <w:left w:w="68" w:type="dxa"/>
              <w:right w:w="68" w:type="dxa"/>
            </w:tcMar>
          </w:tcPr>
          <w:p w:rsidR="00000000" w:rsidRDefault="00000000">
            <w:pPr>
              <w:tabs>
                <w:tab w:val="decimal" w:pos="632"/>
              </w:tabs>
              <w:ind w:right="20"/>
            </w:pPr>
            <w:r>
              <w:t>100,0</w:t>
            </w:r>
          </w:p>
        </w:tc>
        <w:tc>
          <w:tcPr>
            <w:tcW w:w="1652" w:type="dxa"/>
            <w:tcMar>
              <w:left w:w="68" w:type="dxa"/>
              <w:right w:w="68" w:type="dxa"/>
            </w:tcMar>
          </w:tcPr>
          <w:p w:rsidR="00000000" w:rsidRDefault="00000000">
            <w:pPr>
              <w:tabs>
                <w:tab w:val="decimal" w:pos="885"/>
              </w:tabs>
              <w:ind w:right="20"/>
            </w:pPr>
            <w:r>
              <w:t>96,1</w:t>
            </w:r>
          </w:p>
        </w:tc>
      </w:tr>
      <w:tr w:rsidR="00000000">
        <w:trPr>
          <w:jc w:val="center"/>
        </w:trPr>
        <w:tc>
          <w:tcPr>
            <w:tcW w:w="2991" w:type="dxa"/>
            <w:tcMar>
              <w:left w:w="68" w:type="dxa"/>
              <w:right w:w="68" w:type="dxa"/>
            </w:tcMar>
          </w:tcPr>
          <w:p w:rsidR="00000000" w:rsidRDefault="00000000">
            <w:r>
              <w:t>Baguirmien</w:t>
            </w:r>
          </w:p>
        </w:tc>
        <w:tc>
          <w:tcPr>
            <w:tcW w:w="1288" w:type="dxa"/>
            <w:tcMar>
              <w:left w:w="68" w:type="dxa"/>
              <w:right w:w="68" w:type="dxa"/>
            </w:tcMar>
          </w:tcPr>
          <w:p w:rsidR="00000000" w:rsidRDefault="00000000">
            <w:pPr>
              <w:tabs>
                <w:tab w:val="decimal" w:pos="549"/>
              </w:tabs>
              <w:ind w:right="20"/>
            </w:pPr>
            <w:r>
              <w:t>49,2</w:t>
            </w:r>
          </w:p>
        </w:tc>
        <w:tc>
          <w:tcPr>
            <w:tcW w:w="1316" w:type="dxa"/>
            <w:tcMar>
              <w:left w:w="68" w:type="dxa"/>
              <w:right w:w="68" w:type="dxa"/>
            </w:tcMar>
          </w:tcPr>
          <w:p w:rsidR="00000000" w:rsidRDefault="00000000">
            <w:pPr>
              <w:tabs>
                <w:tab w:val="decimal" w:pos="577"/>
              </w:tabs>
              <w:ind w:right="20"/>
            </w:pPr>
            <w:r>
              <w:t>50,8</w:t>
            </w:r>
          </w:p>
        </w:tc>
        <w:tc>
          <w:tcPr>
            <w:tcW w:w="1259" w:type="dxa"/>
            <w:tcMar>
              <w:left w:w="68" w:type="dxa"/>
              <w:right w:w="68" w:type="dxa"/>
            </w:tcMar>
          </w:tcPr>
          <w:p w:rsidR="00000000" w:rsidRDefault="00000000">
            <w:pPr>
              <w:tabs>
                <w:tab w:val="decimal" w:pos="632"/>
              </w:tabs>
              <w:ind w:right="20"/>
            </w:pPr>
            <w:r>
              <w:t>100,0</w:t>
            </w:r>
          </w:p>
        </w:tc>
        <w:tc>
          <w:tcPr>
            <w:tcW w:w="1652" w:type="dxa"/>
            <w:tcMar>
              <w:left w:w="68" w:type="dxa"/>
              <w:right w:w="68" w:type="dxa"/>
            </w:tcMar>
          </w:tcPr>
          <w:p w:rsidR="00000000" w:rsidRDefault="00000000">
            <w:pPr>
              <w:tabs>
                <w:tab w:val="decimal" w:pos="885"/>
              </w:tabs>
              <w:ind w:right="20"/>
            </w:pPr>
            <w:r>
              <w:t>96,8</w:t>
            </w:r>
          </w:p>
        </w:tc>
      </w:tr>
      <w:tr w:rsidR="00000000">
        <w:trPr>
          <w:jc w:val="center"/>
        </w:trPr>
        <w:tc>
          <w:tcPr>
            <w:tcW w:w="2991" w:type="dxa"/>
            <w:tcMar>
              <w:left w:w="68" w:type="dxa"/>
              <w:right w:w="68" w:type="dxa"/>
            </w:tcMar>
          </w:tcPr>
          <w:p w:rsidR="00000000" w:rsidRDefault="00000000">
            <w:r>
              <w:t>Fitri Batha</w:t>
            </w:r>
          </w:p>
        </w:tc>
        <w:tc>
          <w:tcPr>
            <w:tcW w:w="1288" w:type="dxa"/>
            <w:tcMar>
              <w:left w:w="68" w:type="dxa"/>
              <w:right w:w="68" w:type="dxa"/>
            </w:tcMar>
          </w:tcPr>
          <w:p w:rsidR="00000000" w:rsidRDefault="00000000">
            <w:pPr>
              <w:tabs>
                <w:tab w:val="decimal" w:pos="549"/>
              </w:tabs>
              <w:ind w:right="20"/>
            </w:pPr>
            <w:r>
              <w:t>48,4</w:t>
            </w:r>
          </w:p>
        </w:tc>
        <w:tc>
          <w:tcPr>
            <w:tcW w:w="1316" w:type="dxa"/>
            <w:tcMar>
              <w:left w:w="68" w:type="dxa"/>
              <w:right w:w="68" w:type="dxa"/>
            </w:tcMar>
          </w:tcPr>
          <w:p w:rsidR="00000000" w:rsidRDefault="00000000">
            <w:pPr>
              <w:tabs>
                <w:tab w:val="decimal" w:pos="577"/>
              </w:tabs>
              <w:ind w:right="20"/>
            </w:pPr>
            <w:r>
              <w:t>51,6</w:t>
            </w:r>
          </w:p>
        </w:tc>
        <w:tc>
          <w:tcPr>
            <w:tcW w:w="1259" w:type="dxa"/>
            <w:tcMar>
              <w:left w:w="68" w:type="dxa"/>
              <w:right w:w="68" w:type="dxa"/>
            </w:tcMar>
          </w:tcPr>
          <w:p w:rsidR="00000000" w:rsidRDefault="00000000">
            <w:pPr>
              <w:tabs>
                <w:tab w:val="decimal" w:pos="632"/>
              </w:tabs>
              <w:ind w:right="20"/>
            </w:pPr>
            <w:r>
              <w:t>100,0</w:t>
            </w:r>
          </w:p>
        </w:tc>
        <w:tc>
          <w:tcPr>
            <w:tcW w:w="1652" w:type="dxa"/>
            <w:tcMar>
              <w:left w:w="68" w:type="dxa"/>
              <w:right w:w="68" w:type="dxa"/>
            </w:tcMar>
          </w:tcPr>
          <w:p w:rsidR="00000000" w:rsidRDefault="00000000">
            <w:pPr>
              <w:tabs>
                <w:tab w:val="decimal" w:pos="885"/>
              </w:tabs>
              <w:ind w:right="20"/>
            </w:pPr>
            <w:r>
              <w:t>93,9</w:t>
            </w:r>
          </w:p>
        </w:tc>
      </w:tr>
      <w:tr w:rsidR="00000000">
        <w:trPr>
          <w:jc w:val="center"/>
        </w:trPr>
        <w:tc>
          <w:tcPr>
            <w:tcW w:w="2991" w:type="dxa"/>
            <w:tcMar>
              <w:left w:w="68" w:type="dxa"/>
              <w:right w:w="68" w:type="dxa"/>
            </w:tcMar>
          </w:tcPr>
          <w:p w:rsidR="00000000" w:rsidRDefault="00000000">
            <w:r>
              <w:t>Gorane</w:t>
            </w:r>
          </w:p>
        </w:tc>
        <w:tc>
          <w:tcPr>
            <w:tcW w:w="1288" w:type="dxa"/>
            <w:tcMar>
              <w:left w:w="68" w:type="dxa"/>
              <w:right w:w="68" w:type="dxa"/>
            </w:tcMar>
          </w:tcPr>
          <w:p w:rsidR="00000000" w:rsidRDefault="00000000">
            <w:pPr>
              <w:tabs>
                <w:tab w:val="decimal" w:pos="549"/>
              </w:tabs>
              <w:ind w:right="20"/>
            </w:pPr>
            <w:r>
              <w:t>50,1</w:t>
            </w:r>
          </w:p>
        </w:tc>
        <w:tc>
          <w:tcPr>
            <w:tcW w:w="1316" w:type="dxa"/>
            <w:tcMar>
              <w:left w:w="68" w:type="dxa"/>
              <w:right w:w="68" w:type="dxa"/>
            </w:tcMar>
          </w:tcPr>
          <w:p w:rsidR="00000000" w:rsidRDefault="00000000">
            <w:pPr>
              <w:tabs>
                <w:tab w:val="decimal" w:pos="577"/>
              </w:tabs>
              <w:ind w:right="20"/>
            </w:pPr>
            <w:r>
              <w:t>49,9</w:t>
            </w:r>
          </w:p>
        </w:tc>
        <w:tc>
          <w:tcPr>
            <w:tcW w:w="1259" w:type="dxa"/>
            <w:tcMar>
              <w:left w:w="68" w:type="dxa"/>
              <w:right w:w="68" w:type="dxa"/>
            </w:tcMar>
          </w:tcPr>
          <w:p w:rsidR="00000000" w:rsidRDefault="00000000">
            <w:pPr>
              <w:tabs>
                <w:tab w:val="decimal" w:pos="632"/>
              </w:tabs>
              <w:ind w:right="20"/>
            </w:pPr>
            <w:r>
              <w:t>100,0</w:t>
            </w:r>
          </w:p>
        </w:tc>
        <w:tc>
          <w:tcPr>
            <w:tcW w:w="1652" w:type="dxa"/>
            <w:tcMar>
              <w:left w:w="68" w:type="dxa"/>
              <w:right w:w="68" w:type="dxa"/>
            </w:tcMar>
          </w:tcPr>
          <w:p w:rsidR="00000000" w:rsidRDefault="00000000">
            <w:pPr>
              <w:tabs>
                <w:tab w:val="decimal" w:pos="885"/>
              </w:tabs>
              <w:ind w:right="20"/>
            </w:pPr>
            <w:r>
              <w:t>100,6</w:t>
            </w:r>
          </w:p>
        </w:tc>
      </w:tr>
      <w:tr w:rsidR="00000000">
        <w:trPr>
          <w:jc w:val="center"/>
        </w:trPr>
        <w:tc>
          <w:tcPr>
            <w:tcW w:w="2991" w:type="dxa"/>
            <w:tcMar>
              <w:left w:w="68" w:type="dxa"/>
              <w:right w:w="68" w:type="dxa"/>
            </w:tcMar>
          </w:tcPr>
          <w:p w:rsidR="00000000" w:rsidRDefault="00000000">
            <w:r>
              <w:t>Hadjaraï</w:t>
            </w:r>
          </w:p>
        </w:tc>
        <w:tc>
          <w:tcPr>
            <w:tcW w:w="1288" w:type="dxa"/>
            <w:tcMar>
              <w:left w:w="68" w:type="dxa"/>
              <w:right w:w="68" w:type="dxa"/>
            </w:tcMar>
          </w:tcPr>
          <w:p w:rsidR="00000000" w:rsidRDefault="00000000">
            <w:pPr>
              <w:tabs>
                <w:tab w:val="decimal" w:pos="549"/>
              </w:tabs>
              <w:ind w:right="20"/>
            </w:pPr>
            <w:r>
              <w:t>46,6</w:t>
            </w:r>
          </w:p>
        </w:tc>
        <w:tc>
          <w:tcPr>
            <w:tcW w:w="1316" w:type="dxa"/>
            <w:tcMar>
              <w:left w:w="68" w:type="dxa"/>
              <w:right w:w="68" w:type="dxa"/>
            </w:tcMar>
          </w:tcPr>
          <w:p w:rsidR="00000000" w:rsidRDefault="00000000">
            <w:pPr>
              <w:tabs>
                <w:tab w:val="decimal" w:pos="577"/>
              </w:tabs>
              <w:ind w:right="20"/>
            </w:pPr>
            <w:r>
              <w:t>53,4</w:t>
            </w:r>
          </w:p>
        </w:tc>
        <w:tc>
          <w:tcPr>
            <w:tcW w:w="1259" w:type="dxa"/>
            <w:tcMar>
              <w:left w:w="68" w:type="dxa"/>
              <w:right w:w="68" w:type="dxa"/>
            </w:tcMar>
          </w:tcPr>
          <w:p w:rsidR="00000000" w:rsidRDefault="00000000">
            <w:pPr>
              <w:tabs>
                <w:tab w:val="decimal" w:pos="632"/>
              </w:tabs>
              <w:ind w:right="20"/>
            </w:pPr>
            <w:r>
              <w:t>100,0</w:t>
            </w:r>
          </w:p>
        </w:tc>
        <w:tc>
          <w:tcPr>
            <w:tcW w:w="1652" w:type="dxa"/>
            <w:tcMar>
              <w:left w:w="68" w:type="dxa"/>
              <w:right w:w="68" w:type="dxa"/>
            </w:tcMar>
          </w:tcPr>
          <w:p w:rsidR="00000000" w:rsidRDefault="00000000">
            <w:pPr>
              <w:tabs>
                <w:tab w:val="decimal" w:pos="885"/>
              </w:tabs>
              <w:ind w:right="20"/>
            </w:pPr>
            <w:r>
              <w:t>87,2</w:t>
            </w:r>
          </w:p>
        </w:tc>
      </w:tr>
      <w:tr w:rsidR="00000000">
        <w:trPr>
          <w:jc w:val="center"/>
        </w:trPr>
        <w:tc>
          <w:tcPr>
            <w:tcW w:w="2991" w:type="dxa"/>
            <w:tcMar>
              <w:left w:w="68" w:type="dxa"/>
              <w:right w:w="68" w:type="dxa"/>
            </w:tcMar>
          </w:tcPr>
          <w:p w:rsidR="00000000" w:rsidRDefault="00000000">
            <w:r>
              <w:t>Kanem-Bornou</w:t>
            </w:r>
          </w:p>
        </w:tc>
        <w:tc>
          <w:tcPr>
            <w:tcW w:w="1288" w:type="dxa"/>
            <w:tcMar>
              <w:left w:w="68" w:type="dxa"/>
              <w:right w:w="68" w:type="dxa"/>
            </w:tcMar>
          </w:tcPr>
          <w:p w:rsidR="00000000" w:rsidRDefault="00000000">
            <w:pPr>
              <w:tabs>
                <w:tab w:val="decimal" w:pos="549"/>
              </w:tabs>
              <w:ind w:right="20"/>
            </w:pPr>
            <w:r>
              <w:t>50,3</w:t>
            </w:r>
          </w:p>
        </w:tc>
        <w:tc>
          <w:tcPr>
            <w:tcW w:w="1316" w:type="dxa"/>
            <w:tcMar>
              <w:left w:w="68" w:type="dxa"/>
              <w:right w:w="68" w:type="dxa"/>
            </w:tcMar>
          </w:tcPr>
          <w:p w:rsidR="00000000" w:rsidRDefault="00000000">
            <w:pPr>
              <w:tabs>
                <w:tab w:val="decimal" w:pos="577"/>
              </w:tabs>
              <w:ind w:right="20"/>
            </w:pPr>
            <w:r>
              <w:t>49,7</w:t>
            </w:r>
          </w:p>
        </w:tc>
        <w:tc>
          <w:tcPr>
            <w:tcW w:w="1259" w:type="dxa"/>
            <w:tcMar>
              <w:left w:w="68" w:type="dxa"/>
              <w:right w:w="68" w:type="dxa"/>
            </w:tcMar>
          </w:tcPr>
          <w:p w:rsidR="00000000" w:rsidRDefault="00000000">
            <w:pPr>
              <w:tabs>
                <w:tab w:val="decimal" w:pos="632"/>
              </w:tabs>
              <w:ind w:right="20"/>
            </w:pPr>
            <w:r>
              <w:t>100,0</w:t>
            </w:r>
          </w:p>
        </w:tc>
        <w:tc>
          <w:tcPr>
            <w:tcW w:w="1652" w:type="dxa"/>
            <w:tcMar>
              <w:left w:w="68" w:type="dxa"/>
              <w:right w:w="68" w:type="dxa"/>
            </w:tcMar>
          </w:tcPr>
          <w:p w:rsidR="00000000" w:rsidRDefault="00000000">
            <w:pPr>
              <w:tabs>
                <w:tab w:val="decimal" w:pos="885"/>
              </w:tabs>
              <w:ind w:right="20"/>
            </w:pPr>
            <w:r>
              <w:t>101,0</w:t>
            </w:r>
          </w:p>
        </w:tc>
      </w:tr>
      <w:tr w:rsidR="00000000">
        <w:trPr>
          <w:jc w:val="center"/>
        </w:trPr>
        <w:tc>
          <w:tcPr>
            <w:tcW w:w="2991" w:type="dxa"/>
            <w:tcMar>
              <w:left w:w="68" w:type="dxa"/>
              <w:right w:w="68" w:type="dxa"/>
            </w:tcMar>
          </w:tcPr>
          <w:p w:rsidR="00000000" w:rsidRDefault="00000000">
            <w:r>
              <w:t>Lac Iro</w:t>
            </w:r>
          </w:p>
        </w:tc>
        <w:tc>
          <w:tcPr>
            <w:tcW w:w="1288" w:type="dxa"/>
            <w:tcMar>
              <w:left w:w="68" w:type="dxa"/>
              <w:right w:w="68" w:type="dxa"/>
            </w:tcMar>
          </w:tcPr>
          <w:p w:rsidR="00000000" w:rsidRDefault="00000000">
            <w:pPr>
              <w:tabs>
                <w:tab w:val="decimal" w:pos="549"/>
              </w:tabs>
              <w:ind w:right="20"/>
            </w:pPr>
            <w:r>
              <w:t>45,6</w:t>
            </w:r>
          </w:p>
        </w:tc>
        <w:tc>
          <w:tcPr>
            <w:tcW w:w="1316" w:type="dxa"/>
            <w:tcMar>
              <w:left w:w="68" w:type="dxa"/>
              <w:right w:w="68" w:type="dxa"/>
            </w:tcMar>
          </w:tcPr>
          <w:p w:rsidR="00000000" w:rsidRDefault="00000000">
            <w:pPr>
              <w:tabs>
                <w:tab w:val="decimal" w:pos="577"/>
              </w:tabs>
              <w:ind w:right="20"/>
            </w:pPr>
            <w:r>
              <w:t>54,4</w:t>
            </w:r>
          </w:p>
        </w:tc>
        <w:tc>
          <w:tcPr>
            <w:tcW w:w="1259" w:type="dxa"/>
            <w:tcMar>
              <w:left w:w="68" w:type="dxa"/>
              <w:right w:w="68" w:type="dxa"/>
            </w:tcMar>
          </w:tcPr>
          <w:p w:rsidR="00000000" w:rsidRDefault="00000000">
            <w:pPr>
              <w:tabs>
                <w:tab w:val="decimal" w:pos="632"/>
              </w:tabs>
              <w:ind w:right="20"/>
            </w:pPr>
            <w:r>
              <w:t>100,0</w:t>
            </w:r>
          </w:p>
        </w:tc>
        <w:tc>
          <w:tcPr>
            <w:tcW w:w="1652" w:type="dxa"/>
            <w:tcMar>
              <w:left w:w="68" w:type="dxa"/>
              <w:right w:w="68" w:type="dxa"/>
            </w:tcMar>
          </w:tcPr>
          <w:p w:rsidR="00000000" w:rsidRDefault="00000000">
            <w:pPr>
              <w:tabs>
                <w:tab w:val="decimal" w:pos="885"/>
              </w:tabs>
              <w:ind w:right="20"/>
            </w:pPr>
            <w:r>
              <w:t>83,8</w:t>
            </w:r>
          </w:p>
        </w:tc>
      </w:tr>
      <w:tr w:rsidR="00000000">
        <w:trPr>
          <w:jc w:val="center"/>
        </w:trPr>
        <w:tc>
          <w:tcPr>
            <w:tcW w:w="2991" w:type="dxa"/>
            <w:tcMar>
              <w:left w:w="68" w:type="dxa"/>
              <w:right w:w="68" w:type="dxa"/>
            </w:tcMar>
          </w:tcPr>
          <w:p w:rsidR="00000000" w:rsidRDefault="00000000">
            <w:r>
              <w:t>Mayo Kebbi</w:t>
            </w:r>
          </w:p>
        </w:tc>
        <w:tc>
          <w:tcPr>
            <w:tcW w:w="1288" w:type="dxa"/>
            <w:tcMar>
              <w:left w:w="68" w:type="dxa"/>
              <w:right w:w="68" w:type="dxa"/>
            </w:tcMar>
          </w:tcPr>
          <w:p w:rsidR="00000000" w:rsidRDefault="00000000">
            <w:pPr>
              <w:tabs>
                <w:tab w:val="decimal" w:pos="549"/>
              </w:tabs>
              <w:ind w:right="20"/>
            </w:pPr>
            <w:r>
              <w:t>48,2</w:t>
            </w:r>
          </w:p>
        </w:tc>
        <w:tc>
          <w:tcPr>
            <w:tcW w:w="1316" w:type="dxa"/>
            <w:tcMar>
              <w:left w:w="68" w:type="dxa"/>
              <w:right w:w="68" w:type="dxa"/>
            </w:tcMar>
          </w:tcPr>
          <w:p w:rsidR="00000000" w:rsidRDefault="00000000">
            <w:pPr>
              <w:tabs>
                <w:tab w:val="decimal" w:pos="577"/>
              </w:tabs>
              <w:ind w:right="20"/>
            </w:pPr>
            <w:r>
              <w:t>51,8</w:t>
            </w:r>
          </w:p>
        </w:tc>
        <w:tc>
          <w:tcPr>
            <w:tcW w:w="1259" w:type="dxa"/>
            <w:tcMar>
              <w:left w:w="68" w:type="dxa"/>
              <w:right w:w="68" w:type="dxa"/>
            </w:tcMar>
          </w:tcPr>
          <w:p w:rsidR="00000000" w:rsidRDefault="00000000">
            <w:pPr>
              <w:tabs>
                <w:tab w:val="decimal" w:pos="632"/>
              </w:tabs>
              <w:ind w:right="20"/>
            </w:pPr>
            <w:r>
              <w:t>100,0</w:t>
            </w:r>
          </w:p>
        </w:tc>
        <w:tc>
          <w:tcPr>
            <w:tcW w:w="1652" w:type="dxa"/>
            <w:tcMar>
              <w:left w:w="68" w:type="dxa"/>
              <w:right w:w="68" w:type="dxa"/>
            </w:tcMar>
          </w:tcPr>
          <w:p w:rsidR="00000000" w:rsidRDefault="00000000">
            <w:pPr>
              <w:tabs>
                <w:tab w:val="decimal" w:pos="885"/>
              </w:tabs>
              <w:ind w:right="20"/>
            </w:pPr>
            <w:r>
              <w:t>92,9</w:t>
            </w:r>
          </w:p>
        </w:tc>
      </w:tr>
      <w:tr w:rsidR="00000000">
        <w:trPr>
          <w:jc w:val="center"/>
        </w:trPr>
        <w:tc>
          <w:tcPr>
            <w:tcW w:w="2991" w:type="dxa"/>
            <w:tcMar>
              <w:left w:w="68" w:type="dxa"/>
              <w:right w:w="68" w:type="dxa"/>
            </w:tcMar>
          </w:tcPr>
          <w:p w:rsidR="00000000" w:rsidRDefault="00000000">
            <w:r>
              <w:t>Ouaddaï</w:t>
            </w:r>
          </w:p>
        </w:tc>
        <w:tc>
          <w:tcPr>
            <w:tcW w:w="1288" w:type="dxa"/>
            <w:tcMar>
              <w:left w:w="68" w:type="dxa"/>
              <w:right w:w="68" w:type="dxa"/>
            </w:tcMar>
          </w:tcPr>
          <w:p w:rsidR="00000000" w:rsidRDefault="00000000">
            <w:pPr>
              <w:tabs>
                <w:tab w:val="decimal" w:pos="549"/>
              </w:tabs>
              <w:ind w:right="20"/>
            </w:pPr>
            <w:r>
              <w:t>45,4</w:t>
            </w:r>
          </w:p>
        </w:tc>
        <w:tc>
          <w:tcPr>
            <w:tcW w:w="1316" w:type="dxa"/>
            <w:tcMar>
              <w:left w:w="68" w:type="dxa"/>
              <w:right w:w="68" w:type="dxa"/>
            </w:tcMar>
          </w:tcPr>
          <w:p w:rsidR="00000000" w:rsidRDefault="00000000">
            <w:pPr>
              <w:tabs>
                <w:tab w:val="decimal" w:pos="577"/>
              </w:tabs>
              <w:ind w:right="20"/>
            </w:pPr>
            <w:r>
              <w:t>54,6</w:t>
            </w:r>
          </w:p>
        </w:tc>
        <w:tc>
          <w:tcPr>
            <w:tcW w:w="1259" w:type="dxa"/>
            <w:tcMar>
              <w:left w:w="68" w:type="dxa"/>
              <w:right w:w="68" w:type="dxa"/>
            </w:tcMar>
          </w:tcPr>
          <w:p w:rsidR="00000000" w:rsidRDefault="00000000">
            <w:pPr>
              <w:tabs>
                <w:tab w:val="decimal" w:pos="632"/>
              </w:tabs>
              <w:ind w:right="20"/>
            </w:pPr>
            <w:r>
              <w:t>100,0</w:t>
            </w:r>
          </w:p>
        </w:tc>
        <w:tc>
          <w:tcPr>
            <w:tcW w:w="1652" w:type="dxa"/>
            <w:tcMar>
              <w:left w:w="68" w:type="dxa"/>
              <w:right w:w="68" w:type="dxa"/>
            </w:tcMar>
          </w:tcPr>
          <w:p w:rsidR="00000000" w:rsidRDefault="00000000">
            <w:pPr>
              <w:tabs>
                <w:tab w:val="decimal" w:pos="885"/>
              </w:tabs>
              <w:ind w:right="20"/>
            </w:pPr>
            <w:r>
              <w:t>83,3</w:t>
            </w:r>
          </w:p>
        </w:tc>
      </w:tr>
      <w:tr w:rsidR="00000000">
        <w:trPr>
          <w:jc w:val="center"/>
        </w:trPr>
        <w:tc>
          <w:tcPr>
            <w:tcW w:w="2991" w:type="dxa"/>
            <w:tcMar>
              <w:left w:w="68" w:type="dxa"/>
              <w:right w:w="68" w:type="dxa"/>
            </w:tcMar>
          </w:tcPr>
          <w:p w:rsidR="00000000" w:rsidRDefault="00000000">
            <w:r>
              <w:t>Peul</w:t>
            </w:r>
          </w:p>
        </w:tc>
        <w:tc>
          <w:tcPr>
            <w:tcW w:w="1288" w:type="dxa"/>
            <w:tcMar>
              <w:left w:w="68" w:type="dxa"/>
              <w:right w:w="68" w:type="dxa"/>
            </w:tcMar>
          </w:tcPr>
          <w:p w:rsidR="00000000" w:rsidRDefault="00000000">
            <w:pPr>
              <w:tabs>
                <w:tab w:val="decimal" w:pos="549"/>
              </w:tabs>
              <w:ind w:right="20"/>
            </w:pPr>
            <w:r>
              <w:t>51,7</w:t>
            </w:r>
          </w:p>
        </w:tc>
        <w:tc>
          <w:tcPr>
            <w:tcW w:w="1316" w:type="dxa"/>
            <w:tcMar>
              <w:left w:w="68" w:type="dxa"/>
              <w:right w:w="68" w:type="dxa"/>
            </w:tcMar>
          </w:tcPr>
          <w:p w:rsidR="00000000" w:rsidRDefault="00000000">
            <w:pPr>
              <w:tabs>
                <w:tab w:val="decimal" w:pos="577"/>
              </w:tabs>
              <w:ind w:right="20"/>
            </w:pPr>
            <w:r>
              <w:t>48,3</w:t>
            </w:r>
          </w:p>
        </w:tc>
        <w:tc>
          <w:tcPr>
            <w:tcW w:w="1259" w:type="dxa"/>
            <w:tcMar>
              <w:left w:w="68" w:type="dxa"/>
              <w:right w:w="68" w:type="dxa"/>
            </w:tcMar>
          </w:tcPr>
          <w:p w:rsidR="00000000" w:rsidRDefault="00000000">
            <w:pPr>
              <w:tabs>
                <w:tab w:val="decimal" w:pos="632"/>
              </w:tabs>
              <w:ind w:right="20"/>
            </w:pPr>
            <w:r>
              <w:t>100,0</w:t>
            </w:r>
          </w:p>
        </w:tc>
        <w:tc>
          <w:tcPr>
            <w:tcW w:w="1652" w:type="dxa"/>
            <w:tcMar>
              <w:left w:w="68" w:type="dxa"/>
              <w:right w:w="68" w:type="dxa"/>
            </w:tcMar>
          </w:tcPr>
          <w:p w:rsidR="00000000" w:rsidRDefault="00000000">
            <w:pPr>
              <w:tabs>
                <w:tab w:val="decimal" w:pos="885"/>
              </w:tabs>
              <w:ind w:right="20"/>
            </w:pPr>
            <w:r>
              <w:t>107,2</w:t>
            </w:r>
          </w:p>
        </w:tc>
      </w:tr>
      <w:tr w:rsidR="00000000">
        <w:trPr>
          <w:jc w:val="center"/>
        </w:trPr>
        <w:tc>
          <w:tcPr>
            <w:tcW w:w="2991" w:type="dxa"/>
            <w:tcMar>
              <w:left w:w="68" w:type="dxa"/>
              <w:right w:w="68" w:type="dxa"/>
            </w:tcMar>
          </w:tcPr>
          <w:p w:rsidR="00000000" w:rsidRDefault="00000000">
            <w:r>
              <w:t>Sara</w:t>
            </w:r>
          </w:p>
        </w:tc>
        <w:tc>
          <w:tcPr>
            <w:tcW w:w="1288" w:type="dxa"/>
            <w:tcMar>
              <w:left w:w="68" w:type="dxa"/>
              <w:right w:w="68" w:type="dxa"/>
            </w:tcMar>
          </w:tcPr>
          <w:p w:rsidR="00000000" w:rsidRDefault="00000000">
            <w:pPr>
              <w:tabs>
                <w:tab w:val="decimal" w:pos="549"/>
              </w:tabs>
              <w:ind w:right="20"/>
            </w:pPr>
            <w:r>
              <w:t>48,5</w:t>
            </w:r>
          </w:p>
        </w:tc>
        <w:tc>
          <w:tcPr>
            <w:tcW w:w="1316" w:type="dxa"/>
            <w:tcMar>
              <w:left w:w="68" w:type="dxa"/>
              <w:right w:w="68" w:type="dxa"/>
            </w:tcMar>
          </w:tcPr>
          <w:p w:rsidR="00000000" w:rsidRDefault="00000000">
            <w:pPr>
              <w:tabs>
                <w:tab w:val="decimal" w:pos="577"/>
              </w:tabs>
              <w:ind w:right="20"/>
            </w:pPr>
            <w:r>
              <w:t>51,5</w:t>
            </w:r>
          </w:p>
        </w:tc>
        <w:tc>
          <w:tcPr>
            <w:tcW w:w="1259" w:type="dxa"/>
            <w:tcMar>
              <w:left w:w="68" w:type="dxa"/>
              <w:right w:w="68" w:type="dxa"/>
            </w:tcMar>
          </w:tcPr>
          <w:p w:rsidR="00000000" w:rsidRDefault="00000000">
            <w:pPr>
              <w:tabs>
                <w:tab w:val="decimal" w:pos="632"/>
              </w:tabs>
              <w:ind w:right="20"/>
            </w:pPr>
            <w:r>
              <w:t>100,0</w:t>
            </w:r>
          </w:p>
        </w:tc>
        <w:tc>
          <w:tcPr>
            <w:tcW w:w="1652" w:type="dxa"/>
            <w:tcMar>
              <w:left w:w="68" w:type="dxa"/>
              <w:right w:w="68" w:type="dxa"/>
            </w:tcMar>
          </w:tcPr>
          <w:p w:rsidR="00000000" w:rsidRDefault="00000000">
            <w:pPr>
              <w:tabs>
                <w:tab w:val="decimal" w:pos="885"/>
              </w:tabs>
              <w:ind w:right="20"/>
            </w:pPr>
            <w:r>
              <w:t>94,2</w:t>
            </w:r>
          </w:p>
        </w:tc>
      </w:tr>
      <w:tr w:rsidR="00000000">
        <w:trPr>
          <w:jc w:val="center"/>
        </w:trPr>
        <w:tc>
          <w:tcPr>
            <w:tcW w:w="2991" w:type="dxa"/>
            <w:tcMar>
              <w:left w:w="68" w:type="dxa"/>
              <w:right w:w="68" w:type="dxa"/>
            </w:tcMar>
          </w:tcPr>
          <w:p w:rsidR="00000000" w:rsidRDefault="00000000">
            <w:r>
              <w:t>Tandjilé</w:t>
            </w:r>
          </w:p>
        </w:tc>
        <w:tc>
          <w:tcPr>
            <w:tcW w:w="1288" w:type="dxa"/>
            <w:tcMar>
              <w:left w:w="68" w:type="dxa"/>
              <w:right w:w="68" w:type="dxa"/>
            </w:tcMar>
          </w:tcPr>
          <w:p w:rsidR="00000000" w:rsidRDefault="00000000">
            <w:pPr>
              <w:tabs>
                <w:tab w:val="decimal" w:pos="549"/>
              </w:tabs>
              <w:ind w:right="20"/>
            </w:pPr>
            <w:r>
              <w:t>47,8</w:t>
            </w:r>
          </w:p>
        </w:tc>
        <w:tc>
          <w:tcPr>
            <w:tcW w:w="1316" w:type="dxa"/>
            <w:tcMar>
              <w:left w:w="68" w:type="dxa"/>
              <w:right w:w="68" w:type="dxa"/>
            </w:tcMar>
          </w:tcPr>
          <w:p w:rsidR="00000000" w:rsidRDefault="00000000">
            <w:pPr>
              <w:tabs>
                <w:tab w:val="decimal" w:pos="577"/>
              </w:tabs>
              <w:ind w:right="20"/>
            </w:pPr>
            <w:r>
              <w:t>52,2</w:t>
            </w:r>
          </w:p>
        </w:tc>
        <w:tc>
          <w:tcPr>
            <w:tcW w:w="1259" w:type="dxa"/>
            <w:tcMar>
              <w:left w:w="68" w:type="dxa"/>
              <w:right w:w="68" w:type="dxa"/>
            </w:tcMar>
          </w:tcPr>
          <w:p w:rsidR="00000000" w:rsidRDefault="00000000">
            <w:pPr>
              <w:tabs>
                <w:tab w:val="decimal" w:pos="632"/>
              </w:tabs>
              <w:ind w:right="20"/>
            </w:pPr>
            <w:r>
              <w:t>100,0</w:t>
            </w:r>
          </w:p>
        </w:tc>
        <w:tc>
          <w:tcPr>
            <w:tcW w:w="1652" w:type="dxa"/>
            <w:tcMar>
              <w:left w:w="68" w:type="dxa"/>
              <w:right w:w="68" w:type="dxa"/>
            </w:tcMar>
          </w:tcPr>
          <w:p w:rsidR="00000000" w:rsidRDefault="00000000">
            <w:pPr>
              <w:tabs>
                <w:tab w:val="decimal" w:pos="885"/>
              </w:tabs>
              <w:ind w:right="20"/>
            </w:pPr>
            <w:r>
              <w:t>91,6</w:t>
            </w:r>
          </w:p>
        </w:tc>
      </w:tr>
      <w:tr w:rsidR="00000000">
        <w:trPr>
          <w:jc w:val="center"/>
        </w:trPr>
        <w:tc>
          <w:tcPr>
            <w:tcW w:w="2991" w:type="dxa"/>
            <w:tcMar>
              <w:left w:w="68" w:type="dxa"/>
              <w:right w:w="68" w:type="dxa"/>
            </w:tcMar>
          </w:tcPr>
          <w:p w:rsidR="00000000" w:rsidRDefault="00000000">
            <w:r>
              <w:t>Otros</w:t>
            </w:r>
          </w:p>
        </w:tc>
        <w:tc>
          <w:tcPr>
            <w:tcW w:w="1288" w:type="dxa"/>
            <w:tcMar>
              <w:left w:w="68" w:type="dxa"/>
              <w:right w:w="68" w:type="dxa"/>
            </w:tcMar>
          </w:tcPr>
          <w:p w:rsidR="00000000" w:rsidRDefault="00000000">
            <w:pPr>
              <w:tabs>
                <w:tab w:val="decimal" w:pos="549"/>
              </w:tabs>
              <w:ind w:right="20"/>
            </w:pPr>
            <w:r>
              <w:t>48,9</w:t>
            </w:r>
          </w:p>
        </w:tc>
        <w:tc>
          <w:tcPr>
            <w:tcW w:w="1316" w:type="dxa"/>
            <w:tcMar>
              <w:left w:w="68" w:type="dxa"/>
              <w:right w:w="68" w:type="dxa"/>
            </w:tcMar>
          </w:tcPr>
          <w:p w:rsidR="00000000" w:rsidRDefault="00000000">
            <w:pPr>
              <w:tabs>
                <w:tab w:val="decimal" w:pos="577"/>
              </w:tabs>
              <w:ind w:right="20"/>
            </w:pPr>
            <w:r>
              <w:t>51,1</w:t>
            </w:r>
          </w:p>
        </w:tc>
        <w:tc>
          <w:tcPr>
            <w:tcW w:w="1259" w:type="dxa"/>
            <w:tcMar>
              <w:left w:w="68" w:type="dxa"/>
              <w:right w:w="68" w:type="dxa"/>
            </w:tcMar>
          </w:tcPr>
          <w:p w:rsidR="00000000" w:rsidRDefault="00000000">
            <w:pPr>
              <w:tabs>
                <w:tab w:val="decimal" w:pos="632"/>
              </w:tabs>
              <w:ind w:right="20"/>
            </w:pPr>
            <w:r>
              <w:t>100,0</w:t>
            </w:r>
          </w:p>
        </w:tc>
        <w:tc>
          <w:tcPr>
            <w:tcW w:w="1652" w:type="dxa"/>
            <w:tcMar>
              <w:left w:w="68" w:type="dxa"/>
              <w:right w:w="68" w:type="dxa"/>
            </w:tcMar>
          </w:tcPr>
          <w:p w:rsidR="00000000" w:rsidRDefault="00000000">
            <w:pPr>
              <w:tabs>
                <w:tab w:val="decimal" w:pos="885"/>
              </w:tabs>
              <w:ind w:right="20"/>
            </w:pPr>
            <w:r>
              <w:t>95,5</w:t>
            </w:r>
          </w:p>
        </w:tc>
      </w:tr>
      <w:tr w:rsidR="00000000">
        <w:trPr>
          <w:jc w:val="center"/>
        </w:trPr>
        <w:tc>
          <w:tcPr>
            <w:tcW w:w="2991" w:type="dxa"/>
            <w:tcMar>
              <w:left w:w="68" w:type="dxa"/>
              <w:right w:w="68" w:type="dxa"/>
            </w:tcMar>
          </w:tcPr>
          <w:p w:rsidR="00000000" w:rsidRDefault="00000000">
            <w:r>
              <w:t>Varios</w:t>
            </w:r>
          </w:p>
        </w:tc>
        <w:tc>
          <w:tcPr>
            <w:tcW w:w="1288" w:type="dxa"/>
            <w:tcMar>
              <w:left w:w="68" w:type="dxa"/>
              <w:right w:w="68" w:type="dxa"/>
            </w:tcMar>
          </w:tcPr>
          <w:p w:rsidR="00000000" w:rsidRDefault="00000000">
            <w:pPr>
              <w:tabs>
                <w:tab w:val="decimal" w:pos="549"/>
              </w:tabs>
              <w:ind w:right="20"/>
            </w:pPr>
            <w:r>
              <w:t>51,2</w:t>
            </w:r>
          </w:p>
        </w:tc>
        <w:tc>
          <w:tcPr>
            <w:tcW w:w="1316" w:type="dxa"/>
            <w:tcMar>
              <w:left w:w="68" w:type="dxa"/>
              <w:right w:w="68" w:type="dxa"/>
            </w:tcMar>
          </w:tcPr>
          <w:p w:rsidR="00000000" w:rsidRDefault="00000000">
            <w:pPr>
              <w:tabs>
                <w:tab w:val="decimal" w:pos="577"/>
              </w:tabs>
              <w:ind w:right="20"/>
            </w:pPr>
            <w:r>
              <w:t>48,8</w:t>
            </w:r>
          </w:p>
        </w:tc>
        <w:tc>
          <w:tcPr>
            <w:tcW w:w="1259" w:type="dxa"/>
            <w:tcMar>
              <w:left w:w="68" w:type="dxa"/>
              <w:right w:w="68" w:type="dxa"/>
            </w:tcMar>
          </w:tcPr>
          <w:p w:rsidR="00000000" w:rsidRDefault="00000000">
            <w:pPr>
              <w:tabs>
                <w:tab w:val="decimal" w:pos="632"/>
              </w:tabs>
              <w:ind w:right="20"/>
            </w:pPr>
            <w:r>
              <w:t>100,0</w:t>
            </w:r>
          </w:p>
        </w:tc>
        <w:tc>
          <w:tcPr>
            <w:tcW w:w="1652" w:type="dxa"/>
            <w:tcMar>
              <w:left w:w="68" w:type="dxa"/>
              <w:right w:w="68" w:type="dxa"/>
            </w:tcMar>
          </w:tcPr>
          <w:p w:rsidR="00000000" w:rsidRDefault="00000000">
            <w:pPr>
              <w:tabs>
                <w:tab w:val="decimal" w:pos="885"/>
              </w:tabs>
              <w:ind w:right="20"/>
            </w:pPr>
            <w:r>
              <w:t>105,0</w:t>
            </w:r>
          </w:p>
        </w:tc>
      </w:tr>
      <w:tr w:rsidR="00000000">
        <w:trPr>
          <w:jc w:val="center"/>
        </w:trPr>
        <w:tc>
          <w:tcPr>
            <w:tcW w:w="2991" w:type="dxa"/>
            <w:tcMar>
              <w:left w:w="68" w:type="dxa"/>
              <w:right w:w="68" w:type="dxa"/>
            </w:tcMar>
          </w:tcPr>
          <w:p w:rsidR="00000000" w:rsidRDefault="00000000">
            <w:r>
              <w:t>Extranjeros</w:t>
            </w:r>
          </w:p>
        </w:tc>
        <w:tc>
          <w:tcPr>
            <w:tcW w:w="1288" w:type="dxa"/>
            <w:tcMar>
              <w:left w:w="68" w:type="dxa"/>
              <w:right w:w="68" w:type="dxa"/>
            </w:tcMar>
          </w:tcPr>
          <w:p w:rsidR="00000000" w:rsidRDefault="00000000">
            <w:pPr>
              <w:tabs>
                <w:tab w:val="decimal" w:pos="549"/>
              </w:tabs>
              <w:ind w:right="20"/>
            </w:pPr>
            <w:r>
              <w:t>52,3</w:t>
            </w:r>
          </w:p>
        </w:tc>
        <w:tc>
          <w:tcPr>
            <w:tcW w:w="1316" w:type="dxa"/>
            <w:tcMar>
              <w:left w:w="68" w:type="dxa"/>
              <w:right w:w="68" w:type="dxa"/>
            </w:tcMar>
          </w:tcPr>
          <w:p w:rsidR="00000000" w:rsidRDefault="00000000">
            <w:pPr>
              <w:tabs>
                <w:tab w:val="decimal" w:pos="577"/>
              </w:tabs>
              <w:ind w:right="20"/>
            </w:pPr>
            <w:r>
              <w:t>47,7</w:t>
            </w:r>
          </w:p>
        </w:tc>
        <w:tc>
          <w:tcPr>
            <w:tcW w:w="1259" w:type="dxa"/>
            <w:tcMar>
              <w:left w:w="68" w:type="dxa"/>
              <w:right w:w="68" w:type="dxa"/>
            </w:tcMar>
          </w:tcPr>
          <w:p w:rsidR="00000000" w:rsidRDefault="00000000">
            <w:pPr>
              <w:tabs>
                <w:tab w:val="decimal" w:pos="632"/>
              </w:tabs>
              <w:ind w:right="20"/>
            </w:pPr>
            <w:r>
              <w:t>100,0</w:t>
            </w:r>
          </w:p>
        </w:tc>
        <w:tc>
          <w:tcPr>
            <w:tcW w:w="1652" w:type="dxa"/>
            <w:tcMar>
              <w:left w:w="68" w:type="dxa"/>
              <w:right w:w="68" w:type="dxa"/>
            </w:tcMar>
          </w:tcPr>
          <w:p w:rsidR="00000000" w:rsidRDefault="00000000">
            <w:pPr>
              <w:tabs>
                <w:tab w:val="decimal" w:pos="885"/>
              </w:tabs>
              <w:ind w:right="20"/>
            </w:pPr>
            <w:r>
              <w:t>109,5</w:t>
            </w:r>
          </w:p>
        </w:tc>
      </w:tr>
      <w:tr w:rsidR="00000000">
        <w:trPr>
          <w:jc w:val="center"/>
        </w:trPr>
        <w:tc>
          <w:tcPr>
            <w:tcW w:w="2991" w:type="dxa"/>
            <w:tcMar>
              <w:left w:w="68" w:type="dxa"/>
              <w:right w:w="68" w:type="dxa"/>
            </w:tcMar>
          </w:tcPr>
          <w:p w:rsidR="00000000" w:rsidRDefault="00000000">
            <w:r>
              <w:t>Indeterminados</w:t>
            </w:r>
          </w:p>
        </w:tc>
        <w:tc>
          <w:tcPr>
            <w:tcW w:w="1288" w:type="dxa"/>
            <w:tcMar>
              <w:left w:w="68" w:type="dxa"/>
              <w:right w:w="68" w:type="dxa"/>
            </w:tcMar>
          </w:tcPr>
          <w:p w:rsidR="00000000" w:rsidRDefault="00000000">
            <w:pPr>
              <w:tabs>
                <w:tab w:val="decimal" w:pos="549"/>
              </w:tabs>
              <w:ind w:right="20"/>
            </w:pPr>
            <w:r>
              <w:t>47,5</w:t>
            </w:r>
          </w:p>
        </w:tc>
        <w:tc>
          <w:tcPr>
            <w:tcW w:w="1316" w:type="dxa"/>
            <w:tcMar>
              <w:left w:w="68" w:type="dxa"/>
              <w:right w:w="68" w:type="dxa"/>
            </w:tcMar>
          </w:tcPr>
          <w:p w:rsidR="00000000" w:rsidRDefault="00000000">
            <w:pPr>
              <w:tabs>
                <w:tab w:val="decimal" w:pos="577"/>
              </w:tabs>
              <w:ind w:right="20"/>
            </w:pPr>
            <w:r>
              <w:t>52,5</w:t>
            </w:r>
          </w:p>
        </w:tc>
        <w:tc>
          <w:tcPr>
            <w:tcW w:w="1259" w:type="dxa"/>
            <w:tcMar>
              <w:left w:w="68" w:type="dxa"/>
              <w:right w:w="68" w:type="dxa"/>
            </w:tcMar>
          </w:tcPr>
          <w:p w:rsidR="00000000" w:rsidRDefault="00000000">
            <w:pPr>
              <w:tabs>
                <w:tab w:val="decimal" w:pos="632"/>
              </w:tabs>
              <w:ind w:right="20"/>
            </w:pPr>
            <w:r>
              <w:t>100,0</w:t>
            </w:r>
          </w:p>
        </w:tc>
        <w:tc>
          <w:tcPr>
            <w:tcW w:w="1652" w:type="dxa"/>
            <w:tcMar>
              <w:left w:w="68" w:type="dxa"/>
              <w:right w:w="68" w:type="dxa"/>
            </w:tcMar>
          </w:tcPr>
          <w:p w:rsidR="00000000" w:rsidRDefault="00000000">
            <w:pPr>
              <w:tabs>
                <w:tab w:val="decimal" w:pos="885"/>
              </w:tabs>
              <w:ind w:right="20"/>
            </w:pPr>
            <w:r>
              <w:t>90,5</w:t>
            </w:r>
          </w:p>
        </w:tc>
      </w:tr>
      <w:tr w:rsidR="00000000">
        <w:trPr>
          <w:jc w:val="center"/>
        </w:trPr>
        <w:tc>
          <w:tcPr>
            <w:tcW w:w="2991" w:type="dxa"/>
            <w:tcMar>
              <w:left w:w="68" w:type="dxa"/>
              <w:right w:w="68" w:type="dxa"/>
            </w:tcMar>
          </w:tcPr>
          <w:p w:rsidR="00000000" w:rsidRDefault="00000000">
            <w:pPr>
              <w:ind w:left="336"/>
              <w:rPr>
                <w:b/>
              </w:rPr>
            </w:pPr>
            <w:r>
              <w:rPr>
                <w:b/>
              </w:rPr>
              <w:t>Total</w:t>
            </w:r>
          </w:p>
        </w:tc>
        <w:tc>
          <w:tcPr>
            <w:tcW w:w="1288" w:type="dxa"/>
            <w:tcMar>
              <w:left w:w="68" w:type="dxa"/>
              <w:right w:w="68" w:type="dxa"/>
            </w:tcMar>
          </w:tcPr>
          <w:p w:rsidR="00000000" w:rsidRDefault="00000000">
            <w:pPr>
              <w:tabs>
                <w:tab w:val="decimal" w:pos="549"/>
              </w:tabs>
              <w:ind w:right="20"/>
              <w:rPr>
                <w:b/>
              </w:rPr>
            </w:pPr>
            <w:r>
              <w:rPr>
                <w:b/>
              </w:rPr>
              <w:t>48,5</w:t>
            </w:r>
          </w:p>
        </w:tc>
        <w:tc>
          <w:tcPr>
            <w:tcW w:w="1316" w:type="dxa"/>
            <w:tcMar>
              <w:left w:w="68" w:type="dxa"/>
              <w:right w:w="68" w:type="dxa"/>
            </w:tcMar>
          </w:tcPr>
          <w:p w:rsidR="00000000" w:rsidRDefault="00000000">
            <w:pPr>
              <w:tabs>
                <w:tab w:val="decimal" w:pos="577"/>
              </w:tabs>
              <w:ind w:right="20"/>
              <w:rPr>
                <w:b/>
              </w:rPr>
            </w:pPr>
            <w:r>
              <w:rPr>
                <w:b/>
              </w:rPr>
              <w:t>51,5</w:t>
            </w:r>
          </w:p>
        </w:tc>
        <w:tc>
          <w:tcPr>
            <w:tcW w:w="1259" w:type="dxa"/>
            <w:tcMar>
              <w:left w:w="68" w:type="dxa"/>
              <w:right w:w="68" w:type="dxa"/>
            </w:tcMar>
          </w:tcPr>
          <w:p w:rsidR="00000000" w:rsidRDefault="00000000">
            <w:pPr>
              <w:tabs>
                <w:tab w:val="decimal" w:pos="632"/>
              </w:tabs>
              <w:ind w:right="20"/>
              <w:rPr>
                <w:b/>
              </w:rPr>
            </w:pPr>
            <w:r>
              <w:rPr>
                <w:b/>
              </w:rPr>
              <w:t>100,0</w:t>
            </w:r>
          </w:p>
        </w:tc>
        <w:tc>
          <w:tcPr>
            <w:tcW w:w="1652" w:type="dxa"/>
            <w:tcMar>
              <w:left w:w="68" w:type="dxa"/>
              <w:right w:w="68" w:type="dxa"/>
            </w:tcMar>
          </w:tcPr>
          <w:p w:rsidR="00000000" w:rsidRDefault="00000000">
            <w:pPr>
              <w:tabs>
                <w:tab w:val="decimal" w:pos="885"/>
              </w:tabs>
              <w:ind w:right="20"/>
              <w:rPr>
                <w:b/>
              </w:rPr>
            </w:pPr>
            <w:r>
              <w:rPr>
                <w:b/>
              </w:rPr>
              <w:t>94,0</w:t>
            </w:r>
          </w:p>
        </w:tc>
      </w:tr>
    </w:tbl>
    <w:p w:rsidR="00000000" w:rsidRDefault="00000000">
      <w:pPr>
        <w:spacing w:before="240" w:after="480"/>
        <w:ind w:left="420"/>
      </w:pPr>
      <w:r>
        <w:rPr>
          <w:i/>
        </w:rPr>
        <w:t xml:space="preserve">Fuente:  </w:t>
      </w:r>
      <w:r>
        <w:t>RGPH de 1993.</w:t>
      </w:r>
    </w:p>
    <w:p w:rsidR="00000000" w:rsidRDefault="00000000">
      <w:pPr>
        <w:spacing w:after="240"/>
        <w:rPr>
          <w:b/>
        </w:rPr>
      </w:pPr>
      <w:r>
        <w:rPr>
          <w:b/>
        </w:rPr>
        <w:t>2.</w:t>
      </w:r>
      <w:r>
        <w:rPr>
          <w:b/>
        </w:rPr>
        <w:tab/>
        <w:t>Etnia y zona de residencia</w:t>
      </w:r>
    </w:p>
    <w:p w:rsidR="00000000" w:rsidRDefault="00000000">
      <w:pPr>
        <w:spacing w:after="240"/>
      </w:pPr>
      <w:r>
        <w:t>32.</w:t>
      </w:r>
      <w:r>
        <w:tab/>
        <w:t>Los cuadros 3 y 4 que siguen revelan que, si se tiene en cuenta la zona de residencia, ciertas etnias son más numerosas en las ciudades que otras.  En efecto, cualquiera que sea el lugar de residencia, el grupo Sara es mayoritario, puesto que representa casi el 30% de la población urbana total y el 27,1% de la población rural total.</w:t>
      </w:r>
    </w:p>
    <w:p w:rsidR="00000000" w:rsidRDefault="00000000">
      <w:pPr>
        <w:keepNext/>
        <w:spacing w:after="240"/>
        <w:jc w:val="center"/>
        <w:rPr>
          <w:b/>
        </w:rPr>
      </w:pPr>
      <w:r>
        <w:rPr>
          <w:b/>
        </w:rPr>
        <w:t>Cuadro 3</w:t>
      </w:r>
    </w:p>
    <w:p w:rsidR="00000000" w:rsidRDefault="00000000">
      <w:pPr>
        <w:keepNext/>
        <w:spacing w:after="240"/>
        <w:jc w:val="center"/>
        <w:rPr>
          <w:b/>
        </w:rPr>
      </w:pPr>
      <w:r>
        <w:rPr>
          <w:b/>
        </w:rPr>
        <w:t>Distribución de la población residente de los grandes grupos étnicos,</w:t>
      </w:r>
      <w:r>
        <w:rPr>
          <w:b/>
        </w:rPr>
        <w:br/>
        <w:t>por zona de residencia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Pr>
      <w:tblGrid>
        <w:gridCol w:w="1986"/>
        <w:gridCol w:w="1250"/>
        <w:gridCol w:w="1251"/>
        <w:gridCol w:w="1251"/>
        <w:gridCol w:w="1251"/>
        <w:gridCol w:w="1251"/>
        <w:gridCol w:w="1251"/>
      </w:tblGrid>
      <w:tr w:rsidR="00000000">
        <w:trPr>
          <w:cantSplit/>
        </w:trPr>
        <w:tc>
          <w:tcPr>
            <w:tcW w:w="1986" w:type="dxa"/>
            <w:vMerge w:val="restart"/>
            <w:tcMar>
              <w:left w:w="68" w:type="dxa"/>
              <w:right w:w="68" w:type="dxa"/>
            </w:tcMar>
          </w:tcPr>
          <w:p w:rsidR="00000000" w:rsidRDefault="00000000">
            <w:pPr>
              <w:keepNext/>
              <w:jc w:val="center"/>
              <w:rPr>
                <w:b/>
              </w:rPr>
            </w:pPr>
            <w:r>
              <w:rPr>
                <w:b/>
              </w:rPr>
              <w:t>Gran grupo étnico</w:t>
            </w:r>
          </w:p>
        </w:tc>
        <w:tc>
          <w:tcPr>
            <w:tcW w:w="2501" w:type="dxa"/>
            <w:gridSpan w:val="2"/>
            <w:tcMar>
              <w:left w:w="68" w:type="dxa"/>
              <w:right w:w="68" w:type="dxa"/>
            </w:tcMar>
          </w:tcPr>
          <w:p w:rsidR="00000000" w:rsidRDefault="00000000">
            <w:pPr>
              <w:keepNext/>
              <w:jc w:val="center"/>
              <w:rPr>
                <w:b/>
              </w:rPr>
            </w:pPr>
            <w:r>
              <w:rPr>
                <w:b/>
              </w:rPr>
              <w:t>Zona urbana</w:t>
            </w:r>
          </w:p>
        </w:tc>
        <w:tc>
          <w:tcPr>
            <w:tcW w:w="2502" w:type="dxa"/>
            <w:gridSpan w:val="2"/>
            <w:tcMar>
              <w:left w:w="68" w:type="dxa"/>
              <w:right w:w="68" w:type="dxa"/>
            </w:tcMar>
          </w:tcPr>
          <w:p w:rsidR="00000000" w:rsidRDefault="00000000">
            <w:pPr>
              <w:keepNext/>
              <w:jc w:val="center"/>
              <w:rPr>
                <w:b/>
              </w:rPr>
            </w:pPr>
            <w:r>
              <w:rPr>
                <w:b/>
              </w:rPr>
              <w:t>Zona rural</w:t>
            </w:r>
          </w:p>
        </w:tc>
        <w:tc>
          <w:tcPr>
            <w:tcW w:w="2502" w:type="dxa"/>
            <w:gridSpan w:val="2"/>
            <w:tcMar>
              <w:left w:w="68" w:type="dxa"/>
              <w:right w:w="68" w:type="dxa"/>
            </w:tcMar>
          </w:tcPr>
          <w:p w:rsidR="00000000" w:rsidRDefault="00000000">
            <w:pPr>
              <w:keepNext/>
              <w:jc w:val="center"/>
              <w:rPr>
                <w:b/>
              </w:rPr>
            </w:pPr>
            <w:r>
              <w:rPr>
                <w:b/>
              </w:rPr>
              <w:t>General</w:t>
            </w:r>
          </w:p>
        </w:tc>
      </w:tr>
      <w:tr w:rsidR="00000000">
        <w:trPr>
          <w:cantSplit/>
        </w:trPr>
        <w:tc>
          <w:tcPr>
            <w:tcW w:w="1986" w:type="dxa"/>
            <w:vMerge/>
            <w:tcMar>
              <w:left w:w="68" w:type="dxa"/>
              <w:right w:w="68" w:type="dxa"/>
            </w:tcMar>
          </w:tcPr>
          <w:p w:rsidR="00000000" w:rsidRDefault="00000000">
            <w:pPr>
              <w:keepNext/>
              <w:jc w:val="center"/>
            </w:pPr>
          </w:p>
        </w:tc>
        <w:tc>
          <w:tcPr>
            <w:tcW w:w="1250" w:type="dxa"/>
            <w:tcMar>
              <w:left w:w="68" w:type="dxa"/>
              <w:right w:w="68" w:type="dxa"/>
            </w:tcMar>
          </w:tcPr>
          <w:p w:rsidR="00000000" w:rsidRDefault="00000000">
            <w:pPr>
              <w:keepNext/>
              <w:jc w:val="center"/>
              <w:rPr>
                <w:b/>
              </w:rPr>
            </w:pPr>
            <w:r>
              <w:rPr>
                <w:b/>
              </w:rPr>
              <w:t>Número</w:t>
            </w:r>
          </w:p>
        </w:tc>
        <w:tc>
          <w:tcPr>
            <w:tcW w:w="1251" w:type="dxa"/>
            <w:tcMar>
              <w:left w:w="68" w:type="dxa"/>
              <w:right w:w="68" w:type="dxa"/>
            </w:tcMar>
          </w:tcPr>
          <w:p w:rsidR="00000000" w:rsidRDefault="00000000">
            <w:pPr>
              <w:keepNext/>
              <w:jc w:val="center"/>
              <w:rPr>
                <w:b/>
              </w:rPr>
            </w:pPr>
            <w:r>
              <w:rPr>
                <w:b/>
              </w:rPr>
              <w:t>Porcentaje</w:t>
            </w:r>
          </w:p>
        </w:tc>
        <w:tc>
          <w:tcPr>
            <w:tcW w:w="1251" w:type="dxa"/>
            <w:tcMar>
              <w:left w:w="68" w:type="dxa"/>
              <w:right w:w="68" w:type="dxa"/>
            </w:tcMar>
          </w:tcPr>
          <w:p w:rsidR="00000000" w:rsidRDefault="00000000">
            <w:pPr>
              <w:keepNext/>
              <w:jc w:val="center"/>
              <w:rPr>
                <w:b/>
              </w:rPr>
            </w:pPr>
            <w:r>
              <w:rPr>
                <w:b/>
              </w:rPr>
              <w:t>Número</w:t>
            </w:r>
          </w:p>
        </w:tc>
        <w:tc>
          <w:tcPr>
            <w:tcW w:w="1251" w:type="dxa"/>
            <w:tcMar>
              <w:left w:w="68" w:type="dxa"/>
              <w:right w:w="68" w:type="dxa"/>
            </w:tcMar>
          </w:tcPr>
          <w:p w:rsidR="00000000" w:rsidRDefault="00000000">
            <w:pPr>
              <w:keepNext/>
              <w:jc w:val="center"/>
              <w:rPr>
                <w:b/>
              </w:rPr>
            </w:pPr>
            <w:r>
              <w:rPr>
                <w:b/>
              </w:rPr>
              <w:t>Porcentaje</w:t>
            </w:r>
          </w:p>
        </w:tc>
        <w:tc>
          <w:tcPr>
            <w:tcW w:w="1251" w:type="dxa"/>
            <w:tcMar>
              <w:left w:w="68" w:type="dxa"/>
              <w:right w:w="68" w:type="dxa"/>
            </w:tcMar>
          </w:tcPr>
          <w:p w:rsidR="00000000" w:rsidRDefault="00000000">
            <w:pPr>
              <w:keepNext/>
              <w:jc w:val="center"/>
              <w:rPr>
                <w:b/>
              </w:rPr>
            </w:pPr>
            <w:r>
              <w:rPr>
                <w:b/>
              </w:rPr>
              <w:t>Número</w:t>
            </w:r>
          </w:p>
        </w:tc>
        <w:tc>
          <w:tcPr>
            <w:tcW w:w="1251" w:type="dxa"/>
            <w:tcMar>
              <w:left w:w="68" w:type="dxa"/>
              <w:right w:w="68" w:type="dxa"/>
            </w:tcMar>
          </w:tcPr>
          <w:p w:rsidR="00000000" w:rsidRDefault="00000000">
            <w:pPr>
              <w:keepNext/>
              <w:jc w:val="center"/>
              <w:rPr>
                <w:b/>
              </w:rPr>
            </w:pPr>
            <w:r>
              <w:rPr>
                <w:b/>
              </w:rPr>
              <w:t>Porcentaje</w:t>
            </w:r>
          </w:p>
        </w:tc>
      </w:tr>
      <w:tr w:rsidR="00000000">
        <w:tc>
          <w:tcPr>
            <w:tcW w:w="1986" w:type="dxa"/>
            <w:tcMar>
              <w:left w:w="68" w:type="dxa"/>
              <w:right w:w="68" w:type="dxa"/>
            </w:tcMar>
          </w:tcPr>
          <w:p w:rsidR="00000000" w:rsidRDefault="00000000">
            <w:r>
              <w:t>Árabe</w:t>
            </w:r>
          </w:p>
        </w:tc>
        <w:tc>
          <w:tcPr>
            <w:tcW w:w="1250" w:type="dxa"/>
            <w:tcMar>
              <w:left w:w="68" w:type="dxa"/>
              <w:right w:w="68" w:type="dxa"/>
            </w:tcMar>
          </w:tcPr>
          <w:p w:rsidR="00000000" w:rsidRDefault="00000000">
            <w:pPr>
              <w:keepNext/>
              <w:tabs>
                <w:tab w:val="decimal" w:pos="1060"/>
              </w:tabs>
            </w:pPr>
            <w:r>
              <w:t>164.024</w:t>
            </w:r>
          </w:p>
        </w:tc>
        <w:tc>
          <w:tcPr>
            <w:tcW w:w="1251" w:type="dxa"/>
            <w:tcMar>
              <w:left w:w="68" w:type="dxa"/>
              <w:right w:w="68" w:type="dxa"/>
            </w:tcMar>
          </w:tcPr>
          <w:p w:rsidR="00000000" w:rsidRDefault="00000000">
            <w:pPr>
              <w:keepNext/>
              <w:tabs>
                <w:tab w:val="decimal" w:pos="663"/>
              </w:tabs>
            </w:pPr>
            <w:r>
              <w:t>12,4</w:t>
            </w:r>
          </w:p>
        </w:tc>
        <w:tc>
          <w:tcPr>
            <w:tcW w:w="1251" w:type="dxa"/>
            <w:tcMar>
              <w:left w:w="68" w:type="dxa"/>
              <w:right w:w="68" w:type="dxa"/>
            </w:tcMar>
          </w:tcPr>
          <w:p w:rsidR="00000000" w:rsidRDefault="00000000">
            <w:pPr>
              <w:keepNext/>
              <w:tabs>
                <w:tab w:val="decimal" w:pos="1060"/>
              </w:tabs>
            </w:pPr>
            <w:r>
              <w:t>597.750</w:t>
            </w:r>
          </w:p>
        </w:tc>
        <w:tc>
          <w:tcPr>
            <w:tcW w:w="1251" w:type="dxa"/>
            <w:tcMar>
              <w:left w:w="68" w:type="dxa"/>
              <w:right w:w="68" w:type="dxa"/>
            </w:tcMar>
          </w:tcPr>
          <w:p w:rsidR="00000000" w:rsidRDefault="00000000">
            <w:pPr>
              <w:keepNext/>
              <w:tabs>
                <w:tab w:val="decimal" w:pos="663"/>
              </w:tabs>
            </w:pPr>
            <w:r>
              <w:t>12,3</w:t>
            </w:r>
          </w:p>
        </w:tc>
        <w:tc>
          <w:tcPr>
            <w:tcW w:w="1251" w:type="dxa"/>
            <w:tcMar>
              <w:left w:w="68" w:type="dxa"/>
              <w:right w:w="68" w:type="dxa"/>
            </w:tcMar>
          </w:tcPr>
          <w:p w:rsidR="00000000" w:rsidRDefault="00000000">
            <w:pPr>
              <w:keepNext/>
              <w:tabs>
                <w:tab w:val="decimal" w:pos="1060"/>
              </w:tabs>
            </w:pPr>
            <w:r>
              <w:t>761.774</w:t>
            </w:r>
          </w:p>
        </w:tc>
        <w:tc>
          <w:tcPr>
            <w:tcW w:w="1251" w:type="dxa"/>
            <w:tcMar>
              <w:left w:w="68" w:type="dxa"/>
              <w:right w:w="68" w:type="dxa"/>
            </w:tcMar>
          </w:tcPr>
          <w:p w:rsidR="00000000" w:rsidRDefault="00000000">
            <w:pPr>
              <w:keepNext/>
              <w:tabs>
                <w:tab w:val="decimal" w:pos="663"/>
              </w:tabs>
            </w:pPr>
            <w:r>
              <w:t>12,3</w:t>
            </w:r>
          </w:p>
        </w:tc>
      </w:tr>
      <w:tr w:rsidR="00000000">
        <w:tc>
          <w:tcPr>
            <w:tcW w:w="1986" w:type="dxa"/>
            <w:tcMar>
              <w:left w:w="68" w:type="dxa"/>
              <w:right w:w="68" w:type="dxa"/>
            </w:tcMar>
          </w:tcPr>
          <w:p w:rsidR="00000000" w:rsidRDefault="00000000">
            <w:r>
              <w:t>Baguirmien</w:t>
            </w:r>
          </w:p>
        </w:tc>
        <w:tc>
          <w:tcPr>
            <w:tcW w:w="1250" w:type="dxa"/>
            <w:tcMar>
              <w:left w:w="68" w:type="dxa"/>
              <w:right w:w="68" w:type="dxa"/>
            </w:tcMar>
          </w:tcPr>
          <w:p w:rsidR="00000000" w:rsidRDefault="00000000">
            <w:pPr>
              <w:keepNext/>
              <w:tabs>
                <w:tab w:val="decimal" w:pos="1060"/>
              </w:tabs>
            </w:pPr>
            <w:r>
              <w:t>34.551</w:t>
            </w:r>
          </w:p>
        </w:tc>
        <w:tc>
          <w:tcPr>
            <w:tcW w:w="1251" w:type="dxa"/>
            <w:tcMar>
              <w:left w:w="68" w:type="dxa"/>
              <w:right w:w="68" w:type="dxa"/>
            </w:tcMar>
          </w:tcPr>
          <w:p w:rsidR="00000000" w:rsidRDefault="00000000">
            <w:pPr>
              <w:keepNext/>
              <w:tabs>
                <w:tab w:val="decimal" w:pos="663"/>
              </w:tabs>
            </w:pPr>
            <w:r>
              <w:t>2,6</w:t>
            </w:r>
          </w:p>
        </w:tc>
        <w:tc>
          <w:tcPr>
            <w:tcW w:w="1251" w:type="dxa"/>
            <w:tcMar>
              <w:left w:w="68" w:type="dxa"/>
              <w:right w:w="68" w:type="dxa"/>
            </w:tcMar>
          </w:tcPr>
          <w:p w:rsidR="00000000" w:rsidRDefault="00000000">
            <w:pPr>
              <w:keepNext/>
              <w:tabs>
                <w:tab w:val="decimal" w:pos="1060"/>
              </w:tabs>
            </w:pPr>
            <w:r>
              <w:t>57.525</w:t>
            </w:r>
          </w:p>
        </w:tc>
        <w:tc>
          <w:tcPr>
            <w:tcW w:w="1251" w:type="dxa"/>
            <w:tcMar>
              <w:left w:w="68" w:type="dxa"/>
              <w:right w:w="68" w:type="dxa"/>
            </w:tcMar>
          </w:tcPr>
          <w:p w:rsidR="00000000" w:rsidRDefault="00000000">
            <w:pPr>
              <w:keepNext/>
              <w:tabs>
                <w:tab w:val="decimal" w:pos="663"/>
              </w:tabs>
            </w:pPr>
            <w:r>
              <w:t>1,2</w:t>
            </w:r>
          </w:p>
        </w:tc>
        <w:tc>
          <w:tcPr>
            <w:tcW w:w="1251" w:type="dxa"/>
            <w:tcMar>
              <w:left w:w="68" w:type="dxa"/>
              <w:right w:w="68" w:type="dxa"/>
            </w:tcMar>
          </w:tcPr>
          <w:p w:rsidR="00000000" w:rsidRDefault="00000000">
            <w:pPr>
              <w:keepNext/>
              <w:tabs>
                <w:tab w:val="decimal" w:pos="1060"/>
              </w:tabs>
            </w:pPr>
            <w:r>
              <w:t>92.076</w:t>
            </w:r>
          </w:p>
        </w:tc>
        <w:tc>
          <w:tcPr>
            <w:tcW w:w="1251" w:type="dxa"/>
            <w:tcMar>
              <w:left w:w="68" w:type="dxa"/>
              <w:right w:w="68" w:type="dxa"/>
            </w:tcMar>
          </w:tcPr>
          <w:p w:rsidR="00000000" w:rsidRDefault="00000000">
            <w:pPr>
              <w:tabs>
                <w:tab w:val="decimal" w:pos="663"/>
              </w:tabs>
            </w:pPr>
            <w:r>
              <w:t>1,5</w:t>
            </w:r>
          </w:p>
        </w:tc>
      </w:tr>
      <w:tr w:rsidR="00000000">
        <w:tc>
          <w:tcPr>
            <w:tcW w:w="1986" w:type="dxa"/>
            <w:tcMar>
              <w:left w:w="68" w:type="dxa"/>
              <w:right w:w="68" w:type="dxa"/>
            </w:tcMar>
          </w:tcPr>
          <w:p w:rsidR="00000000" w:rsidRDefault="00000000">
            <w:r>
              <w:t>Fitri Batha</w:t>
            </w:r>
          </w:p>
        </w:tc>
        <w:tc>
          <w:tcPr>
            <w:tcW w:w="1250" w:type="dxa"/>
            <w:tcMar>
              <w:left w:w="68" w:type="dxa"/>
              <w:right w:w="68" w:type="dxa"/>
            </w:tcMar>
          </w:tcPr>
          <w:p w:rsidR="00000000" w:rsidRDefault="00000000">
            <w:pPr>
              <w:keepNext/>
              <w:tabs>
                <w:tab w:val="decimal" w:pos="1060"/>
              </w:tabs>
            </w:pPr>
            <w:r>
              <w:t>84.678</w:t>
            </w:r>
          </w:p>
        </w:tc>
        <w:tc>
          <w:tcPr>
            <w:tcW w:w="1251" w:type="dxa"/>
            <w:tcMar>
              <w:left w:w="68" w:type="dxa"/>
              <w:right w:w="68" w:type="dxa"/>
            </w:tcMar>
          </w:tcPr>
          <w:p w:rsidR="00000000" w:rsidRDefault="00000000">
            <w:pPr>
              <w:keepNext/>
              <w:tabs>
                <w:tab w:val="decimal" w:pos="663"/>
              </w:tabs>
            </w:pPr>
            <w:r>
              <w:t>6,4</w:t>
            </w:r>
          </w:p>
        </w:tc>
        <w:tc>
          <w:tcPr>
            <w:tcW w:w="1251" w:type="dxa"/>
            <w:tcMar>
              <w:left w:w="68" w:type="dxa"/>
              <w:right w:w="68" w:type="dxa"/>
            </w:tcMar>
          </w:tcPr>
          <w:p w:rsidR="00000000" w:rsidRDefault="00000000">
            <w:pPr>
              <w:keepNext/>
              <w:tabs>
                <w:tab w:val="decimal" w:pos="1060"/>
              </w:tabs>
            </w:pPr>
            <w:r>
              <w:t>204.216</w:t>
            </w:r>
          </w:p>
        </w:tc>
        <w:tc>
          <w:tcPr>
            <w:tcW w:w="1251" w:type="dxa"/>
            <w:tcMar>
              <w:left w:w="68" w:type="dxa"/>
              <w:right w:w="68" w:type="dxa"/>
            </w:tcMar>
          </w:tcPr>
          <w:p w:rsidR="00000000" w:rsidRDefault="00000000">
            <w:pPr>
              <w:keepNext/>
              <w:tabs>
                <w:tab w:val="decimal" w:pos="663"/>
              </w:tabs>
            </w:pPr>
            <w:r>
              <w:t>4,2</w:t>
            </w:r>
          </w:p>
        </w:tc>
        <w:tc>
          <w:tcPr>
            <w:tcW w:w="1251" w:type="dxa"/>
            <w:tcMar>
              <w:left w:w="68" w:type="dxa"/>
              <w:right w:w="68" w:type="dxa"/>
            </w:tcMar>
          </w:tcPr>
          <w:p w:rsidR="00000000" w:rsidRDefault="00000000">
            <w:pPr>
              <w:keepNext/>
              <w:tabs>
                <w:tab w:val="decimal" w:pos="1060"/>
              </w:tabs>
            </w:pPr>
            <w:r>
              <w:t>288.894</w:t>
            </w:r>
          </w:p>
        </w:tc>
        <w:tc>
          <w:tcPr>
            <w:tcW w:w="1251" w:type="dxa"/>
            <w:tcMar>
              <w:left w:w="68" w:type="dxa"/>
              <w:right w:w="68" w:type="dxa"/>
            </w:tcMar>
          </w:tcPr>
          <w:p w:rsidR="00000000" w:rsidRDefault="00000000">
            <w:pPr>
              <w:tabs>
                <w:tab w:val="decimal" w:pos="663"/>
              </w:tabs>
            </w:pPr>
            <w:r>
              <w:t>4,7</w:t>
            </w:r>
          </w:p>
        </w:tc>
      </w:tr>
      <w:tr w:rsidR="00000000">
        <w:tc>
          <w:tcPr>
            <w:tcW w:w="1986" w:type="dxa"/>
            <w:tcMar>
              <w:left w:w="68" w:type="dxa"/>
              <w:right w:w="68" w:type="dxa"/>
            </w:tcMar>
          </w:tcPr>
          <w:p w:rsidR="00000000" w:rsidRDefault="00000000">
            <w:r>
              <w:t>Gorane</w:t>
            </w:r>
          </w:p>
        </w:tc>
        <w:tc>
          <w:tcPr>
            <w:tcW w:w="1250" w:type="dxa"/>
            <w:tcMar>
              <w:left w:w="68" w:type="dxa"/>
              <w:right w:w="68" w:type="dxa"/>
            </w:tcMar>
          </w:tcPr>
          <w:p w:rsidR="00000000" w:rsidRDefault="00000000">
            <w:pPr>
              <w:keepNext/>
              <w:tabs>
                <w:tab w:val="decimal" w:pos="1060"/>
              </w:tabs>
            </w:pPr>
            <w:r>
              <w:t>108.318</w:t>
            </w:r>
          </w:p>
        </w:tc>
        <w:tc>
          <w:tcPr>
            <w:tcW w:w="1251" w:type="dxa"/>
            <w:tcMar>
              <w:left w:w="68" w:type="dxa"/>
              <w:right w:w="68" w:type="dxa"/>
            </w:tcMar>
          </w:tcPr>
          <w:p w:rsidR="00000000" w:rsidRDefault="00000000">
            <w:pPr>
              <w:keepNext/>
              <w:tabs>
                <w:tab w:val="decimal" w:pos="663"/>
              </w:tabs>
            </w:pPr>
            <w:r>
              <w:t>8,2</w:t>
            </w:r>
          </w:p>
        </w:tc>
        <w:tc>
          <w:tcPr>
            <w:tcW w:w="1251" w:type="dxa"/>
            <w:tcMar>
              <w:left w:w="68" w:type="dxa"/>
              <w:right w:w="68" w:type="dxa"/>
            </w:tcMar>
          </w:tcPr>
          <w:p w:rsidR="00000000" w:rsidRDefault="00000000">
            <w:pPr>
              <w:keepNext/>
              <w:tabs>
                <w:tab w:val="decimal" w:pos="1060"/>
              </w:tabs>
            </w:pPr>
            <w:r>
              <w:t>280.470</w:t>
            </w:r>
          </w:p>
        </w:tc>
        <w:tc>
          <w:tcPr>
            <w:tcW w:w="1251" w:type="dxa"/>
            <w:tcMar>
              <w:left w:w="68" w:type="dxa"/>
              <w:right w:w="68" w:type="dxa"/>
            </w:tcMar>
          </w:tcPr>
          <w:p w:rsidR="00000000" w:rsidRDefault="00000000">
            <w:pPr>
              <w:keepNext/>
              <w:tabs>
                <w:tab w:val="decimal" w:pos="663"/>
              </w:tabs>
            </w:pPr>
            <w:r>
              <w:t>5,8</w:t>
            </w:r>
          </w:p>
        </w:tc>
        <w:tc>
          <w:tcPr>
            <w:tcW w:w="1251" w:type="dxa"/>
            <w:tcMar>
              <w:left w:w="68" w:type="dxa"/>
              <w:right w:w="68" w:type="dxa"/>
            </w:tcMar>
          </w:tcPr>
          <w:p w:rsidR="00000000" w:rsidRDefault="00000000">
            <w:pPr>
              <w:keepNext/>
              <w:tabs>
                <w:tab w:val="decimal" w:pos="1060"/>
              </w:tabs>
            </w:pPr>
            <w:r>
              <w:t>388.788</w:t>
            </w:r>
          </w:p>
        </w:tc>
        <w:tc>
          <w:tcPr>
            <w:tcW w:w="1251" w:type="dxa"/>
            <w:tcMar>
              <w:left w:w="68" w:type="dxa"/>
              <w:right w:w="68" w:type="dxa"/>
            </w:tcMar>
          </w:tcPr>
          <w:p w:rsidR="00000000" w:rsidRDefault="00000000">
            <w:pPr>
              <w:tabs>
                <w:tab w:val="decimal" w:pos="663"/>
              </w:tabs>
            </w:pPr>
            <w:r>
              <w:t>6,3</w:t>
            </w:r>
          </w:p>
        </w:tc>
      </w:tr>
      <w:tr w:rsidR="00000000">
        <w:tc>
          <w:tcPr>
            <w:tcW w:w="1986" w:type="dxa"/>
            <w:tcMar>
              <w:left w:w="68" w:type="dxa"/>
              <w:right w:w="68" w:type="dxa"/>
            </w:tcMar>
          </w:tcPr>
          <w:p w:rsidR="00000000" w:rsidRDefault="00000000">
            <w:r>
              <w:t>Hadjaraï</w:t>
            </w:r>
          </w:p>
        </w:tc>
        <w:tc>
          <w:tcPr>
            <w:tcW w:w="1250" w:type="dxa"/>
            <w:tcMar>
              <w:left w:w="68" w:type="dxa"/>
              <w:right w:w="68" w:type="dxa"/>
            </w:tcMar>
          </w:tcPr>
          <w:p w:rsidR="00000000" w:rsidRDefault="00000000">
            <w:pPr>
              <w:keepNext/>
              <w:tabs>
                <w:tab w:val="decimal" w:pos="1060"/>
              </w:tabs>
            </w:pPr>
            <w:r>
              <w:t>98.125</w:t>
            </w:r>
          </w:p>
        </w:tc>
        <w:tc>
          <w:tcPr>
            <w:tcW w:w="1251" w:type="dxa"/>
            <w:tcMar>
              <w:left w:w="68" w:type="dxa"/>
              <w:right w:w="68" w:type="dxa"/>
            </w:tcMar>
          </w:tcPr>
          <w:p w:rsidR="00000000" w:rsidRDefault="00000000">
            <w:pPr>
              <w:keepNext/>
              <w:tabs>
                <w:tab w:val="decimal" w:pos="663"/>
              </w:tabs>
            </w:pPr>
            <w:r>
              <w:t>7,4</w:t>
            </w:r>
          </w:p>
        </w:tc>
        <w:tc>
          <w:tcPr>
            <w:tcW w:w="1251" w:type="dxa"/>
            <w:tcMar>
              <w:left w:w="68" w:type="dxa"/>
              <w:right w:w="68" w:type="dxa"/>
            </w:tcMar>
          </w:tcPr>
          <w:p w:rsidR="00000000" w:rsidRDefault="00000000">
            <w:pPr>
              <w:keepNext/>
              <w:tabs>
                <w:tab w:val="decimal" w:pos="1060"/>
              </w:tabs>
            </w:pPr>
            <w:r>
              <w:t>315.794</w:t>
            </w:r>
          </w:p>
        </w:tc>
        <w:tc>
          <w:tcPr>
            <w:tcW w:w="1251" w:type="dxa"/>
            <w:tcMar>
              <w:left w:w="68" w:type="dxa"/>
              <w:right w:w="68" w:type="dxa"/>
            </w:tcMar>
          </w:tcPr>
          <w:p w:rsidR="00000000" w:rsidRDefault="00000000">
            <w:pPr>
              <w:keepNext/>
              <w:tabs>
                <w:tab w:val="decimal" w:pos="663"/>
              </w:tabs>
            </w:pPr>
            <w:r>
              <w:t>6,5</w:t>
            </w:r>
          </w:p>
        </w:tc>
        <w:tc>
          <w:tcPr>
            <w:tcW w:w="1251" w:type="dxa"/>
            <w:tcMar>
              <w:left w:w="68" w:type="dxa"/>
              <w:right w:w="68" w:type="dxa"/>
            </w:tcMar>
          </w:tcPr>
          <w:p w:rsidR="00000000" w:rsidRDefault="00000000">
            <w:pPr>
              <w:keepNext/>
              <w:tabs>
                <w:tab w:val="decimal" w:pos="1060"/>
              </w:tabs>
            </w:pPr>
            <w:r>
              <w:t>413.919</w:t>
            </w:r>
          </w:p>
        </w:tc>
        <w:tc>
          <w:tcPr>
            <w:tcW w:w="1251" w:type="dxa"/>
            <w:tcMar>
              <w:left w:w="68" w:type="dxa"/>
              <w:right w:w="68" w:type="dxa"/>
            </w:tcMar>
          </w:tcPr>
          <w:p w:rsidR="00000000" w:rsidRDefault="00000000">
            <w:pPr>
              <w:tabs>
                <w:tab w:val="decimal" w:pos="663"/>
              </w:tabs>
            </w:pPr>
            <w:r>
              <w:t>6,7</w:t>
            </w:r>
          </w:p>
        </w:tc>
      </w:tr>
      <w:tr w:rsidR="00000000">
        <w:tc>
          <w:tcPr>
            <w:tcW w:w="1986" w:type="dxa"/>
            <w:tcMar>
              <w:left w:w="68" w:type="dxa"/>
              <w:right w:w="68" w:type="dxa"/>
            </w:tcMar>
          </w:tcPr>
          <w:p w:rsidR="00000000" w:rsidRDefault="00000000">
            <w:r>
              <w:t>Kanem-Bornou</w:t>
            </w:r>
          </w:p>
        </w:tc>
        <w:tc>
          <w:tcPr>
            <w:tcW w:w="1250" w:type="dxa"/>
            <w:tcMar>
              <w:left w:w="68" w:type="dxa"/>
              <w:right w:w="68" w:type="dxa"/>
            </w:tcMar>
          </w:tcPr>
          <w:p w:rsidR="00000000" w:rsidRDefault="00000000">
            <w:pPr>
              <w:keepNext/>
              <w:tabs>
                <w:tab w:val="decimal" w:pos="1060"/>
              </w:tabs>
            </w:pPr>
            <w:r>
              <w:t>117.868</w:t>
            </w:r>
          </w:p>
        </w:tc>
        <w:tc>
          <w:tcPr>
            <w:tcW w:w="1251" w:type="dxa"/>
            <w:tcMar>
              <w:left w:w="68" w:type="dxa"/>
              <w:right w:w="68" w:type="dxa"/>
            </w:tcMar>
          </w:tcPr>
          <w:p w:rsidR="00000000" w:rsidRDefault="00000000">
            <w:pPr>
              <w:keepNext/>
              <w:tabs>
                <w:tab w:val="decimal" w:pos="663"/>
              </w:tabs>
            </w:pPr>
            <w:r>
              <w:t>8,9</w:t>
            </w:r>
          </w:p>
        </w:tc>
        <w:tc>
          <w:tcPr>
            <w:tcW w:w="1251" w:type="dxa"/>
            <w:tcMar>
              <w:left w:w="68" w:type="dxa"/>
              <w:right w:w="68" w:type="dxa"/>
            </w:tcMar>
          </w:tcPr>
          <w:p w:rsidR="00000000" w:rsidRDefault="00000000">
            <w:pPr>
              <w:keepNext/>
              <w:tabs>
                <w:tab w:val="decimal" w:pos="1060"/>
              </w:tabs>
            </w:pPr>
            <w:r>
              <w:t>438.607</w:t>
            </w:r>
          </w:p>
        </w:tc>
        <w:tc>
          <w:tcPr>
            <w:tcW w:w="1251" w:type="dxa"/>
            <w:tcMar>
              <w:left w:w="68" w:type="dxa"/>
              <w:right w:w="68" w:type="dxa"/>
            </w:tcMar>
          </w:tcPr>
          <w:p w:rsidR="00000000" w:rsidRDefault="00000000">
            <w:pPr>
              <w:keepNext/>
              <w:tabs>
                <w:tab w:val="decimal" w:pos="663"/>
              </w:tabs>
            </w:pPr>
            <w:r>
              <w:t>9,0</w:t>
            </w:r>
          </w:p>
        </w:tc>
        <w:tc>
          <w:tcPr>
            <w:tcW w:w="1251" w:type="dxa"/>
            <w:tcMar>
              <w:left w:w="68" w:type="dxa"/>
              <w:right w:w="68" w:type="dxa"/>
            </w:tcMar>
          </w:tcPr>
          <w:p w:rsidR="00000000" w:rsidRDefault="00000000">
            <w:pPr>
              <w:keepNext/>
              <w:tabs>
                <w:tab w:val="decimal" w:pos="1060"/>
              </w:tabs>
            </w:pPr>
            <w:r>
              <w:t>556.575</w:t>
            </w:r>
          </w:p>
        </w:tc>
        <w:tc>
          <w:tcPr>
            <w:tcW w:w="1251" w:type="dxa"/>
            <w:tcMar>
              <w:left w:w="68" w:type="dxa"/>
              <w:right w:w="68" w:type="dxa"/>
            </w:tcMar>
          </w:tcPr>
          <w:p w:rsidR="00000000" w:rsidRDefault="00000000">
            <w:pPr>
              <w:tabs>
                <w:tab w:val="decimal" w:pos="663"/>
              </w:tabs>
            </w:pPr>
            <w:r>
              <w:t>9,0</w:t>
            </w:r>
          </w:p>
        </w:tc>
      </w:tr>
      <w:tr w:rsidR="00000000">
        <w:tc>
          <w:tcPr>
            <w:tcW w:w="1986" w:type="dxa"/>
            <w:tcMar>
              <w:left w:w="68" w:type="dxa"/>
              <w:right w:w="68" w:type="dxa"/>
            </w:tcMar>
          </w:tcPr>
          <w:p w:rsidR="00000000" w:rsidRDefault="00000000">
            <w:r>
              <w:t>Lac Iro</w:t>
            </w:r>
          </w:p>
        </w:tc>
        <w:tc>
          <w:tcPr>
            <w:tcW w:w="1250" w:type="dxa"/>
            <w:tcMar>
              <w:left w:w="68" w:type="dxa"/>
              <w:right w:w="68" w:type="dxa"/>
            </w:tcMar>
          </w:tcPr>
          <w:p w:rsidR="00000000" w:rsidRDefault="00000000">
            <w:pPr>
              <w:keepNext/>
              <w:tabs>
                <w:tab w:val="decimal" w:pos="1060"/>
              </w:tabs>
            </w:pPr>
            <w:r>
              <w:t>6.092</w:t>
            </w:r>
          </w:p>
        </w:tc>
        <w:tc>
          <w:tcPr>
            <w:tcW w:w="1251" w:type="dxa"/>
            <w:tcMar>
              <w:left w:w="68" w:type="dxa"/>
              <w:right w:w="68" w:type="dxa"/>
            </w:tcMar>
          </w:tcPr>
          <w:p w:rsidR="00000000" w:rsidRDefault="00000000">
            <w:pPr>
              <w:keepNext/>
              <w:tabs>
                <w:tab w:val="decimal" w:pos="663"/>
              </w:tabs>
            </w:pPr>
            <w:r>
              <w:t>0,5</w:t>
            </w:r>
          </w:p>
        </w:tc>
        <w:tc>
          <w:tcPr>
            <w:tcW w:w="1251" w:type="dxa"/>
            <w:tcMar>
              <w:left w:w="68" w:type="dxa"/>
              <w:right w:w="68" w:type="dxa"/>
            </w:tcMar>
          </w:tcPr>
          <w:p w:rsidR="00000000" w:rsidRDefault="00000000">
            <w:pPr>
              <w:keepNext/>
              <w:tabs>
                <w:tab w:val="decimal" w:pos="1060"/>
              </w:tabs>
            </w:pPr>
            <w:r>
              <w:t>27.453</w:t>
            </w:r>
          </w:p>
        </w:tc>
        <w:tc>
          <w:tcPr>
            <w:tcW w:w="1251" w:type="dxa"/>
            <w:tcMar>
              <w:left w:w="68" w:type="dxa"/>
              <w:right w:w="68" w:type="dxa"/>
            </w:tcMar>
          </w:tcPr>
          <w:p w:rsidR="00000000" w:rsidRDefault="00000000">
            <w:pPr>
              <w:keepNext/>
              <w:tabs>
                <w:tab w:val="decimal" w:pos="663"/>
              </w:tabs>
            </w:pPr>
            <w:r>
              <w:t>0,6</w:t>
            </w:r>
          </w:p>
        </w:tc>
        <w:tc>
          <w:tcPr>
            <w:tcW w:w="1251" w:type="dxa"/>
            <w:tcMar>
              <w:left w:w="68" w:type="dxa"/>
              <w:right w:w="68" w:type="dxa"/>
            </w:tcMar>
          </w:tcPr>
          <w:p w:rsidR="00000000" w:rsidRDefault="00000000">
            <w:pPr>
              <w:keepNext/>
              <w:tabs>
                <w:tab w:val="decimal" w:pos="1060"/>
              </w:tabs>
            </w:pPr>
            <w:r>
              <w:t>33.545</w:t>
            </w:r>
          </w:p>
        </w:tc>
        <w:tc>
          <w:tcPr>
            <w:tcW w:w="1251" w:type="dxa"/>
            <w:tcMar>
              <w:left w:w="68" w:type="dxa"/>
              <w:right w:w="68" w:type="dxa"/>
            </w:tcMar>
          </w:tcPr>
          <w:p w:rsidR="00000000" w:rsidRDefault="00000000">
            <w:pPr>
              <w:tabs>
                <w:tab w:val="decimal" w:pos="663"/>
              </w:tabs>
            </w:pPr>
            <w:r>
              <w:t>0,5</w:t>
            </w:r>
          </w:p>
        </w:tc>
      </w:tr>
      <w:tr w:rsidR="00000000">
        <w:tc>
          <w:tcPr>
            <w:tcW w:w="1986" w:type="dxa"/>
            <w:tcMar>
              <w:left w:w="68" w:type="dxa"/>
              <w:right w:w="68" w:type="dxa"/>
            </w:tcMar>
          </w:tcPr>
          <w:p w:rsidR="00000000" w:rsidRDefault="00000000">
            <w:r>
              <w:t>Mayo Kebbi</w:t>
            </w:r>
          </w:p>
        </w:tc>
        <w:tc>
          <w:tcPr>
            <w:tcW w:w="1250" w:type="dxa"/>
            <w:tcMar>
              <w:left w:w="68" w:type="dxa"/>
              <w:right w:w="68" w:type="dxa"/>
            </w:tcMar>
          </w:tcPr>
          <w:p w:rsidR="00000000" w:rsidRDefault="00000000">
            <w:pPr>
              <w:keepNext/>
              <w:tabs>
                <w:tab w:val="decimal" w:pos="1060"/>
              </w:tabs>
            </w:pPr>
            <w:r>
              <w:t>81.363</w:t>
            </w:r>
          </w:p>
        </w:tc>
        <w:tc>
          <w:tcPr>
            <w:tcW w:w="1251" w:type="dxa"/>
            <w:tcMar>
              <w:left w:w="68" w:type="dxa"/>
              <w:right w:w="68" w:type="dxa"/>
            </w:tcMar>
          </w:tcPr>
          <w:p w:rsidR="00000000" w:rsidRDefault="00000000">
            <w:pPr>
              <w:keepNext/>
              <w:tabs>
                <w:tab w:val="decimal" w:pos="663"/>
              </w:tabs>
            </w:pPr>
            <w:r>
              <w:t>6,1</w:t>
            </w:r>
          </w:p>
        </w:tc>
        <w:tc>
          <w:tcPr>
            <w:tcW w:w="1251" w:type="dxa"/>
            <w:tcMar>
              <w:left w:w="68" w:type="dxa"/>
              <w:right w:w="68" w:type="dxa"/>
            </w:tcMar>
          </w:tcPr>
          <w:p w:rsidR="00000000" w:rsidRDefault="00000000">
            <w:pPr>
              <w:keepNext/>
              <w:tabs>
                <w:tab w:val="decimal" w:pos="1060"/>
              </w:tabs>
            </w:pPr>
            <w:r>
              <w:t>632.464</w:t>
            </w:r>
          </w:p>
        </w:tc>
        <w:tc>
          <w:tcPr>
            <w:tcW w:w="1251" w:type="dxa"/>
            <w:tcMar>
              <w:left w:w="68" w:type="dxa"/>
              <w:right w:w="68" w:type="dxa"/>
            </w:tcMar>
          </w:tcPr>
          <w:p w:rsidR="00000000" w:rsidRDefault="00000000">
            <w:pPr>
              <w:keepNext/>
              <w:tabs>
                <w:tab w:val="decimal" w:pos="663"/>
              </w:tabs>
            </w:pPr>
            <w:r>
              <w:t>13,0</w:t>
            </w:r>
          </w:p>
        </w:tc>
        <w:tc>
          <w:tcPr>
            <w:tcW w:w="1251" w:type="dxa"/>
            <w:tcMar>
              <w:left w:w="68" w:type="dxa"/>
              <w:right w:w="68" w:type="dxa"/>
            </w:tcMar>
          </w:tcPr>
          <w:p w:rsidR="00000000" w:rsidRDefault="00000000">
            <w:pPr>
              <w:keepNext/>
              <w:tabs>
                <w:tab w:val="decimal" w:pos="1060"/>
              </w:tabs>
            </w:pPr>
            <w:r>
              <w:t>713.827</w:t>
            </w:r>
          </w:p>
        </w:tc>
        <w:tc>
          <w:tcPr>
            <w:tcW w:w="1251" w:type="dxa"/>
            <w:tcMar>
              <w:left w:w="68" w:type="dxa"/>
              <w:right w:w="68" w:type="dxa"/>
            </w:tcMar>
          </w:tcPr>
          <w:p w:rsidR="00000000" w:rsidRDefault="00000000">
            <w:pPr>
              <w:tabs>
                <w:tab w:val="decimal" w:pos="663"/>
              </w:tabs>
            </w:pPr>
            <w:r>
              <w:t>11,5</w:t>
            </w:r>
          </w:p>
        </w:tc>
      </w:tr>
      <w:tr w:rsidR="00000000">
        <w:tc>
          <w:tcPr>
            <w:tcW w:w="1986" w:type="dxa"/>
            <w:tcMar>
              <w:left w:w="68" w:type="dxa"/>
              <w:right w:w="68" w:type="dxa"/>
            </w:tcMar>
          </w:tcPr>
          <w:p w:rsidR="00000000" w:rsidRDefault="00000000">
            <w:r>
              <w:t>Ouaddaï</w:t>
            </w:r>
          </w:p>
        </w:tc>
        <w:tc>
          <w:tcPr>
            <w:tcW w:w="1250" w:type="dxa"/>
            <w:tcMar>
              <w:left w:w="68" w:type="dxa"/>
              <w:right w:w="68" w:type="dxa"/>
            </w:tcMar>
          </w:tcPr>
          <w:p w:rsidR="00000000" w:rsidRDefault="00000000">
            <w:pPr>
              <w:keepNext/>
              <w:tabs>
                <w:tab w:val="decimal" w:pos="1060"/>
              </w:tabs>
            </w:pPr>
            <w:r>
              <w:t>85.837</w:t>
            </w:r>
          </w:p>
        </w:tc>
        <w:tc>
          <w:tcPr>
            <w:tcW w:w="1251" w:type="dxa"/>
            <w:tcMar>
              <w:left w:w="68" w:type="dxa"/>
              <w:right w:w="68" w:type="dxa"/>
            </w:tcMar>
          </w:tcPr>
          <w:p w:rsidR="00000000" w:rsidRDefault="00000000">
            <w:pPr>
              <w:keepNext/>
              <w:tabs>
                <w:tab w:val="decimal" w:pos="663"/>
              </w:tabs>
            </w:pPr>
            <w:r>
              <w:t>6,5</w:t>
            </w:r>
          </w:p>
        </w:tc>
        <w:tc>
          <w:tcPr>
            <w:tcW w:w="1251" w:type="dxa"/>
            <w:tcMar>
              <w:left w:w="68" w:type="dxa"/>
              <w:right w:w="68" w:type="dxa"/>
            </w:tcMar>
          </w:tcPr>
          <w:p w:rsidR="00000000" w:rsidRDefault="00000000">
            <w:pPr>
              <w:keepNext/>
              <w:tabs>
                <w:tab w:val="decimal" w:pos="1060"/>
              </w:tabs>
            </w:pPr>
            <w:r>
              <w:t>455.445</w:t>
            </w:r>
          </w:p>
        </w:tc>
        <w:tc>
          <w:tcPr>
            <w:tcW w:w="1251" w:type="dxa"/>
            <w:tcMar>
              <w:left w:w="68" w:type="dxa"/>
              <w:right w:w="68" w:type="dxa"/>
            </w:tcMar>
          </w:tcPr>
          <w:p w:rsidR="00000000" w:rsidRDefault="00000000">
            <w:pPr>
              <w:keepNext/>
              <w:tabs>
                <w:tab w:val="decimal" w:pos="663"/>
              </w:tabs>
            </w:pPr>
            <w:r>
              <w:t>9,4</w:t>
            </w:r>
          </w:p>
        </w:tc>
        <w:tc>
          <w:tcPr>
            <w:tcW w:w="1251" w:type="dxa"/>
            <w:tcMar>
              <w:left w:w="68" w:type="dxa"/>
              <w:right w:w="68" w:type="dxa"/>
            </w:tcMar>
          </w:tcPr>
          <w:p w:rsidR="00000000" w:rsidRDefault="00000000">
            <w:pPr>
              <w:keepNext/>
              <w:tabs>
                <w:tab w:val="decimal" w:pos="1060"/>
              </w:tabs>
            </w:pPr>
            <w:r>
              <w:t>541.282</w:t>
            </w:r>
          </w:p>
        </w:tc>
        <w:tc>
          <w:tcPr>
            <w:tcW w:w="1251" w:type="dxa"/>
            <w:tcMar>
              <w:left w:w="68" w:type="dxa"/>
              <w:right w:w="68" w:type="dxa"/>
            </w:tcMar>
          </w:tcPr>
          <w:p w:rsidR="00000000" w:rsidRDefault="00000000">
            <w:pPr>
              <w:tabs>
                <w:tab w:val="decimal" w:pos="663"/>
              </w:tabs>
            </w:pPr>
            <w:r>
              <w:t>8,7</w:t>
            </w:r>
          </w:p>
        </w:tc>
      </w:tr>
      <w:tr w:rsidR="00000000">
        <w:tc>
          <w:tcPr>
            <w:tcW w:w="1986" w:type="dxa"/>
            <w:tcMar>
              <w:left w:w="68" w:type="dxa"/>
              <w:right w:w="68" w:type="dxa"/>
            </w:tcMar>
          </w:tcPr>
          <w:p w:rsidR="00000000" w:rsidRDefault="00000000">
            <w:r>
              <w:t>Peul</w:t>
            </w:r>
          </w:p>
        </w:tc>
        <w:tc>
          <w:tcPr>
            <w:tcW w:w="1250" w:type="dxa"/>
            <w:tcMar>
              <w:left w:w="68" w:type="dxa"/>
              <w:right w:w="68" w:type="dxa"/>
            </w:tcMar>
          </w:tcPr>
          <w:p w:rsidR="00000000" w:rsidRDefault="00000000">
            <w:pPr>
              <w:keepNext/>
              <w:tabs>
                <w:tab w:val="decimal" w:pos="1060"/>
              </w:tabs>
            </w:pPr>
            <w:r>
              <w:t>26.020</w:t>
            </w:r>
          </w:p>
        </w:tc>
        <w:tc>
          <w:tcPr>
            <w:tcW w:w="1251" w:type="dxa"/>
            <w:tcMar>
              <w:left w:w="68" w:type="dxa"/>
              <w:right w:w="68" w:type="dxa"/>
            </w:tcMar>
          </w:tcPr>
          <w:p w:rsidR="00000000" w:rsidRDefault="00000000">
            <w:pPr>
              <w:keepNext/>
              <w:tabs>
                <w:tab w:val="decimal" w:pos="663"/>
              </w:tabs>
            </w:pPr>
            <w:r>
              <w:t>2,0</w:t>
            </w:r>
          </w:p>
        </w:tc>
        <w:tc>
          <w:tcPr>
            <w:tcW w:w="1251" w:type="dxa"/>
            <w:tcMar>
              <w:left w:w="68" w:type="dxa"/>
              <w:right w:w="68" w:type="dxa"/>
            </w:tcMar>
          </w:tcPr>
          <w:p w:rsidR="00000000" w:rsidRDefault="00000000">
            <w:pPr>
              <w:keepNext/>
              <w:tabs>
                <w:tab w:val="decimal" w:pos="1060"/>
              </w:tabs>
            </w:pPr>
            <w:r>
              <w:t>125.663</w:t>
            </w:r>
          </w:p>
        </w:tc>
        <w:tc>
          <w:tcPr>
            <w:tcW w:w="1251" w:type="dxa"/>
            <w:tcMar>
              <w:left w:w="68" w:type="dxa"/>
              <w:right w:w="68" w:type="dxa"/>
            </w:tcMar>
          </w:tcPr>
          <w:p w:rsidR="00000000" w:rsidRDefault="00000000">
            <w:pPr>
              <w:keepNext/>
              <w:tabs>
                <w:tab w:val="decimal" w:pos="663"/>
              </w:tabs>
            </w:pPr>
            <w:r>
              <w:t>2,6</w:t>
            </w:r>
          </w:p>
        </w:tc>
        <w:tc>
          <w:tcPr>
            <w:tcW w:w="1251" w:type="dxa"/>
            <w:tcMar>
              <w:left w:w="68" w:type="dxa"/>
              <w:right w:w="68" w:type="dxa"/>
            </w:tcMar>
          </w:tcPr>
          <w:p w:rsidR="00000000" w:rsidRDefault="00000000">
            <w:pPr>
              <w:keepNext/>
              <w:tabs>
                <w:tab w:val="decimal" w:pos="1060"/>
              </w:tabs>
            </w:pPr>
            <w:r>
              <w:t>151.683</w:t>
            </w:r>
          </w:p>
        </w:tc>
        <w:tc>
          <w:tcPr>
            <w:tcW w:w="1251" w:type="dxa"/>
            <w:tcMar>
              <w:left w:w="68" w:type="dxa"/>
              <w:right w:w="68" w:type="dxa"/>
            </w:tcMar>
          </w:tcPr>
          <w:p w:rsidR="00000000" w:rsidRDefault="00000000">
            <w:pPr>
              <w:tabs>
                <w:tab w:val="decimal" w:pos="663"/>
              </w:tabs>
            </w:pPr>
            <w:r>
              <w:t>2,4</w:t>
            </w:r>
          </w:p>
        </w:tc>
      </w:tr>
      <w:tr w:rsidR="00000000">
        <w:tc>
          <w:tcPr>
            <w:tcW w:w="1986" w:type="dxa"/>
            <w:tcMar>
              <w:left w:w="68" w:type="dxa"/>
              <w:right w:w="68" w:type="dxa"/>
            </w:tcMar>
          </w:tcPr>
          <w:p w:rsidR="00000000" w:rsidRDefault="00000000">
            <w:r>
              <w:t>Sara</w:t>
            </w:r>
          </w:p>
        </w:tc>
        <w:tc>
          <w:tcPr>
            <w:tcW w:w="1250" w:type="dxa"/>
            <w:tcMar>
              <w:left w:w="68" w:type="dxa"/>
              <w:right w:w="68" w:type="dxa"/>
            </w:tcMar>
          </w:tcPr>
          <w:p w:rsidR="00000000" w:rsidRDefault="00000000">
            <w:pPr>
              <w:keepNext/>
              <w:tabs>
                <w:tab w:val="decimal" w:pos="1060"/>
              </w:tabs>
            </w:pPr>
            <w:r>
              <w:t>394.116</w:t>
            </w:r>
          </w:p>
        </w:tc>
        <w:tc>
          <w:tcPr>
            <w:tcW w:w="1251" w:type="dxa"/>
            <w:tcMar>
              <w:left w:w="68" w:type="dxa"/>
              <w:right w:w="68" w:type="dxa"/>
            </w:tcMar>
          </w:tcPr>
          <w:p w:rsidR="00000000" w:rsidRDefault="00000000">
            <w:pPr>
              <w:keepNext/>
              <w:tabs>
                <w:tab w:val="decimal" w:pos="663"/>
              </w:tabs>
            </w:pPr>
            <w:r>
              <w:t>29,8</w:t>
            </w:r>
          </w:p>
        </w:tc>
        <w:tc>
          <w:tcPr>
            <w:tcW w:w="1251" w:type="dxa"/>
            <w:tcMar>
              <w:left w:w="68" w:type="dxa"/>
              <w:right w:w="68" w:type="dxa"/>
            </w:tcMar>
          </w:tcPr>
          <w:p w:rsidR="00000000" w:rsidRDefault="00000000">
            <w:pPr>
              <w:keepNext/>
              <w:tabs>
                <w:tab w:val="decimal" w:pos="1060"/>
              </w:tabs>
            </w:pPr>
            <w:r>
              <w:t>1.320.650</w:t>
            </w:r>
          </w:p>
        </w:tc>
        <w:tc>
          <w:tcPr>
            <w:tcW w:w="1251" w:type="dxa"/>
            <w:tcMar>
              <w:left w:w="68" w:type="dxa"/>
              <w:right w:w="68" w:type="dxa"/>
            </w:tcMar>
          </w:tcPr>
          <w:p w:rsidR="00000000" w:rsidRDefault="00000000">
            <w:pPr>
              <w:keepNext/>
              <w:tabs>
                <w:tab w:val="decimal" w:pos="663"/>
              </w:tabs>
            </w:pPr>
            <w:r>
              <w:t>27,1</w:t>
            </w:r>
          </w:p>
        </w:tc>
        <w:tc>
          <w:tcPr>
            <w:tcW w:w="1251" w:type="dxa"/>
            <w:tcMar>
              <w:left w:w="68" w:type="dxa"/>
              <w:right w:w="68" w:type="dxa"/>
            </w:tcMar>
          </w:tcPr>
          <w:p w:rsidR="00000000" w:rsidRDefault="00000000">
            <w:pPr>
              <w:keepNext/>
              <w:tabs>
                <w:tab w:val="decimal" w:pos="1060"/>
              </w:tabs>
            </w:pPr>
            <w:r>
              <w:t>1.714.766</w:t>
            </w:r>
          </w:p>
        </w:tc>
        <w:tc>
          <w:tcPr>
            <w:tcW w:w="1251" w:type="dxa"/>
            <w:tcMar>
              <w:left w:w="68" w:type="dxa"/>
              <w:right w:w="68" w:type="dxa"/>
            </w:tcMar>
          </w:tcPr>
          <w:p w:rsidR="00000000" w:rsidRDefault="00000000">
            <w:pPr>
              <w:tabs>
                <w:tab w:val="decimal" w:pos="663"/>
              </w:tabs>
            </w:pPr>
            <w:r>
              <w:t>27,7</w:t>
            </w:r>
          </w:p>
        </w:tc>
      </w:tr>
      <w:tr w:rsidR="00000000">
        <w:tc>
          <w:tcPr>
            <w:tcW w:w="1986" w:type="dxa"/>
            <w:tcMar>
              <w:left w:w="68" w:type="dxa"/>
              <w:right w:w="68" w:type="dxa"/>
            </w:tcMar>
          </w:tcPr>
          <w:p w:rsidR="00000000" w:rsidRDefault="00000000">
            <w:r>
              <w:t>Tandjilé</w:t>
            </w:r>
          </w:p>
        </w:tc>
        <w:tc>
          <w:tcPr>
            <w:tcW w:w="1250" w:type="dxa"/>
            <w:tcMar>
              <w:left w:w="68" w:type="dxa"/>
              <w:right w:w="68" w:type="dxa"/>
            </w:tcMar>
          </w:tcPr>
          <w:p w:rsidR="00000000" w:rsidRDefault="00000000">
            <w:pPr>
              <w:keepNext/>
              <w:tabs>
                <w:tab w:val="decimal" w:pos="1060"/>
              </w:tabs>
            </w:pPr>
            <w:r>
              <w:t>63.156</w:t>
            </w:r>
          </w:p>
        </w:tc>
        <w:tc>
          <w:tcPr>
            <w:tcW w:w="1251" w:type="dxa"/>
            <w:tcMar>
              <w:left w:w="68" w:type="dxa"/>
              <w:right w:w="68" w:type="dxa"/>
            </w:tcMar>
          </w:tcPr>
          <w:p w:rsidR="00000000" w:rsidRDefault="00000000">
            <w:pPr>
              <w:keepNext/>
              <w:tabs>
                <w:tab w:val="decimal" w:pos="663"/>
              </w:tabs>
            </w:pPr>
            <w:r>
              <w:t>4,8</w:t>
            </w:r>
          </w:p>
        </w:tc>
        <w:tc>
          <w:tcPr>
            <w:tcW w:w="1251" w:type="dxa"/>
            <w:tcMar>
              <w:left w:w="68" w:type="dxa"/>
              <w:right w:w="68" w:type="dxa"/>
            </w:tcMar>
          </w:tcPr>
          <w:p w:rsidR="00000000" w:rsidRDefault="00000000">
            <w:pPr>
              <w:keepNext/>
              <w:tabs>
                <w:tab w:val="decimal" w:pos="1060"/>
              </w:tabs>
            </w:pPr>
            <w:r>
              <w:t>337.723</w:t>
            </w:r>
          </w:p>
        </w:tc>
        <w:tc>
          <w:tcPr>
            <w:tcW w:w="1251" w:type="dxa"/>
            <w:tcMar>
              <w:left w:w="68" w:type="dxa"/>
              <w:right w:w="68" w:type="dxa"/>
            </w:tcMar>
          </w:tcPr>
          <w:p w:rsidR="00000000" w:rsidRDefault="00000000">
            <w:pPr>
              <w:keepNext/>
              <w:tabs>
                <w:tab w:val="decimal" w:pos="663"/>
              </w:tabs>
            </w:pPr>
            <w:r>
              <w:t>6,9</w:t>
            </w:r>
          </w:p>
        </w:tc>
        <w:tc>
          <w:tcPr>
            <w:tcW w:w="1251" w:type="dxa"/>
            <w:tcMar>
              <w:left w:w="68" w:type="dxa"/>
              <w:right w:w="68" w:type="dxa"/>
            </w:tcMar>
          </w:tcPr>
          <w:p w:rsidR="00000000" w:rsidRDefault="00000000">
            <w:pPr>
              <w:keepNext/>
              <w:tabs>
                <w:tab w:val="decimal" w:pos="1060"/>
              </w:tabs>
            </w:pPr>
            <w:r>
              <w:t>400.879</w:t>
            </w:r>
          </w:p>
        </w:tc>
        <w:tc>
          <w:tcPr>
            <w:tcW w:w="1251" w:type="dxa"/>
            <w:tcMar>
              <w:left w:w="68" w:type="dxa"/>
              <w:right w:w="68" w:type="dxa"/>
            </w:tcMar>
          </w:tcPr>
          <w:p w:rsidR="00000000" w:rsidRDefault="00000000">
            <w:pPr>
              <w:tabs>
                <w:tab w:val="decimal" w:pos="663"/>
              </w:tabs>
            </w:pPr>
            <w:r>
              <w:t>6,5</w:t>
            </w:r>
          </w:p>
        </w:tc>
      </w:tr>
      <w:tr w:rsidR="00000000">
        <w:tc>
          <w:tcPr>
            <w:tcW w:w="1986" w:type="dxa"/>
            <w:tcMar>
              <w:left w:w="68" w:type="dxa"/>
              <w:right w:w="68" w:type="dxa"/>
            </w:tcMar>
          </w:tcPr>
          <w:p w:rsidR="00000000" w:rsidRDefault="00000000">
            <w:r>
              <w:t>Otros</w:t>
            </w:r>
          </w:p>
        </w:tc>
        <w:tc>
          <w:tcPr>
            <w:tcW w:w="1250" w:type="dxa"/>
            <w:tcMar>
              <w:left w:w="68" w:type="dxa"/>
              <w:right w:w="68" w:type="dxa"/>
            </w:tcMar>
          </w:tcPr>
          <w:p w:rsidR="00000000" w:rsidRDefault="00000000">
            <w:pPr>
              <w:keepNext/>
              <w:tabs>
                <w:tab w:val="decimal" w:pos="1060"/>
              </w:tabs>
            </w:pPr>
            <w:r>
              <w:t>10.104</w:t>
            </w:r>
          </w:p>
        </w:tc>
        <w:tc>
          <w:tcPr>
            <w:tcW w:w="1251" w:type="dxa"/>
            <w:tcMar>
              <w:left w:w="68" w:type="dxa"/>
              <w:right w:w="68" w:type="dxa"/>
            </w:tcMar>
          </w:tcPr>
          <w:p w:rsidR="00000000" w:rsidRDefault="00000000">
            <w:pPr>
              <w:keepNext/>
              <w:tabs>
                <w:tab w:val="decimal" w:pos="663"/>
              </w:tabs>
            </w:pPr>
            <w:r>
              <w:t>0,8</w:t>
            </w:r>
          </w:p>
        </w:tc>
        <w:tc>
          <w:tcPr>
            <w:tcW w:w="1251" w:type="dxa"/>
            <w:tcMar>
              <w:left w:w="68" w:type="dxa"/>
              <w:right w:w="68" w:type="dxa"/>
            </w:tcMar>
          </w:tcPr>
          <w:p w:rsidR="00000000" w:rsidRDefault="00000000">
            <w:pPr>
              <w:keepNext/>
              <w:tabs>
                <w:tab w:val="decimal" w:pos="1060"/>
              </w:tabs>
            </w:pPr>
            <w:r>
              <w:t>20.141</w:t>
            </w:r>
          </w:p>
        </w:tc>
        <w:tc>
          <w:tcPr>
            <w:tcW w:w="1251" w:type="dxa"/>
            <w:tcMar>
              <w:left w:w="68" w:type="dxa"/>
              <w:right w:w="68" w:type="dxa"/>
            </w:tcMar>
          </w:tcPr>
          <w:p w:rsidR="00000000" w:rsidRDefault="00000000">
            <w:pPr>
              <w:keepNext/>
              <w:tabs>
                <w:tab w:val="decimal" w:pos="663"/>
              </w:tabs>
            </w:pPr>
            <w:r>
              <w:t>0,4</w:t>
            </w:r>
          </w:p>
        </w:tc>
        <w:tc>
          <w:tcPr>
            <w:tcW w:w="1251" w:type="dxa"/>
            <w:tcMar>
              <w:left w:w="68" w:type="dxa"/>
              <w:right w:w="68" w:type="dxa"/>
            </w:tcMar>
          </w:tcPr>
          <w:p w:rsidR="00000000" w:rsidRDefault="00000000">
            <w:pPr>
              <w:keepNext/>
              <w:tabs>
                <w:tab w:val="decimal" w:pos="1060"/>
              </w:tabs>
            </w:pPr>
            <w:r>
              <w:t>30.245</w:t>
            </w:r>
          </w:p>
        </w:tc>
        <w:tc>
          <w:tcPr>
            <w:tcW w:w="1251" w:type="dxa"/>
            <w:tcMar>
              <w:left w:w="68" w:type="dxa"/>
              <w:right w:w="68" w:type="dxa"/>
            </w:tcMar>
          </w:tcPr>
          <w:p w:rsidR="00000000" w:rsidRDefault="00000000">
            <w:pPr>
              <w:tabs>
                <w:tab w:val="decimal" w:pos="663"/>
              </w:tabs>
            </w:pPr>
            <w:r>
              <w:t>0,5</w:t>
            </w:r>
          </w:p>
        </w:tc>
      </w:tr>
      <w:tr w:rsidR="00000000">
        <w:tc>
          <w:tcPr>
            <w:tcW w:w="1986" w:type="dxa"/>
            <w:tcMar>
              <w:left w:w="68" w:type="dxa"/>
              <w:right w:w="68" w:type="dxa"/>
            </w:tcMar>
          </w:tcPr>
          <w:p w:rsidR="00000000" w:rsidRDefault="00000000">
            <w:r>
              <w:t>Varios</w:t>
            </w:r>
          </w:p>
        </w:tc>
        <w:tc>
          <w:tcPr>
            <w:tcW w:w="1250" w:type="dxa"/>
            <w:tcMar>
              <w:left w:w="68" w:type="dxa"/>
              <w:right w:w="68" w:type="dxa"/>
            </w:tcMar>
          </w:tcPr>
          <w:p w:rsidR="00000000" w:rsidRDefault="00000000">
            <w:pPr>
              <w:keepNext/>
              <w:tabs>
                <w:tab w:val="decimal" w:pos="1060"/>
              </w:tabs>
            </w:pPr>
            <w:r>
              <w:t>23.845</w:t>
            </w:r>
          </w:p>
        </w:tc>
        <w:tc>
          <w:tcPr>
            <w:tcW w:w="1251" w:type="dxa"/>
            <w:tcMar>
              <w:left w:w="68" w:type="dxa"/>
              <w:right w:w="68" w:type="dxa"/>
            </w:tcMar>
          </w:tcPr>
          <w:p w:rsidR="00000000" w:rsidRDefault="00000000">
            <w:pPr>
              <w:keepNext/>
              <w:tabs>
                <w:tab w:val="decimal" w:pos="663"/>
              </w:tabs>
            </w:pPr>
            <w:r>
              <w:t>1,8</w:t>
            </w:r>
          </w:p>
        </w:tc>
        <w:tc>
          <w:tcPr>
            <w:tcW w:w="1251" w:type="dxa"/>
            <w:tcMar>
              <w:left w:w="68" w:type="dxa"/>
              <w:right w:w="68" w:type="dxa"/>
            </w:tcMar>
          </w:tcPr>
          <w:p w:rsidR="00000000" w:rsidRDefault="00000000">
            <w:pPr>
              <w:keepNext/>
              <w:tabs>
                <w:tab w:val="decimal" w:pos="1060"/>
              </w:tabs>
            </w:pPr>
            <w:r>
              <w:t>21.149</w:t>
            </w:r>
          </w:p>
        </w:tc>
        <w:tc>
          <w:tcPr>
            <w:tcW w:w="1251" w:type="dxa"/>
            <w:tcMar>
              <w:left w:w="68" w:type="dxa"/>
              <w:right w:w="68" w:type="dxa"/>
            </w:tcMar>
          </w:tcPr>
          <w:p w:rsidR="00000000" w:rsidRDefault="00000000">
            <w:pPr>
              <w:keepNext/>
              <w:tabs>
                <w:tab w:val="decimal" w:pos="663"/>
              </w:tabs>
            </w:pPr>
            <w:r>
              <w:t>0,4</w:t>
            </w:r>
          </w:p>
        </w:tc>
        <w:tc>
          <w:tcPr>
            <w:tcW w:w="1251" w:type="dxa"/>
            <w:tcMar>
              <w:left w:w="68" w:type="dxa"/>
              <w:right w:w="68" w:type="dxa"/>
            </w:tcMar>
          </w:tcPr>
          <w:p w:rsidR="00000000" w:rsidRDefault="00000000">
            <w:pPr>
              <w:keepNext/>
              <w:tabs>
                <w:tab w:val="decimal" w:pos="1060"/>
              </w:tabs>
            </w:pPr>
            <w:r>
              <w:t>44.994</w:t>
            </w:r>
          </w:p>
        </w:tc>
        <w:tc>
          <w:tcPr>
            <w:tcW w:w="1251" w:type="dxa"/>
            <w:tcMar>
              <w:left w:w="68" w:type="dxa"/>
              <w:right w:w="68" w:type="dxa"/>
            </w:tcMar>
          </w:tcPr>
          <w:p w:rsidR="00000000" w:rsidRDefault="00000000">
            <w:pPr>
              <w:tabs>
                <w:tab w:val="decimal" w:pos="663"/>
              </w:tabs>
            </w:pPr>
            <w:r>
              <w:t>0,7</w:t>
            </w:r>
          </w:p>
        </w:tc>
      </w:tr>
      <w:tr w:rsidR="00000000">
        <w:tc>
          <w:tcPr>
            <w:tcW w:w="1986" w:type="dxa"/>
            <w:tcMar>
              <w:left w:w="68" w:type="dxa"/>
              <w:right w:w="68" w:type="dxa"/>
            </w:tcMar>
          </w:tcPr>
          <w:p w:rsidR="00000000" w:rsidRDefault="00000000">
            <w:r>
              <w:t>Extranjeros</w:t>
            </w:r>
          </w:p>
        </w:tc>
        <w:tc>
          <w:tcPr>
            <w:tcW w:w="1250" w:type="dxa"/>
            <w:tcMar>
              <w:left w:w="68" w:type="dxa"/>
              <w:right w:w="68" w:type="dxa"/>
            </w:tcMar>
          </w:tcPr>
          <w:p w:rsidR="00000000" w:rsidRDefault="00000000">
            <w:pPr>
              <w:keepNext/>
              <w:tabs>
                <w:tab w:val="decimal" w:pos="1060"/>
              </w:tabs>
            </w:pPr>
            <w:r>
              <w:t>21.372</w:t>
            </w:r>
          </w:p>
        </w:tc>
        <w:tc>
          <w:tcPr>
            <w:tcW w:w="1251" w:type="dxa"/>
            <w:tcMar>
              <w:left w:w="68" w:type="dxa"/>
              <w:right w:w="68" w:type="dxa"/>
            </w:tcMar>
          </w:tcPr>
          <w:p w:rsidR="00000000" w:rsidRDefault="00000000">
            <w:pPr>
              <w:keepNext/>
              <w:tabs>
                <w:tab w:val="decimal" w:pos="663"/>
              </w:tabs>
            </w:pPr>
            <w:r>
              <w:t>1,6</w:t>
            </w:r>
          </w:p>
        </w:tc>
        <w:tc>
          <w:tcPr>
            <w:tcW w:w="1251" w:type="dxa"/>
            <w:tcMar>
              <w:left w:w="68" w:type="dxa"/>
              <w:right w:w="68" w:type="dxa"/>
            </w:tcMar>
          </w:tcPr>
          <w:p w:rsidR="00000000" w:rsidRDefault="00000000">
            <w:pPr>
              <w:keepNext/>
              <w:tabs>
                <w:tab w:val="decimal" w:pos="1060"/>
              </w:tabs>
            </w:pPr>
            <w:r>
              <w:t>22.542</w:t>
            </w:r>
          </w:p>
        </w:tc>
        <w:tc>
          <w:tcPr>
            <w:tcW w:w="1251" w:type="dxa"/>
            <w:tcMar>
              <w:left w:w="68" w:type="dxa"/>
              <w:right w:w="68" w:type="dxa"/>
            </w:tcMar>
          </w:tcPr>
          <w:p w:rsidR="00000000" w:rsidRDefault="00000000">
            <w:pPr>
              <w:keepNext/>
              <w:tabs>
                <w:tab w:val="decimal" w:pos="663"/>
              </w:tabs>
            </w:pPr>
            <w:r>
              <w:t>0,5</w:t>
            </w:r>
          </w:p>
        </w:tc>
        <w:tc>
          <w:tcPr>
            <w:tcW w:w="1251" w:type="dxa"/>
            <w:tcMar>
              <w:left w:w="68" w:type="dxa"/>
              <w:right w:w="68" w:type="dxa"/>
            </w:tcMar>
          </w:tcPr>
          <w:p w:rsidR="00000000" w:rsidRDefault="00000000">
            <w:pPr>
              <w:keepNext/>
              <w:tabs>
                <w:tab w:val="decimal" w:pos="1060"/>
              </w:tabs>
            </w:pPr>
            <w:r>
              <w:t>43.914</w:t>
            </w:r>
          </w:p>
        </w:tc>
        <w:tc>
          <w:tcPr>
            <w:tcW w:w="1251" w:type="dxa"/>
            <w:tcMar>
              <w:left w:w="68" w:type="dxa"/>
              <w:right w:w="68" w:type="dxa"/>
            </w:tcMar>
          </w:tcPr>
          <w:p w:rsidR="00000000" w:rsidRDefault="00000000">
            <w:pPr>
              <w:tabs>
                <w:tab w:val="decimal" w:pos="663"/>
              </w:tabs>
            </w:pPr>
            <w:r>
              <w:t>0,7</w:t>
            </w:r>
          </w:p>
        </w:tc>
      </w:tr>
      <w:tr w:rsidR="00000000">
        <w:tc>
          <w:tcPr>
            <w:tcW w:w="1986" w:type="dxa"/>
            <w:tcMar>
              <w:left w:w="68" w:type="dxa"/>
              <w:right w:w="68" w:type="dxa"/>
            </w:tcMar>
          </w:tcPr>
          <w:p w:rsidR="00000000" w:rsidRDefault="00000000">
            <w:r>
              <w:t>Indeterminados</w:t>
            </w:r>
          </w:p>
        </w:tc>
        <w:tc>
          <w:tcPr>
            <w:tcW w:w="1250" w:type="dxa"/>
            <w:tcMar>
              <w:left w:w="68" w:type="dxa"/>
              <w:right w:w="68" w:type="dxa"/>
            </w:tcMar>
          </w:tcPr>
          <w:p w:rsidR="00000000" w:rsidRDefault="00000000">
            <w:pPr>
              <w:keepNext/>
              <w:tabs>
                <w:tab w:val="decimal" w:pos="1060"/>
              </w:tabs>
            </w:pPr>
            <w:r>
              <w:t>5.055</w:t>
            </w:r>
          </w:p>
        </w:tc>
        <w:tc>
          <w:tcPr>
            <w:tcW w:w="1251" w:type="dxa"/>
            <w:tcMar>
              <w:left w:w="68" w:type="dxa"/>
              <w:right w:w="68" w:type="dxa"/>
            </w:tcMar>
          </w:tcPr>
          <w:p w:rsidR="00000000" w:rsidRDefault="00000000">
            <w:pPr>
              <w:keepNext/>
              <w:tabs>
                <w:tab w:val="decimal" w:pos="663"/>
              </w:tabs>
            </w:pPr>
            <w:r>
              <w:t>0,4</w:t>
            </w:r>
          </w:p>
        </w:tc>
        <w:tc>
          <w:tcPr>
            <w:tcW w:w="1251" w:type="dxa"/>
            <w:tcMar>
              <w:left w:w="68" w:type="dxa"/>
              <w:right w:w="68" w:type="dxa"/>
            </w:tcMar>
          </w:tcPr>
          <w:p w:rsidR="00000000" w:rsidRDefault="00000000">
            <w:pPr>
              <w:keepNext/>
              <w:tabs>
                <w:tab w:val="decimal" w:pos="1060"/>
              </w:tabs>
            </w:pPr>
            <w:r>
              <w:t>11.422</w:t>
            </w:r>
          </w:p>
        </w:tc>
        <w:tc>
          <w:tcPr>
            <w:tcW w:w="1251" w:type="dxa"/>
            <w:tcMar>
              <w:left w:w="68" w:type="dxa"/>
              <w:right w:w="68" w:type="dxa"/>
            </w:tcMar>
          </w:tcPr>
          <w:p w:rsidR="00000000" w:rsidRDefault="00000000">
            <w:pPr>
              <w:keepNext/>
              <w:tabs>
                <w:tab w:val="decimal" w:pos="663"/>
              </w:tabs>
            </w:pPr>
            <w:r>
              <w:t>0,2</w:t>
            </w:r>
          </w:p>
        </w:tc>
        <w:tc>
          <w:tcPr>
            <w:tcW w:w="1251" w:type="dxa"/>
            <w:tcMar>
              <w:left w:w="68" w:type="dxa"/>
              <w:right w:w="68" w:type="dxa"/>
            </w:tcMar>
          </w:tcPr>
          <w:p w:rsidR="00000000" w:rsidRDefault="00000000">
            <w:pPr>
              <w:keepNext/>
              <w:tabs>
                <w:tab w:val="decimal" w:pos="1060"/>
              </w:tabs>
            </w:pPr>
            <w:r>
              <w:t>16.477</w:t>
            </w:r>
          </w:p>
        </w:tc>
        <w:tc>
          <w:tcPr>
            <w:tcW w:w="1251" w:type="dxa"/>
            <w:tcMar>
              <w:left w:w="68" w:type="dxa"/>
              <w:right w:w="68" w:type="dxa"/>
            </w:tcMar>
          </w:tcPr>
          <w:p w:rsidR="00000000" w:rsidRDefault="00000000">
            <w:pPr>
              <w:tabs>
                <w:tab w:val="decimal" w:pos="663"/>
              </w:tabs>
            </w:pPr>
            <w:r>
              <w:t>0,3</w:t>
            </w:r>
          </w:p>
        </w:tc>
      </w:tr>
      <w:tr w:rsidR="00000000">
        <w:tc>
          <w:tcPr>
            <w:tcW w:w="1986" w:type="dxa"/>
            <w:tcMar>
              <w:left w:w="68" w:type="dxa"/>
              <w:right w:w="68" w:type="dxa"/>
            </w:tcMar>
          </w:tcPr>
          <w:p w:rsidR="00000000" w:rsidRDefault="00000000">
            <w:pPr>
              <w:ind w:left="336"/>
              <w:rPr>
                <w:b/>
              </w:rPr>
            </w:pPr>
            <w:r>
              <w:rPr>
                <w:b/>
              </w:rPr>
              <w:t>Total</w:t>
            </w:r>
          </w:p>
        </w:tc>
        <w:tc>
          <w:tcPr>
            <w:tcW w:w="1250" w:type="dxa"/>
            <w:tcMar>
              <w:left w:w="68" w:type="dxa"/>
              <w:right w:w="68" w:type="dxa"/>
            </w:tcMar>
          </w:tcPr>
          <w:p w:rsidR="00000000" w:rsidRDefault="00000000">
            <w:pPr>
              <w:keepNext/>
              <w:tabs>
                <w:tab w:val="decimal" w:pos="1060"/>
              </w:tabs>
              <w:rPr>
                <w:b/>
                <w:bCs/>
              </w:rPr>
            </w:pPr>
            <w:r>
              <w:rPr>
                <w:b/>
                <w:bCs/>
              </w:rPr>
              <w:t>1.324.524</w:t>
            </w:r>
          </w:p>
        </w:tc>
        <w:tc>
          <w:tcPr>
            <w:tcW w:w="1251" w:type="dxa"/>
            <w:tcMar>
              <w:left w:w="68" w:type="dxa"/>
              <w:right w:w="68" w:type="dxa"/>
            </w:tcMar>
          </w:tcPr>
          <w:p w:rsidR="00000000" w:rsidRDefault="00000000">
            <w:pPr>
              <w:keepNext/>
              <w:tabs>
                <w:tab w:val="decimal" w:pos="663"/>
              </w:tabs>
              <w:rPr>
                <w:b/>
                <w:bCs/>
              </w:rPr>
            </w:pPr>
            <w:r>
              <w:rPr>
                <w:b/>
                <w:bCs/>
              </w:rPr>
              <w:t>100,0</w:t>
            </w:r>
          </w:p>
        </w:tc>
        <w:tc>
          <w:tcPr>
            <w:tcW w:w="1251" w:type="dxa"/>
            <w:tcMar>
              <w:left w:w="68" w:type="dxa"/>
              <w:right w:w="68" w:type="dxa"/>
            </w:tcMar>
          </w:tcPr>
          <w:p w:rsidR="00000000" w:rsidRDefault="00000000">
            <w:pPr>
              <w:keepNext/>
              <w:tabs>
                <w:tab w:val="decimal" w:pos="1060"/>
              </w:tabs>
              <w:rPr>
                <w:b/>
                <w:bCs/>
              </w:rPr>
            </w:pPr>
            <w:r>
              <w:rPr>
                <w:b/>
                <w:bCs/>
              </w:rPr>
              <w:t>4.869.014</w:t>
            </w:r>
          </w:p>
        </w:tc>
        <w:tc>
          <w:tcPr>
            <w:tcW w:w="1251" w:type="dxa"/>
            <w:tcMar>
              <w:left w:w="68" w:type="dxa"/>
              <w:right w:w="68" w:type="dxa"/>
            </w:tcMar>
          </w:tcPr>
          <w:p w:rsidR="00000000" w:rsidRDefault="00000000">
            <w:pPr>
              <w:keepNext/>
              <w:tabs>
                <w:tab w:val="decimal" w:pos="663"/>
              </w:tabs>
              <w:rPr>
                <w:b/>
                <w:bCs/>
              </w:rPr>
            </w:pPr>
            <w:r>
              <w:rPr>
                <w:b/>
                <w:bCs/>
              </w:rPr>
              <w:t>100,0</w:t>
            </w:r>
          </w:p>
        </w:tc>
        <w:tc>
          <w:tcPr>
            <w:tcW w:w="1251" w:type="dxa"/>
            <w:tcMar>
              <w:left w:w="68" w:type="dxa"/>
              <w:right w:w="68" w:type="dxa"/>
            </w:tcMar>
          </w:tcPr>
          <w:p w:rsidR="00000000" w:rsidRDefault="00000000">
            <w:pPr>
              <w:keepNext/>
              <w:tabs>
                <w:tab w:val="decimal" w:pos="1060"/>
              </w:tabs>
              <w:rPr>
                <w:b/>
                <w:bCs/>
              </w:rPr>
            </w:pPr>
            <w:r>
              <w:rPr>
                <w:b/>
                <w:bCs/>
              </w:rPr>
              <w:t>6.193.538</w:t>
            </w:r>
          </w:p>
        </w:tc>
        <w:tc>
          <w:tcPr>
            <w:tcW w:w="1251" w:type="dxa"/>
            <w:tcMar>
              <w:left w:w="68" w:type="dxa"/>
              <w:right w:w="68" w:type="dxa"/>
            </w:tcMar>
          </w:tcPr>
          <w:p w:rsidR="00000000" w:rsidRDefault="00000000">
            <w:pPr>
              <w:keepNext/>
              <w:tabs>
                <w:tab w:val="decimal" w:pos="663"/>
              </w:tabs>
              <w:rPr>
                <w:b/>
                <w:bCs/>
              </w:rPr>
            </w:pPr>
            <w:r>
              <w:rPr>
                <w:b/>
                <w:bCs/>
              </w:rPr>
              <w:t>100,0</w:t>
            </w:r>
          </w:p>
        </w:tc>
      </w:tr>
    </w:tbl>
    <w:p w:rsidR="00000000" w:rsidRDefault="00000000">
      <w:pPr>
        <w:spacing w:before="240" w:after="480"/>
      </w:pPr>
      <w:r>
        <w:rPr>
          <w:i/>
        </w:rPr>
        <w:t xml:space="preserve">Fuente:  </w:t>
      </w:r>
      <w:r>
        <w:t>RGPH de 1993.</w:t>
      </w:r>
    </w:p>
    <w:p w:rsidR="00000000" w:rsidRDefault="00000000">
      <w:pPr>
        <w:spacing w:after="240"/>
      </w:pPr>
      <w:r>
        <w:t>33.</w:t>
      </w:r>
      <w:r>
        <w:tab/>
        <w:t>Sin embargo, en cada grupo étnico, los grupos constituidos de "varios" y "extranjeros", que son en general inmigrantes, naturalizados o no, se concentran mucho más a menudo en las ciudades que en el campo.  Por otra parte, de las etnias del Chad cuyos miembros habitan más frecuentemente en zona urbana, el grupo "Baguirmien" ocupa el primer lugar de la lista con un 37,5%.</w:t>
      </w:r>
    </w:p>
    <w:p w:rsidR="00000000" w:rsidRDefault="00000000">
      <w:pPr>
        <w:spacing w:after="240"/>
        <w:jc w:val="center"/>
        <w:rPr>
          <w:b/>
        </w:rPr>
      </w:pPr>
      <w:r>
        <w:rPr>
          <w:b/>
        </w:rPr>
        <w:t>Cuadro 4</w:t>
      </w:r>
    </w:p>
    <w:p w:rsidR="00000000" w:rsidRDefault="00000000">
      <w:pPr>
        <w:spacing w:after="240"/>
        <w:jc w:val="center"/>
        <w:rPr>
          <w:b/>
        </w:rPr>
      </w:pPr>
      <w:r>
        <w:rPr>
          <w:b/>
        </w:rPr>
        <w:t>Distribución de la población residente de los grandes grupos</w:t>
      </w:r>
      <w:r>
        <w:rPr>
          <w:b/>
        </w:rPr>
        <w:br/>
        <w:t>étnicos, por zona de residencia</w:t>
      </w:r>
    </w:p>
    <w:p w:rsidR="00000000" w:rsidRDefault="00000000">
      <w:pPr>
        <w:spacing w:after="240"/>
        <w:jc w:val="center"/>
      </w:pPr>
      <w:r>
        <w:t>(En porcentaje)</w:t>
      </w:r>
    </w:p>
    <w:tbl>
      <w:tblPr>
        <w:tblW w:w="0" w:type="auto"/>
        <w:jc w:val="center"/>
        <w:tblInd w:w="-1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3139"/>
        <w:gridCol w:w="1512"/>
        <w:gridCol w:w="1498"/>
        <w:gridCol w:w="1901"/>
      </w:tblGrid>
      <w:tr w:rsidR="00000000">
        <w:trPr>
          <w:tblHeader/>
          <w:jc w:val="center"/>
        </w:trPr>
        <w:tc>
          <w:tcPr>
            <w:tcW w:w="3139" w:type="dxa"/>
            <w:tcMar>
              <w:left w:w="68" w:type="dxa"/>
              <w:right w:w="68" w:type="dxa"/>
            </w:tcMar>
          </w:tcPr>
          <w:p w:rsidR="00000000" w:rsidRDefault="00000000">
            <w:pPr>
              <w:jc w:val="center"/>
              <w:rPr>
                <w:b/>
              </w:rPr>
            </w:pPr>
            <w:r>
              <w:rPr>
                <w:b/>
              </w:rPr>
              <w:t>Gran grupo étnico</w:t>
            </w:r>
          </w:p>
        </w:tc>
        <w:tc>
          <w:tcPr>
            <w:tcW w:w="1512" w:type="dxa"/>
            <w:tcMar>
              <w:left w:w="68" w:type="dxa"/>
              <w:right w:w="68" w:type="dxa"/>
            </w:tcMar>
          </w:tcPr>
          <w:p w:rsidR="00000000" w:rsidRDefault="00000000">
            <w:pPr>
              <w:jc w:val="center"/>
              <w:rPr>
                <w:b/>
              </w:rPr>
            </w:pPr>
            <w:r>
              <w:rPr>
                <w:b/>
              </w:rPr>
              <w:t>Zona urbana</w:t>
            </w:r>
          </w:p>
        </w:tc>
        <w:tc>
          <w:tcPr>
            <w:tcW w:w="1498" w:type="dxa"/>
            <w:tcMar>
              <w:left w:w="68" w:type="dxa"/>
              <w:right w:w="68" w:type="dxa"/>
            </w:tcMar>
          </w:tcPr>
          <w:p w:rsidR="00000000" w:rsidRDefault="00000000">
            <w:pPr>
              <w:jc w:val="center"/>
              <w:rPr>
                <w:b/>
              </w:rPr>
            </w:pPr>
            <w:r>
              <w:rPr>
                <w:b/>
              </w:rPr>
              <w:t>Zona Rural</w:t>
            </w:r>
          </w:p>
        </w:tc>
        <w:tc>
          <w:tcPr>
            <w:tcW w:w="1901" w:type="dxa"/>
            <w:tcMar>
              <w:left w:w="68" w:type="dxa"/>
              <w:right w:w="68" w:type="dxa"/>
            </w:tcMar>
          </w:tcPr>
          <w:p w:rsidR="00000000" w:rsidRDefault="00000000">
            <w:pPr>
              <w:jc w:val="center"/>
              <w:rPr>
                <w:b/>
              </w:rPr>
            </w:pPr>
            <w:r>
              <w:rPr>
                <w:b/>
              </w:rPr>
              <w:t>Total</w:t>
            </w:r>
          </w:p>
        </w:tc>
      </w:tr>
      <w:tr w:rsidR="00000000">
        <w:trPr>
          <w:jc w:val="center"/>
        </w:trPr>
        <w:tc>
          <w:tcPr>
            <w:tcW w:w="3139" w:type="dxa"/>
            <w:tcMar>
              <w:left w:w="68" w:type="dxa"/>
              <w:right w:w="68" w:type="dxa"/>
            </w:tcMar>
          </w:tcPr>
          <w:p w:rsidR="00000000" w:rsidRDefault="00000000">
            <w:r>
              <w:t>Árabe</w:t>
            </w:r>
          </w:p>
        </w:tc>
        <w:tc>
          <w:tcPr>
            <w:tcW w:w="1512" w:type="dxa"/>
            <w:tcMar>
              <w:left w:w="68" w:type="dxa"/>
              <w:right w:w="68" w:type="dxa"/>
            </w:tcMar>
            <w:vAlign w:val="bottom"/>
          </w:tcPr>
          <w:p w:rsidR="00000000" w:rsidRDefault="00000000">
            <w:pPr>
              <w:keepNext/>
              <w:tabs>
                <w:tab w:val="decimal" w:pos="691"/>
              </w:tabs>
            </w:pPr>
            <w:r>
              <w:t>21,5</w:t>
            </w:r>
          </w:p>
        </w:tc>
        <w:tc>
          <w:tcPr>
            <w:tcW w:w="1498" w:type="dxa"/>
            <w:tcMar>
              <w:left w:w="68" w:type="dxa"/>
              <w:right w:w="68" w:type="dxa"/>
            </w:tcMar>
            <w:vAlign w:val="bottom"/>
          </w:tcPr>
          <w:p w:rsidR="00000000" w:rsidRDefault="00000000">
            <w:pPr>
              <w:keepNext/>
              <w:tabs>
                <w:tab w:val="decimal" w:pos="704"/>
              </w:tabs>
            </w:pPr>
            <w:r>
              <w:t>78,5</w:t>
            </w:r>
          </w:p>
        </w:tc>
        <w:tc>
          <w:tcPr>
            <w:tcW w:w="1901" w:type="dxa"/>
            <w:tcMar>
              <w:left w:w="68" w:type="dxa"/>
              <w:right w:w="68" w:type="dxa"/>
            </w:tcMar>
            <w:vAlign w:val="bottom"/>
          </w:tcPr>
          <w:p w:rsidR="00000000" w:rsidRDefault="00000000">
            <w:pPr>
              <w:keepNext/>
              <w:tabs>
                <w:tab w:val="decimal" w:pos="998"/>
              </w:tabs>
            </w:pPr>
            <w:r>
              <w:t>100,0</w:t>
            </w:r>
          </w:p>
        </w:tc>
      </w:tr>
      <w:tr w:rsidR="00000000">
        <w:trPr>
          <w:jc w:val="center"/>
        </w:trPr>
        <w:tc>
          <w:tcPr>
            <w:tcW w:w="3139" w:type="dxa"/>
            <w:tcMar>
              <w:left w:w="68" w:type="dxa"/>
              <w:right w:w="68" w:type="dxa"/>
            </w:tcMar>
          </w:tcPr>
          <w:p w:rsidR="00000000" w:rsidRDefault="00000000">
            <w:r>
              <w:t>Baguirmien</w:t>
            </w:r>
          </w:p>
        </w:tc>
        <w:tc>
          <w:tcPr>
            <w:tcW w:w="1512" w:type="dxa"/>
            <w:tcMar>
              <w:left w:w="68" w:type="dxa"/>
              <w:right w:w="68" w:type="dxa"/>
            </w:tcMar>
            <w:vAlign w:val="bottom"/>
          </w:tcPr>
          <w:p w:rsidR="00000000" w:rsidRDefault="00000000">
            <w:pPr>
              <w:keepNext/>
              <w:tabs>
                <w:tab w:val="decimal" w:pos="691"/>
              </w:tabs>
            </w:pPr>
            <w:r>
              <w:t>37,5</w:t>
            </w:r>
          </w:p>
        </w:tc>
        <w:tc>
          <w:tcPr>
            <w:tcW w:w="1498" w:type="dxa"/>
            <w:tcMar>
              <w:left w:w="68" w:type="dxa"/>
              <w:right w:w="68" w:type="dxa"/>
            </w:tcMar>
            <w:vAlign w:val="bottom"/>
          </w:tcPr>
          <w:p w:rsidR="00000000" w:rsidRDefault="00000000">
            <w:pPr>
              <w:keepNext/>
              <w:tabs>
                <w:tab w:val="decimal" w:pos="704"/>
              </w:tabs>
            </w:pPr>
            <w:r>
              <w:t>62,5</w:t>
            </w:r>
          </w:p>
        </w:tc>
        <w:tc>
          <w:tcPr>
            <w:tcW w:w="1901" w:type="dxa"/>
            <w:tcMar>
              <w:left w:w="68" w:type="dxa"/>
              <w:right w:w="68" w:type="dxa"/>
            </w:tcMar>
            <w:vAlign w:val="bottom"/>
          </w:tcPr>
          <w:p w:rsidR="00000000" w:rsidRDefault="00000000">
            <w:pPr>
              <w:keepNext/>
              <w:tabs>
                <w:tab w:val="decimal" w:pos="998"/>
              </w:tabs>
            </w:pPr>
            <w:r>
              <w:t>100,0</w:t>
            </w:r>
          </w:p>
        </w:tc>
      </w:tr>
      <w:tr w:rsidR="00000000">
        <w:trPr>
          <w:jc w:val="center"/>
        </w:trPr>
        <w:tc>
          <w:tcPr>
            <w:tcW w:w="3139" w:type="dxa"/>
            <w:tcMar>
              <w:left w:w="68" w:type="dxa"/>
              <w:right w:w="68" w:type="dxa"/>
            </w:tcMar>
          </w:tcPr>
          <w:p w:rsidR="00000000" w:rsidRDefault="00000000">
            <w:r>
              <w:t>Fitri Batha</w:t>
            </w:r>
          </w:p>
        </w:tc>
        <w:tc>
          <w:tcPr>
            <w:tcW w:w="1512" w:type="dxa"/>
            <w:tcMar>
              <w:left w:w="68" w:type="dxa"/>
              <w:right w:w="68" w:type="dxa"/>
            </w:tcMar>
            <w:vAlign w:val="bottom"/>
          </w:tcPr>
          <w:p w:rsidR="00000000" w:rsidRDefault="00000000">
            <w:pPr>
              <w:keepNext/>
              <w:tabs>
                <w:tab w:val="decimal" w:pos="691"/>
              </w:tabs>
            </w:pPr>
            <w:r>
              <w:t>29,3</w:t>
            </w:r>
          </w:p>
        </w:tc>
        <w:tc>
          <w:tcPr>
            <w:tcW w:w="1498" w:type="dxa"/>
            <w:tcMar>
              <w:left w:w="68" w:type="dxa"/>
              <w:right w:w="68" w:type="dxa"/>
            </w:tcMar>
            <w:vAlign w:val="bottom"/>
          </w:tcPr>
          <w:p w:rsidR="00000000" w:rsidRDefault="00000000">
            <w:pPr>
              <w:keepNext/>
              <w:tabs>
                <w:tab w:val="decimal" w:pos="704"/>
              </w:tabs>
            </w:pPr>
            <w:r>
              <w:t>70,7</w:t>
            </w:r>
          </w:p>
        </w:tc>
        <w:tc>
          <w:tcPr>
            <w:tcW w:w="1901" w:type="dxa"/>
            <w:tcMar>
              <w:left w:w="68" w:type="dxa"/>
              <w:right w:w="68" w:type="dxa"/>
            </w:tcMar>
            <w:vAlign w:val="bottom"/>
          </w:tcPr>
          <w:p w:rsidR="00000000" w:rsidRDefault="00000000">
            <w:pPr>
              <w:keepNext/>
              <w:tabs>
                <w:tab w:val="decimal" w:pos="998"/>
              </w:tabs>
            </w:pPr>
            <w:r>
              <w:t>100,0</w:t>
            </w:r>
          </w:p>
        </w:tc>
      </w:tr>
      <w:tr w:rsidR="00000000">
        <w:trPr>
          <w:jc w:val="center"/>
        </w:trPr>
        <w:tc>
          <w:tcPr>
            <w:tcW w:w="3139" w:type="dxa"/>
            <w:tcMar>
              <w:left w:w="68" w:type="dxa"/>
              <w:right w:w="68" w:type="dxa"/>
            </w:tcMar>
          </w:tcPr>
          <w:p w:rsidR="00000000" w:rsidRDefault="00000000">
            <w:r>
              <w:t>Gorane</w:t>
            </w:r>
          </w:p>
        </w:tc>
        <w:tc>
          <w:tcPr>
            <w:tcW w:w="1512" w:type="dxa"/>
            <w:tcMar>
              <w:left w:w="68" w:type="dxa"/>
              <w:right w:w="68" w:type="dxa"/>
            </w:tcMar>
            <w:vAlign w:val="bottom"/>
          </w:tcPr>
          <w:p w:rsidR="00000000" w:rsidRDefault="00000000">
            <w:pPr>
              <w:tabs>
                <w:tab w:val="decimal" w:pos="691"/>
              </w:tabs>
            </w:pPr>
            <w:r>
              <w:t>27,9</w:t>
            </w:r>
          </w:p>
        </w:tc>
        <w:tc>
          <w:tcPr>
            <w:tcW w:w="1498" w:type="dxa"/>
            <w:tcMar>
              <w:left w:w="68" w:type="dxa"/>
              <w:right w:w="68" w:type="dxa"/>
            </w:tcMar>
            <w:vAlign w:val="bottom"/>
          </w:tcPr>
          <w:p w:rsidR="00000000" w:rsidRDefault="00000000">
            <w:pPr>
              <w:keepNext/>
              <w:tabs>
                <w:tab w:val="decimal" w:pos="704"/>
              </w:tabs>
            </w:pPr>
            <w:r>
              <w:t>72,1</w:t>
            </w:r>
          </w:p>
        </w:tc>
        <w:tc>
          <w:tcPr>
            <w:tcW w:w="1901" w:type="dxa"/>
            <w:tcMar>
              <w:left w:w="68" w:type="dxa"/>
              <w:right w:w="68" w:type="dxa"/>
            </w:tcMar>
            <w:vAlign w:val="bottom"/>
          </w:tcPr>
          <w:p w:rsidR="00000000" w:rsidRDefault="00000000">
            <w:pPr>
              <w:keepNext/>
              <w:tabs>
                <w:tab w:val="decimal" w:pos="998"/>
              </w:tabs>
            </w:pPr>
            <w:r>
              <w:t>100,0</w:t>
            </w:r>
          </w:p>
        </w:tc>
      </w:tr>
      <w:tr w:rsidR="00000000">
        <w:trPr>
          <w:jc w:val="center"/>
        </w:trPr>
        <w:tc>
          <w:tcPr>
            <w:tcW w:w="3139" w:type="dxa"/>
            <w:tcMar>
              <w:left w:w="68" w:type="dxa"/>
              <w:right w:w="68" w:type="dxa"/>
            </w:tcMar>
          </w:tcPr>
          <w:p w:rsidR="00000000" w:rsidRDefault="00000000">
            <w:r>
              <w:t>Hadjaraï</w:t>
            </w:r>
          </w:p>
        </w:tc>
        <w:tc>
          <w:tcPr>
            <w:tcW w:w="1512" w:type="dxa"/>
            <w:tcMar>
              <w:left w:w="68" w:type="dxa"/>
              <w:right w:w="68" w:type="dxa"/>
            </w:tcMar>
            <w:vAlign w:val="bottom"/>
          </w:tcPr>
          <w:p w:rsidR="00000000" w:rsidRDefault="00000000">
            <w:pPr>
              <w:tabs>
                <w:tab w:val="decimal" w:pos="691"/>
              </w:tabs>
            </w:pPr>
            <w:r>
              <w:t>23,7</w:t>
            </w:r>
          </w:p>
        </w:tc>
        <w:tc>
          <w:tcPr>
            <w:tcW w:w="1498" w:type="dxa"/>
            <w:tcMar>
              <w:left w:w="68" w:type="dxa"/>
              <w:right w:w="68" w:type="dxa"/>
            </w:tcMar>
            <w:vAlign w:val="bottom"/>
          </w:tcPr>
          <w:p w:rsidR="00000000" w:rsidRDefault="00000000">
            <w:pPr>
              <w:keepNext/>
              <w:tabs>
                <w:tab w:val="decimal" w:pos="704"/>
              </w:tabs>
            </w:pPr>
            <w:r>
              <w:t>76,3</w:t>
            </w:r>
          </w:p>
        </w:tc>
        <w:tc>
          <w:tcPr>
            <w:tcW w:w="1901" w:type="dxa"/>
            <w:tcMar>
              <w:left w:w="68" w:type="dxa"/>
              <w:right w:w="68" w:type="dxa"/>
            </w:tcMar>
            <w:vAlign w:val="bottom"/>
          </w:tcPr>
          <w:p w:rsidR="00000000" w:rsidRDefault="00000000">
            <w:pPr>
              <w:keepNext/>
              <w:tabs>
                <w:tab w:val="decimal" w:pos="998"/>
              </w:tabs>
            </w:pPr>
            <w:r>
              <w:t>100,0</w:t>
            </w:r>
          </w:p>
        </w:tc>
      </w:tr>
      <w:tr w:rsidR="00000000">
        <w:trPr>
          <w:jc w:val="center"/>
        </w:trPr>
        <w:tc>
          <w:tcPr>
            <w:tcW w:w="3139" w:type="dxa"/>
            <w:tcMar>
              <w:left w:w="68" w:type="dxa"/>
              <w:right w:w="68" w:type="dxa"/>
            </w:tcMar>
          </w:tcPr>
          <w:p w:rsidR="00000000" w:rsidRDefault="00000000">
            <w:r>
              <w:t>Kanem-Bornou</w:t>
            </w:r>
          </w:p>
        </w:tc>
        <w:tc>
          <w:tcPr>
            <w:tcW w:w="1512" w:type="dxa"/>
            <w:tcMar>
              <w:left w:w="68" w:type="dxa"/>
              <w:right w:w="68" w:type="dxa"/>
            </w:tcMar>
            <w:vAlign w:val="bottom"/>
          </w:tcPr>
          <w:p w:rsidR="00000000" w:rsidRDefault="00000000">
            <w:pPr>
              <w:tabs>
                <w:tab w:val="decimal" w:pos="691"/>
              </w:tabs>
            </w:pPr>
            <w:r>
              <w:t>21,2</w:t>
            </w:r>
          </w:p>
        </w:tc>
        <w:tc>
          <w:tcPr>
            <w:tcW w:w="1498" w:type="dxa"/>
            <w:tcMar>
              <w:left w:w="68" w:type="dxa"/>
              <w:right w:w="68" w:type="dxa"/>
            </w:tcMar>
            <w:vAlign w:val="bottom"/>
          </w:tcPr>
          <w:p w:rsidR="00000000" w:rsidRDefault="00000000">
            <w:pPr>
              <w:keepNext/>
              <w:tabs>
                <w:tab w:val="decimal" w:pos="704"/>
              </w:tabs>
            </w:pPr>
            <w:r>
              <w:t>78,8</w:t>
            </w:r>
          </w:p>
        </w:tc>
        <w:tc>
          <w:tcPr>
            <w:tcW w:w="1901" w:type="dxa"/>
            <w:tcMar>
              <w:left w:w="68" w:type="dxa"/>
              <w:right w:w="68" w:type="dxa"/>
            </w:tcMar>
            <w:vAlign w:val="bottom"/>
          </w:tcPr>
          <w:p w:rsidR="00000000" w:rsidRDefault="00000000">
            <w:pPr>
              <w:keepNext/>
              <w:tabs>
                <w:tab w:val="decimal" w:pos="998"/>
              </w:tabs>
            </w:pPr>
            <w:r>
              <w:t>100,0</w:t>
            </w:r>
          </w:p>
        </w:tc>
      </w:tr>
      <w:tr w:rsidR="00000000">
        <w:trPr>
          <w:jc w:val="center"/>
        </w:trPr>
        <w:tc>
          <w:tcPr>
            <w:tcW w:w="3139" w:type="dxa"/>
            <w:tcMar>
              <w:left w:w="68" w:type="dxa"/>
              <w:right w:w="68" w:type="dxa"/>
            </w:tcMar>
          </w:tcPr>
          <w:p w:rsidR="00000000" w:rsidRDefault="00000000">
            <w:r>
              <w:t>Lac Iro</w:t>
            </w:r>
          </w:p>
        </w:tc>
        <w:tc>
          <w:tcPr>
            <w:tcW w:w="1512" w:type="dxa"/>
            <w:tcMar>
              <w:left w:w="68" w:type="dxa"/>
              <w:right w:w="68" w:type="dxa"/>
            </w:tcMar>
            <w:vAlign w:val="bottom"/>
          </w:tcPr>
          <w:p w:rsidR="00000000" w:rsidRDefault="00000000">
            <w:pPr>
              <w:tabs>
                <w:tab w:val="decimal" w:pos="691"/>
              </w:tabs>
            </w:pPr>
            <w:r>
              <w:t>18,2</w:t>
            </w:r>
          </w:p>
        </w:tc>
        <w:tc>
          <w:tcPr>
            <w:tcW w:w="1498" w:type="dxa"/>
            <w:tcMar>
              <w:left w:w="68" w:type="dxa"/>
              <w:right w:w="68" w:type="dxa"/>
            </w:tcMar>
            <w:vAlign w:val="bottom"/>
          </w:tcPr>
          <w:p w:rsidR="00000000" w:rsidRDefault="00000000">
            <w:pPr>
              <w:keepNext/>
              <w:tabs>
                <w:tab w:val="decimal" w:pos="704"/>
              </w:tabs>
            </w:pPr>
            <w:r>
              <w:t>81,8</w:t>
            </w:r>
          </w:p>
        </w:tc>
        <w:tc>
          <w:tcPr>
            <w:tcW w:w="1901" w:type="dxa"/>
            <w:tcMar>
              <w:left w:w="68" w:type="dxa"/>
              <w:right w:w="68" w:type="dxa"/>
            </w:tcMar>
            <w:vAlign w:val="bottom"/>
          </w:tcPr>
          <w:p w:rsidR="00000000" w:rsidRDefault="00000000">
            <w:pPr>
              <w:keepNext/>
              <w:tabs>
                <w:tab w:val="decimal" w:pos="998"/>
              </w:tabs>
            </w:pPr>
            <w:r>
              <w:t>100,0</w:t>
            </w:r>
          </w:p>
        </w:tc>
      </w:tr>
      <w:tr w:rsidR="00000000">
        <w:trPr>
          <w:jc w:val="center"/>
        </w:trPr>
        <w:tc>
          <w:tcPr>
            <w:tcW w:w="3139" w:type="dxa"/>
            <w:tcMar>
              <w:left w:w="68" w:type="dxa"/>
              <w:right w:w="68" w:type="dxa"/>
            </w:tcMar>
          </w:tcPr>
          <w:p w:rsidR="00000000" w:rsidRDefault="00000000">
            <w:r>
              <w:t>Mayo Kebbi</w:t>
            </w:r>
          </w:p>
        </w:tc>
        <w:tc>
          <w:tcPr>
            <w:tcW w:w="1512" w:type="dxa"/>
            <w:tcMar>
              <w:left w:w="68" w:type="dxa"/>
              <w:right w:w="68" w:type="dxa"/>
            </w:tcMar>
            <w:vAlign w:val="bottom"/>
          </w:tcPr>
          <w:p w:rsidR="00000000" w:rsidRDefault="00000000">
            <w:pPr>
              <w:tabs>
                <w:tab w:val="decimal" w:pos="691"/>
              </w:tabs>
            </w:pPr>
            <w:r>
              <w:t>11,4</w:t>
            </w:r>
          </w:p>
        </w:tc>
        <w:tc>
          <w:tcPr>
            <w:tcW w:w="1498" w:type="dxa"/>
            <w:tcMar>
              <w:left w:w="68" w:type="dxa"/>
              <w:right w:w="68" w:type="dxa"/>
            </w:tcMar>
            <w:vAlign w:val="bottom"/>
          </w:tcPr>
          <w:p w:rsidR="00000000" w:rsidRDefault="00000000">
            <w:pPr>
              <w:keepNext/>
              <w:tabs>
                <w:tab w:val="decimal" w:pos="704"/>
              </w:tabs>
            </w:pPr>
            <w:r>
              <w:t>88,6</w:t>
            </w:r>
          </w:p>
        </w:tc>
        <w:tc>
          <w:tcPr>
            <w:tcW w:w="1901" w:type="dxa"/>
            <w:tcMar>
              <w:left w:w="68" w:type="dxa"/>
              <w:right w:w="68" w:type="dxa"/>
            </w:tcMar>
            <w:vAlign w:val="bottom"/>
          </w:tcPr>
          <w:p w:rsidR="00000000" w:rsidRDefault="00000000">
            <w:pPr>
              <w:keepNext/>
              <w:tabs>
                <w:tab w:val="decimal" w:pos="998"/>
              </w:tabs>
            </w:pPr>
            <w:r>
              <w:t>100,0</w:t>
            </w:r>
          </w:p>
        </w:tc>
      </w:tr>
      <w:tr w:rsidR="00000000">
        <w:trPr>
          <w:jc w:val="center"/>
        </w:trPr>
        <w:tc>
          <w:tcPr>
            <w:tcW w:w="3139" w:type="dxa"/>
            <w:tcMar>
              <w:left w:w="68" w:type="dxa"/>
              <w:right w:w="68" w:type="dxa"/>
            </w:tcMar>
          </w:tcPr>
          <w:p w:rsidR="00000000" w:rsidRDefault="00000000">
            <w:r>
              <w:t>Ouaddaï</w:t>
            </w:r>
          </w:p>
        </w:tc>
        <w:tc>
          <w:tcPr>
            <w:tcW w:w="1512" w:type="dxa"/>
            <w:tcMar>
              <w:left w:w="68" w:type="dxa"/>
              <w:right w:w="68" w:type="dxa"/>
            </w:tcMar>
            <w:vAlign w:val="bottom"/>
          </w:tcPr>
          <w:p w:rsidR="00000000" w:rsidRDefault="00000000">
            <w:pPr>
              <w:tabs>
                <w:tab w:val="decimal" w:pos="691"/>
              </w:tabs>
            </w:pPr>
            <w:r>
              <w:t>15,9</w:t>
            </w:r>
          </w:p>
        </w:tc>
        <w:tc>
          <w:tcPr>
            <w:tcW w:w="1498" w:type="dxa"/>
            <w:tcMar>
              <w:left w:w="68" w:type="dxa"/>
              <w:right w:w="68" w:type="dxa"/>
            </w:tcMar>
            <w:vAlign w:val="bottom"/>
          </w:tcPr>
          <w:p w:rsidR="00000000" w:rsidRDefault="00000000">
            <w:pPr>
              <w:keepNext/>
              <w:tabs>
                <w:tab w:val="decimal" w:pos="704"/>
              </w:tabs>
            </w:pPr>
            <w:r>
              <w:t>84,1</w:t>
            </w:r>
          </w:p>
        </w:tc>
        <w:tc>
          <w:tcPr>
            <w:tcW w:w="1901" w:type="dxa"/>
            <w:tcMar>
              <w:left w:w="68" w:type="dxa"/>
              <w:right w:w="68" w:type="dxa"/>
            </w:tcMar>
            <w:vAlign w:val="bottom"/>
          </w:tcPr>
          <w:p w:rsidR="00000000" w:rsidRDefault="00000000">
            <w:pPr>
              <w:keepNext/>
              <w:tabs>
                <w:tab w:val="decimal" w:pos="998"/>
              </w:tabs>
            </w:pPr>
            <w:r>
              <w:t>100,0</w:t>
            </w:r>
          </w:p>
        </w:tc>
      </w:tr>
      <w:tr w:rsidR="00000000">
        <w:trPr>
          <w:jc w:val="center"/>
        </w:trPr>
        <w:tc>
          <w:tcPr>
            <w:tcW w:w="3139" w:type="dxa"/>
            <w:tcMar>
              <w:left w:w="68" w:type="dxa"/>
              <w:right w:w="68" w:type="dxa"/>
            </w:tcMar>
          </w:tcPr>
          <w:p w:rsidR="00000000" w:rsidRDefault="00000000">
            <w:r>
              <w:t>Peul</w:t>
            </w:r>
          </w:p>
        </w:tc>
        <w:tc>
          <w:tcPr>
            <w:tcW w:w="1512" w:type="dxa"/>
            <w:tcMar>
              <w:left w:w="68" w:type="dxa"/>
              <w:right w:w="68" w:type="dxa"/>
            </w:tcMar>
            <w:vAlign w:val="bottom"/>
          </w:tcPr>
          <w:p w:rsidR="00000000" w:rsidRDefault="00000000">
            <w:pPr>
              <w:tabs>
                <w:tab w:val="decimal" w:pos="691"/>
              </w:tabs>
            </w:pPr>
            <w:r>
              <w:t>17,2</w:t>
            </w:r>
          </w:p>
        </w:tc>
        <w:tc>
          <w:tcPr>
            <w:tcW w:w="1498" w:type="dxa"/>
            <w:tcMar>
              <w:left w:w="68" w:type="dxa"/>
              <w:right w:w="68" w:type="dxa"/>
            </w:tcMar>
            <w:vAlign w:val="bottom"/>
          </w:tcPr>
          <w:p w:rsidR="00000000" w:rsidRDefault="00000000">
            <w:pPr>
              <w:keepNext/>
              <w:tabs>
                <w:tab w:val="decimal" w:pos="704"/>
              </w:tabs>
            </w:pPr>
            <w:r>
              <w:t>82,8</w:t>
            </w:r>
          </w:p>
        </w:tc>
        <w:tc>
          <w:tcPr>
            <w:tcW w:w="1901" w:type="dxa"/>
            <w:tcMar>
              <w:left w:w="68" w:type="dxa"/>
              <w:right w:w="68" w:type="dxa"/>
            </w:tcMar>
            <w:vAlign w:val="bottom"/>
          </w:tcPr>
          <w:p w:rsidR="00000000" w:rsidRDefault="00000000">
            <w:pPr>
              <w:keepNext/>
              <w:tabs>
                <w:tab w:val="decimal" w:pos="998"/>
              </w:tabs>
            </w:pPr>
            <w:r>
              <w:t>100,0</w:t>
            </w:r>
          </w:p>
        </w:tc>
      </w:tr>
      <w:tr w:rsidR="00000000">
        <w:trPr>
          <w:jc w:val="center"/>
        </w:trPr>
        <w:tc>
          <w:tcPr>
            <w:tcW w:w="3139" w:type="dxa"/>
            <w:tcMar>
              <w:left w:w="68" w:type="dxa"/>
              <w:right w:w="68" w:type="dxa"/>
            </w:tcMar>
          </w:tcPr>
          <w:p w:rsidR="00000000" w:rsidRDefault="00000000">
            <w:r>
              <w:t>Sara</w:t>
            </w:r>
          </w:p>
        </w:tc>
        <w:tc>
          <w:tcPr>
            <w:tcW w:w="1512" w:type="dxa"/>
            <w:tcMar>
              <w:left w:w="68" w:type="dxa"/>
              <w:right w:w="68" w:type="dxa"/>
            </w:tcMar>
            <w:vAlign w:val="bottom"/>
          </w:tcPr>
          <w:p w:rsidR="00000000" w:rsidRDefault="00000000">
            <w:pPr>
              <w:tabs>
                <w:tab w:val="decimal" w:pos="691"/>
              </w:tabs>
            </w:pPr>
            <w:r>
              <w:t>23,0</w:t>
            </w:r>
          </w:p>
        </w:tc>
        <w:tc>
          <w:tcPr>
            <w:tcW w:w="1498" w:type="dxa"/>
            <w:tcMar>
              <w:left w:w="68" w:type="dxa"/>
              <w:right w:w="68" w:type="dxa"/>
            </w:tcMar>
            <w:vAlign w:val="bottom"/>
          </w:tcPr>
          <w:p w:rsidR="00000000" w:rsidRDefault="00000000">
            <w:pPr>
              <w:keepNext/>
              <w:tabs>
                <w:tab w:val="decimal" w:pos="704"/>
              </w:tabs>
            </w:pPr>
            <w:r>
              <w:t>77,0</w:t>
            </w:r>
          </w:p>
        </w:tc>
        <w:tc>
          <w:tcPr>
            <w:tcW w:w="1901" w:type="dxa"/>
            <w:tcMar>
              <w:left w:w="68" w:type="dxa"/>
              <w:right w:w="68" w:type="dxa"/>
            </w:tcMar>
            <w:vAlign w:val="bottom"/>
          </w:tcPr>
          <w:p w:rsidR="00000000" w:rsidRDefault="00000000">
            <w:pPr>
              <w:keepNext/>
              <w:tabs>
                <w:tab w:val="decimal" w:pos="998"/>
              </w:tabs>
            </w:pPr>
            <w:r>
              <w:t>100,0</w:t>
            </w:r>
          </w:p>
        </w:tc>
      </w:tr>
      <w:tr w:rsidR="00000000">
        <w:trPr>
          <w:jc w:val="center"/>
        </w:trPr>
        <w:tc>
          <w:tcPr>
            <w:tcW w:w="3139" w:type="dxa"/>
            <w:tcMar>
              <w:left w:w="68" w:type="dxa"/>
              <w:right w:w="68" w:type="dxa"/>
            </w:tcMar>
          </w:tcPr>
          <w:p w:rsidR="00000000" w:rsidRDefault="00000000">
            <w:r>
              <w:t>Tandjilé</w:t>
            </w:r>
          </w:p>
        </w:tc>
        <w:tc>
          <w:tcPr>
            <w:tcW w:w="1512" w:type="dxa"/>
            <w:tcMar>
              <w:left w:w="68" w:type="dxa"/>
              <w:right w:w="68" w:type="dxa"/>
            </w:tcMar>
            <w:vAlign w:val="bottom"/>
          </w:tcPr>
          <w:p w:rsidR="00000000" w:rsidRDefault="00000000">
            <w:pPr>
              <w:tabs>
                <w:tab w:val="decimal" w:pos="691"/>
              </w:tabs>
            </w:pPr>
            <w:r>
              <w:t>15,8</w:t>
            </w:r>
          </w:p>
        </w:tc>
        <w:tc>
          <w:tcPr>
            <w:tcW w:w="1498" w:type="dxa"/>
            <w:tcMar>
              <w:left w:w="68" w:type="dxa"/>
              <w:right w:w="68" w:type="dxa"/>
            </w:tcMar>
            <w:vAlign w:val="bottom"/>
          </w:tcPr>
          <w:p w:rsidR="00000000" w:rsidRDefault="00000000">
            <w:pPr>
              <w:keepNext/>
              <w:tabs>
                <w:tab w:val="decimal" w:pos="704"/>
              </w:tabs>
            </w:pPr>
            <w:r>
              <w:t>84,2</w:t>
            </w:r>
          </w:p>
        </w:tc>
        <w:tc>
          <w:tcPr>
            <w:tcW w:w="1901" w:type="dxa"/>
            <w:tcMar>
              <w:left w:w="68" w:type="dxa"/>
              <w:right w:w="68" w:type="dxa"/>
            </w:tcMar>
            <w:vAlign w:val="bottom"/>
          </w:tcPr>
          <w:p w:rsidR="00000000" w:rsidRDefault="00000000">
            <w:pPr>
              <w:keepNext/>
              <w:tabs>
                <w:tab w:val="decimal" w:pos="998"/>
              </w:tabs>
            </w:pPr>
            <w:r>
              <w:t>100,0</w:t>
            </w:r>
          </w:p>
        </w:tc>
      </w:tr>
      <w:tr w:rsidR="00000000">
        <w:trPr>
          <w:jc w:val="center"/>
        </w:trPr>
        <w:tc>
          <w:tcPr>
            <w:tcW w:w="3139" w:type="dxa"/>
            <w:tcMar>
              <w:left w:w="68" w:type="dxa"/>
              <w:right w:w="68" w:type="dxa"/>
            </w:tcMar>
          </w:tcPr>
          <w:p w:rsidR="00000000" w:rsidRDefault="00000000">
            <w:r>
              <w:t>Otros</w:t>
            </w:r>
          </w:p>
        </w:tc>
        <w:tc>
          <w:tcPr>
            <w:tcW w:w="1512" w:type="dxa"/>
            <w:tcMar>
              <w:left w:w="68" w:type="dxa"/>
              <w:right w:w="68" w:type="dxa"/>
            </w:tcMar>
            <w:vAlign w:val="bottom"/>
          </w:tcPr>
          <w:p w:rsidR="00000000" w:rsidRDefault="00000000">
            <w:pPr>
              <w:tabs>
                <w:tab w:val="decimal" w:pos="691"/>
              </w:tabs>
            </w:pPr>
            <w:r>
              <w:t>33,4</w:t>
            </w:r>
          </w:p>
        </w:tc>
        <w:tc>
          <w:tcPr>
            <w:tcW w:w="1498" w:type="dxa"/>
            <w:tcMar>
              <w:left w:w="68" w:type="dxa"/>
              <w:right w:w="68" w:type="dxa"/>
            </w:tcMar>
            <w:vAlign w:val="bottom"/>
          </w:tcPr>
          <w:p w:rsidR="00000000" w:rsidRDefault="00000000">
            <w:pPr>
              <w:keepNext/>
              <w:tabs>
                <w:tab w:val="decimal" w:pos="704"/>
              </w:tabs>
            </w:pPr>
            <w:r>
              <w:t>66,6</w:t>
            </w:r>
          </w:p>
        </w:tc>
        <w:tc>
          <w:tcPr>
            <w:tcW w:w="1901" w:type="dxa"/>
            <w:tcMar>
              <w:left w:w="68" w:type="dxa"/>
              <w:right w:w="68" w:type="dxa"/>
            </w:tcMar>
            <w:vAlign w:val="bottom"/>
          </w:tcPr>
          <w:p w:rsidR="00000000" w:rsidRDefault="00000000">
            <w:pPr>
              <w:keepNext/>
              <w:tabs>
                <w:tab w:val="decimal" w:pos="998"/>
              </w:tabs>
            </w:pPr>
            <w:r>
              <w:t>100,0</w:t>
            </w:r>
          </w:p>
        </w:tc>
      </w:tr>
      <w:tr w:rsidR="00000000">
        <w:trPr>
          <w:jc w:val="center"/>
        </w:trPr>
        <w:tc>
          <w:tcPr>
            <w:tcW w:w="3139" w:type="dxa"/>
            <w:tcMar>
              <w:left w:w="68" w:type="dxa"/>
              <w:right w:w="68" w:type="dxa"/>
            </w:tcMar>
          </w:tcPr>
          <w:p w:rsidR="00000000" w:rsidRDefault="00000000">
            <w:r>
              <w:t>Varios</w:t>
            </w:r>
          </w:p>
        </w:tc>
        <w:tc>
          <w:tcPr>
            <w:tcW w:w="1512" w:type="dxa"/>
            <w:tcMar>
              <w:left w:w="68" w:type="dxa"/>
              <w:right w:w="68" w:type="dxa"/>
            </w:tcMar>
            <w:vAlign w:val="bottom"/>
          </w:tcPr>
          <w:p w:rsidR="00000000" w:rsidRDefault="00000000">
            <w:pPr>
              <w:tabs>
                <w:tab w:val="decimal" w:pos="691"/>
              </w:tabs>
            </w:pPr>
            <w:r>
              <w:t>53,0</w:t>
            </w:r>
          </w:p>
        </w:tc>
        <w:tc>
          <w:tcPr>
            <w:tcW w:w="1498" w:type="dxa"/>
            <w:tcMar>
              <w:left w:w="68" w:type="dxa"/>
              <w:right w:w="68" w:type="dxa"/>
            </w:tcMar>
            <w:vAlign w:val="bottom"/>
          </w:tcPr>
          <w:p w:rsidR="00000000" w:rsidRDefault="00000000">
            <w:pPr>
              <w:keepNext/>
              <w:tabs>
                <w:tab w:val="decimal" w:pos="704"/>
              </w:tabs>
            </w:pPr>
            <w:r>
              <w:t>47,0</w:t>
            </w:r>
          </w:p>
        </w:tc>
        <w:tc>
          <w:tcPr>
            <w:tcW w:w="1901" w:type="dxa"/>
            <w:tcMar>
              <w:left w:w="68" w:type="dxa"/>
              <w:right w:w="68" w:type="dxa"/>
            </w:tcMar>
            <w:vAlign w:val="bottom"/>
          </w:tcPr>
          <w:p w:rsidR="00000000" w:rsidRDefault="00000000">
            <w:pPr>
              <w:keepNext/>
              <w:tabs>
                <w:tab w:val="decimal" w:pos="998"/>
              </w:tabs>
            </w:pPr>
            <w:r>
              <w:t>100,0</w:t>
            </w:r>
          </w:p>
        </w:tc>
      </w:tr>
      <w:tr w:rsidR="00000000">
        <w:trPr>
          <w:jc w:val="center"/>
        </w:trPr>
        <w:tc>
          <w:tcPr>
            <w:tcW w:w="3139" w:type="dxa"/>
            <w:tcMar>
              <w:left w:w="68" w:type="dxa"/>
              <w:right w:w="68" w:type="dxa"/>
            </w:tcMar>
          </w:tcPr>
          <w:p w:rsidR="00000000" w:rsidRDefault="00000000">
            <w:r>
              <w:t>Extranjeros</w:t>
            </w:r>
          </w:p>
        </w:tc>
        <w:tc>
          <w:tcPr>
            <w:tcW w:w="1512" w:type="dxa"/>
            <w:tcMar>
              <w:left w:w="68" w:type="dxa"/>
              <w:right w:w="68" w:type="dxa"/>
            </w:tcMar>
            <w:vAlign w:val="bottom"/>
          </w:tcPr>
          <w:p w:rsidR="00000000" w:rsidRDefault="00000000">
            <w:pPr>
              <w:tabs>
                <w:tab w:val="decimal" w:pos="691"/>
              </w:tabs>
            </w:pPr>
            <w:r>
              <w:t>48,7</w:t>
            </w:r>
          </w:p>
        </w:tc>
        <w:tc>
          <w:tcPr>
            <w:tcW w:w="1498" w:type="dxa"/>
            <w:tcMar>
              <w:left w:w="68" w:type="dxa"/>
              <w:right w:w="68" w:type="dxa"/>
            </w:tcMar>
            <w:vAlign w:val="bottom"/>
          </w:tcPr>
          <w:p w:rsidR="00000000" w:rsidRDefault="00000000">
            <w:pPr>
              <w:keepNext/>
              <w:tabs>
                <w:tab w:val="decimal" w:pos="704"/>
              </w:tabs>
            </w:pPr>
            <w:r>
              <w:t>51,3</w:t>
            </w:r>
          </w:p>
        </w:tc>
        <w:tc>
          <w:tcPr>
            <w:tcW w:w="1901" w:type="dxa"/>
            <w:tcMar>
              <w:left w:w="68" w:type="dxa"/>
              <w:right w:w="68" w:type="dxa"/>
            </w:tcMar>
            <w:vAlign w:val="bottom"/>
          </w:tcPr>
          <w:p w:rsidR="00000000" w:rsidRDefault="00000000">
            <w:pPr>
              <w:keepNext/>
              <w:tabs>
                <w:tab w:val="decimal" w:pos="998"/>
              </w:tabs>
            </w:pPr>
            <w:r>
              <w:t>100,0</w:t>
            </w:r>
          </w:p>
        </w:tc>
      </w:tr>
      <w:tr w:rsidR="00000000">
        <w:trPr>
          <w:jc w:val="center"/>
        </w:trPr>
        <w:tc>
          <w:tcPr>
            <w:tcW w:w="3139" w:type="dxa"/>
            <w:tcMar>
              <w:left w:w="68" w:type="dxa"/>
              <w:right w:w="68" w:type="dxa"/>
            </w:tcMar>
          </w:tcPr>
          <w:p w:rsidR="00000000" w:rsidRDefault="00000000">
            <w:r>
              <w:t>Indeterminados</w:t>
            </w:r>
          </w:p>
        </w:tc>
        <w:tc>
          <w:tcPr>
            <w:tcW w:w="1512" w:type="dxa"/>
            <w:tcMar>
              <w:left w:w="68" w:type="dxa"/>
              <w:right w:w="68" w:type="dxa"/>
            </w:tcMar>
            <w:vAlign w:val="bottom"/>
          </w:tcPr>
          <w:p w:rsidR="00000000" w:rsidRDefault="00000000">
            <w:pPr>
              <w:tabs>
                <w:tab w:val="decimal" w:pos="691"/>
              </w:tabs>
            </w:pPr>
            <w:r>
              <w:t>30,7</w:t>
            </w:r>
          </w:p>
        </w:tc>
        <w:tc>
          <w:tcPr>
            <w:tcW w:w="1498" w:type="dxa"/>
            <w:tcMar>
              <w:left w:w="68" w:type="dxa"/>
              <w:right w:w="68" w:type="dxa"/>
            </w:tcMar>
            <w:vAlign w:val="bottom"/>
          </w:tcPr>
          <w:p w:rsidR="00000000" w:rsidRDefault="00000000">
            <w:pPr>
              <w:keepNext/>
              <w:tabs>
                <w:tab w:val="decimal" w:pos="704"/>
              </w:tabs>
            </w:pPr>
            <w:r>
              <w:t>69,3</w:t>
            </w:r>
          </w:p>
        </w:tc>
        <w:tc>
          <w:tcPr>
            <w:tcW w:w="1901" w:type="dxa"/>
            <w:tcMar>
              <w:left w:w="68" w:type="dxa"/>
              <w:right w:w="68" w:type="dxa"/>
            </w:tcMar>
            <w:vAlign w:val="bottom"/>
          </w:tcPr>
          <w:p w:rsidR="00000000" w:rsidRDefault="00000000">
            <w:pPr>
              <w:keepNext/>
              <w:tabs>
                <w:tab w:val="decimal" w:pos="998"/>
              </w:tabs>
            </w:pPr>
            <w:r>
              <w:t>100,0</w:t>
            </w:r>
          </w:p>
        </w:tc>
      </w:tr>
      <w:tr w:rsidR="00000000">
        <w:trPr>
          <w:jc w:val="center"/>
        </w:trPr>
        <w:tc>
          <w:tcPr>
            <w:tcW w:w="3139" w:type="dxa"/>
            <w:tcMar>
              <w:left w:w="68" w:type="dxa"/>
              <w:right w:w="68" w:type="dxa"/>
            </w:tcMar>
          </w:tcPr>
          <w:p w:rsidR="00000000" w:rsidRDefault="00000000">
            <w:pPr>
              <w:ind w:left="336"/>
              <w:rPr>
                <w:b/>
              </w:rPr>
            </w:pPr>
            <w:r>
              <w:rPr>
                <w:b/>
              </w:rPr>
              <w:t>Total</w:t>
            </w:r>
          </w:p>
        </w:tc>
        <w:tc>
          <w:tcPr>
            <w:tcW w:w="1512" w:type="dxa"/>
            <w:tcMar>
              <w:left w:w="68" w:type="dxa"/>
              <w:right w:w="68" w:type="dxa"/>
            </w:tcMar>
            <w:vAlign w:val="bottom"/>
          </w:tcPr>
          <w:p w:rsidR="00000000" w:rsidRDefault="00000000">
            <w:pPr>
              <w:keepNext/>
              <w:tabs>
                <w:tab w:val="decimal" w:pos="691"/>
              </w:tabs>
              <w:rPr>
                <w:b/>
                <w:bCs/>
              </w:rPr>
            </w:pPr>
            <w:r>
              <w:rPr>
                <w:b/>
                <w:bCs/>
              </w:rPr>
              <w:t>21,4</w:t>
            </w:r>
          </w:p>
        </w:tc>
        <w:tc>
          <w:tcPr>
            <w:tcW w:w="1498" w:type="dxa"/>
            <w:tcMar>
              <w:left w:w="68" w:type="dxa"/>
              <w:right w:w="68" w:type="dxa"/>
            </w:tcMar>
            <w:vAlign w:val="bottom"/>
          </w:tcPr>
          <w:p w:rsidR="00000000" w:rsidRDefault="00000000">
            <w:pPr>
              <w:keepNext/>
              <w:tabs>
                <w:tab w:val="decimal" w:pos="704"/>
              </w:tabs>
              <w:rPr>
                <w:b/>
                <w:bCs/>
              </w:rPr>
            </w:pPr>
            <w:r>
              <w:rPr>
                <w:b/>
                <w:bCs/>
              </w:rPr>
              <w:t>78,6</w:t>
            </w:r>
          </w:p>
        </w:tc>
        <w:tc>
          <w:tcPr>
            <w:tcW w:w="1901" w:type="dxa"/>
            <w:tcMar>
              <w:left w:w="68" w:type="dxa"/>
              <w:right w:w="68" w:type="dxa"/>
            </w:tcMar>
            <w:vAlign w:val="bottom"/>
          </w:tcPr>
          <w:p w:rsidR="00000000" w:rsidRDefault="00000000">
            <w:pPr>
              <w:keepNext/>
              <w:tabs>
                <w:tab w:val="decimal" w:pos="998"/>
              </w:tabs>
              <w:rPr>
                <w:b/>
                <w:bCs/>
              </w:rPr>
            </w:pPr>
            <w:r>
              <w:rPr>
                <w:b/>
                <w:bCs/>
              </w:rPr>
              <w:t>100,0</w:t>
            </w:r>
          </w:p>
        </w:tc>
      </w:tr>
    </w:tbl>
    <w:p w:rsidR="00000000" w:rsidRDefault="00000000">
      <w:pPr>
        <w:spacing w:before="240" w:after="480"/>
        <w:ind w:left="658"/>
      </w:pPr>
      <w:r>
        <w:rPr>
          <w:i/>
        </w:rPr>
        <w:t>Fuente:</w:t>
      </w:r>
      <w:r>
        <w:t xml:space="preserve">  RGPH de 1993.</w:t>
      </w:r>
    </w:p>
    <w:p w:rsidR="00000000" w:rsidRDefault="00000000">
      <w:pPr>
        <w:spacing w:after="240"/>
        <w:rPr>
          <w:b/>
        </w:rPr>
      </w:pPr>
      <w:r>
        <w:rPr>
          <w:b/>
        </w:rPr>
        <w:t>3.</w:t>
      </w:r>
      <w:r>
        <w:rPr>
          <w:b/>
        </w:rPr>
        <w:tab/>
        <w:t>Etnia y tipo de población</w:t>
      </w:r>
    </w:p>
    <w:p w:rsidR="00000000" w:rsidRDefault="00000000">
      <w:pPr>
        <w:spacing w:after="240"/>
      </w:pPr>
      <w:r>
        <w:t>34.</w:t>
      </w:r>
      <w:r>
        <w:tab/>
        <w:t>Los cuadros 5 y 6 que siguen indican que existe cierta relación entre el grupo étnico y el modo de vida de la población.  Los resultados obtenidos revelan que ciertos grupos étnicos están  compuestos de un número importante de nómadas, mientras que otros están constituidos fundamentalmente por sedentarios.</w:t>
      </w:r>
    </w:p>
    <w:p w:rsidR="00000000" w:rsidRDefault="00000000">
      <w:pPr>
        <w:spacing w:after="240"/>
      </w:pPr>
      <w:r>
        <w:t>35.</w:t>
      </w:r>
      <w:r>
        <w:tab/>
        <w:t>En relación con el modo de vida, los Peuls (44,4%), seguidos de los Árabes (25,4%) y los Gouranes (13,5%) son, con gran diferencia, las etnias más representadas entre los nómadas (cuadro 5).  También hay que señalar que el 9,6% de los "extranjeros" y el 8,4% de los "Otros" son nómadas.  Estos nómadas "extranjeros" son al parecer en su mayoría Peuls (bororo), venidos de países del África occidental.  Se observa además que los miembros de los grupos étnicos Sara, Tandjilé, Lac Iro y Mayo Kebbi son exclusivamente sedentarios.</w:t>
      </w:r>
    </w:p>
    <w:p w:rsidR="00000000" w:rsidRDefault="00000000">
      <w:pPr>
        <w:spacing w:after="240"/>
        <w:jc w:val="center"/>
        <w:rPr>
          <w:b/>
        </w:rPr>
      </w:pPr>
      <w:r>
        <w:rPr>
          <w:b/>
        </w:rPr>
        <w:t>Cuadro 5</w:t>
      </w:r>
    </w:p>
    <w:p w:rsidR="00000000" w:rsidRDefault="00000000">
      <w:pPr>
        <w:spacing w:after="240"/>
        <w:jc w:val="center"/>
        <w:rPr>
          <w:b/>
        </w:rPr>
      </w:pPr>
      <w:r>
        <w:rPr>
          <w:b/>
        </w:rPr>
        <w:t>Proporción y relación de masculinidad de los grandes</w:t>
      </w:r>
      <w:r>
        <w:rPr>
          <w:b/>
        </w:rPr>
        <w:br/>
        <w:t>grupos étnicos, por tipo de población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1629"/>
        <w:gridCol w:w="1574"/>
        <w:gridCol w:w="1570"/>
        <w:gridCol w:w="1569"/>
        <w:gridCol w:w="1577"/>
        <w:gridCol w:w="1572"/>
      </w:tblGrid>
      <w:tr w:rsidR="00000000">
        <w:trPr>
          <w:cantSplit/>
          <w:tblHeader/>
        </w:trPr>
        <w:tc>
          <w:tcPr>
            <w:tcW w:w="1629" w:type="dxa"/>
            <w:vMerge w:val="restart"/>
            <w:tcMar>
              <w:left w:w="68" w:type="dxa"/>
              <w:right w:w="68" w:type="dxa"/>
            </w:tcMar>
          </w:tcPr>
          <w:p w:rsidR="00000000" w:rsidRDefault="00000000">
            <w:pPr>
              <w:jc w:val="center"/>
              <w:rPr>
                <w:b/>
              </w:rPr>
            </w:pPr>
            <w:r>
              <w:rPr>
                <w:b/>
              </w:rPr>
              <w:t>Gran grupo étnico</w:t>
            </w:r>
          </w:p>
        </w:tc>
        <w:tc>
          <w:tcPr>
            <w:tcW w:w="4713" w:type="dxa"/>
            <w:gridSpan w:val="3"/>
            <w:tcMar>
              <w:left w:w="68" w:type="dxa"/>
              <w:right w:w="68" w:type="dxa"/>
            </w:tcMar>
          </w:tcPr>
          <w:p w:rsidR="00000000" w:rsidRDefault="00000000">
            <w:pPr>
              <w:jc w:val="center"/>
              <w:rPr>
                <w:b/>
              </w:rPr>
            </w:pPr>
            <w:r>
              <w:rPr>
                <w:b/>
              </w:rPr>
              <w:t>Proporción</w:t>
            </w:r>
          </w:p>
        </w:tc>
        <w:tc>
          <w:tcPr>
            <w:tcW w:w="3149" w:type="dxa"/>
            <w:gridSpan w:val="2"/>
            <w:tcMar>
              <w:left w:w="68" w:type="dxa"/>
              <w:right w:w="68" w:type="dxa"/>
            </w:tcMar>
          </w:tcPr>
          <w:p w:rsidR="00000000" w:rsidRDefault="00000000">
            <w:pPr>
              <w:jc w:val="center"/>
              <w:rPr>
                <w:b/>
              </w:rPr>
            </w:pPr>
            <w:r>
              <w:rPr>
                <w:b/>
              </w:rPr>
              <w:t>Relación de masculinidad</w:t>
            </w:r>
          </w:p>
        </w:tc>
      </w:tr>
      <w:tr w:rsidR="00000000">
        <w:trPr>
          <w:cantSplit/>
          <w:tblHeader/>
        </w:trPr>
        <w:tc>
          <w:tcPr>
            <w:tcW w:w="1629" w:type="dxa"/>
            <w:vMerge/>
            <w:tcMar>
              <w:left w:w="68" w:type="dxa"/>
              <w:right w:w="68" w:type="dxa"/>
            </w:tcMar>
          </w:tcPr>
          <w:p w:rsidR="00000000" w:rsidRDefault="00000000">
            <w:pPr>
              <w:jc w:val="center"/>
            </w:pPr>
          </w:p>
        </w:tc>
        <w:tc>
          <w:tcPr>
            <w:tcW w:w="1574" w:type="dxa"/>
            <w:tcMar>
              <w:left w:w="68" w:type="dxa"/>
              <w:right w:w="68" w:type="dxa"/>
            </w:tcMar>
          </w:tcPr>
          <w:p w:rsidR="00000000" w:rsidRDefault="00000000">
            <w:pPr>
              <w:jc w:val="center"/>
              <w:rPr>
                <w:b/>
              </w:rPr>
            </w:pPr>
            <w:r>
              <w:rPr>
                <w:b/>
              </w:rPr>
              <w:t>Sedentarios</w:t>
            </w:r>
          </w:p>
        </w:tc>
        <w:tc>
          <w:tcPr>
            <w:tcW w:w="1570" w:type="dxa"/>
            <w:tcMar>
              <w:left w:w="68" w:type="dxa"/>
              <w:right w:w="68" w:type="dxa"/>
            </w:tcMar>
          </w:tcPr>
          <w:p w:rsidR="00000000" w:rsidRDefault="00000000">
            <w:pPr>
              <w:jc w:val="center"/>
              <w:rPr>
                <w:b/>
              </w:rPr>
            </w:pPr>
            <w:r>
              <w:rPr>
                <w:b/>
              </w:rPr>
              <w:t>Nómadas</w:t>
            </w:r>
          </w:p>
        </w:tc>
        <w:tc>
          <w:tcPr>
            <w:tcW w:w="1569" w:type="dxa"/>
            <w:tcMar>
              <w:left w:w="68" w:type="dxa"/>
              <w:right w:w="68" w:type="dxa"/>
            </w:tcMar>
          </w:tcPr>
          <w:p w:rsidR="00000000" w:rsidRDefault="00000000">
            <w:pPr>
              <w:jc w:val="center"/>
              <w:rPr>
                <w:b/>
              </w:rPr>
            </w:pPr>
            <w:r>
              <w:rPr>
                <w:b/>
              </w:rPr>
              <w:t>Total</w:t>
            </w:r>
          </w:p>
        </w:tc>
        <w:tc>
          <w:tcPr>
            <w:tcW w:w="1577" w:type="dxa"/>
            <w:tcMar>
              <w:left w:w="68" w:type="dxa"/>
              <w:right w:w="68" w:type="dxa"/>
            </w:tcMar>
          </w:tcPr>
          <w:p w:rsidR="00000000" w:rsidRDefault="00000000">
            <w:pPr>
              <w:jc w:val="center"/>
              <w:rPr>
                <w:b/>
              </w:rPr>
            </w:pPr>
            <w:r>
              <w:rPr>
                <w:b/>
              </w:rPr>
              <w:t>Sedentarios</w:t>
            </w:r>
          </w:p>
        </w:tc>
        <w:tc>
          <w:tcPr>
            <w:tcW w:w="1572" w:type="dxa"/>
            <w:tcMar>
              <w:left w:w="68" w:type="dxa"/>
              <w:right w:w="68" w:type="dxa"/>
            </w:tcMar>
          </w:tcPr>
          <w:p w:rsidR="00000000" w:rsidRDefault="00000000">
            <w:pPr>
              <w:jc w:val="center"/>
              <w:rPr>
                <w:b/>
              </w:rPr>
            </w:pPr>
            <w:r>
              <w:rPr>
                <w:b/>
              </w:rPr>
              <w:t>Nómadas</w:t>
            </w:r>
          </w:p>
        </w:tc>
      </w:tr>
      <w:tr w:rsidR="00000000">
        <w:tc>
          <w:tcPr>
            <w:tcW w:w="1629" w:type="dxa"/>
            <w:tcMar>
              <w:left w:w="68" w:type="dxa"/>
              <w:right w:w="68" w:type="dxa"/>
            </w:tcMar>
          </w:tcPr>
          <w:p w:rsidR="00000000" w:rsidRDefault="00000000">
            <w:r>
              <w:t>Árabe</w:t>
            </w:r>
          </w:p>
        </w:tc>
        <w:tc>
          <w:tcPr>
            <w:tcW w:w="1574" w:type="dxa"/>
            <w:tcMar>
              <w:left w:w="68" w:type="dxa"/>
              <w:right w:w="68" w:type="dxa"/>
            </w:tcMar>
          </w:tcPr>
          <w:p w:rsidR="00000000" w:rsidRDefault="00000000">
            <w:pPr>
              <w:tabs>
                <w:tab w:val="decimal" w:pos="821"/>
              </w:tabs>
            </w:pPr>
            <w:r>
              <w:t>74,6</w:t>
            </w:r>
          </w:p>
        </w:tc>
        <w:tc>
          <w:tcPr>
            <w:tcW w:w="1570" w:type="dxa"/>
            <w:tcMar>
              <w:left w:w="68" w:type="dxa"/>
              <w:right w:w="68" w:type="dxa"/>
            </w:tcMar>
          </w:tcPr>
          <w:p w:rsidR="00000000" w:rsidRDefault="00000000">
            <w:pPr>
              <w:tabs>
                <w:tab w:val="decimal" w:pos="759"/>
              </w:tabs>
            </w:pPr>
            <w:r>
              <w:t>25,4</w:t>
            </w:r>
          </w:p>
        </w:tc>
        <w:tc>
          <w:tcPr>
            <w:tcW w:w="1569" w:type="dxa"/>
            <w:tcMar>
              <w:left w:w="68" w:type="dxa"/>
              <w:right w:w="68" w:type="dxa"/>
            </w:tcMar>
          </w:tcPr>
          <w:p w:rsidR="00000000" w:rsidRDefault="00000000">
            <w:pPr>
              <w:tabs>
                <w:tab w:val="decimal" w:pos="830"/>
              </w:tabs>
            </w:pPr>
            <w:r>
              <w:t>100,0</w:t>
            </w:r>
          </w:p>
        </w:tc>
        <w:tc>
          <w:tcPr>
            <w:tcW w:w="1577" w:type="dxa"/>
            <w:tcMar>
              <w:left w:w="68" w:type="dxa"/>
              <w:right w:w="68" w:type="dxa"/>
            </w:tcMar>
          </w:tcPr>
          <w:p w:rsidR="00000000" w:rsidRDefault="00000000">
            <w:pPr>
              <w:tabs>
                <w:tab w:val="decimal" w:pos="830"/>
              </w:tabs>
            </w:pPr>
            <w:r>
              <w:t>94,2</w:t>
            </w:r>
          </w:p>
        </w:tc>
        <w:tc>
          <w:tcPr>
            <w:tcW w:w="1572" w:type="dxa"/>
            <w:tcMar>
              <w:left w:w="68" w:type="dxa"/>
              <w:right w:w="68" w:type="dxa"/>
            </w:tcMar>
          </w:tcPr>
          <w:p w:rsidR="00000000" w:rsidRDefault="00000000">
            <w:pPr>
              <w:tabs>
                <w:tab w:val="decimal" w:pos="830"/>
              </w:tabs>
            </w:pPr>
            <w:r>
              <w:t>101,9</w:t>
            </w:r>
          </w:p>
        </w:tc>
      </w:tr>
      <w:tr w:rsidR="00000000">
        <w:tc>
          <w:tcPr>
            <w:tcW w:w="1629" w:type="dxa"/>
            <w:tcMar>
              <w:left w:w="68" w:type="dxa"/>
              <w:right w:w="68" w:type="dxa"/>
            </w:tcMar>
          </w:tcPr>
          <w:p w:rsidR="00000000" w:rsidRDefault="00000000">
            <w:r>
              <w:t>Baguirmien</w:t>
            </w:r>
          </w:p>
        </w:tc>
        <w:tc>
          <w:tcPr>
            <w:tcW w:w="1574" w:type="dxa"/>
            <w:tcMar>
              <w:left w:w="68" w:type="dxa"/>
              <w:right w:w="68" w:type="dxa"/>
            </w:tcMar>
          </w:tcPr>
          <w:p w:rsidR="00000000" w:rsidRDefault="00000000">
            <w:pPr>
              <w:tabs>
                <w:tab w:val="decimal" w:pos="821"/>
              </w:tabs>
            </w:pPr>
            <w:r>
              <w:t>99,3</w:t>
            </w:r>
          </w:p>
        </w:tc>
        <w:tc>
          <w:tcPr>
            <w:tcW w:w="1570" w:type="dxa"/>
            <w:tcMar>
              <w:left w:w="68" w:type="dxa"/>
              <w:right w:w="68" w:type="dxa"/>
            </w:tcMar>
          </w:tcPr>
          <w:p w:rsidR="00000000" w:rsidRDefault="00000000">
            <w:pPr>
              <w:tabs>
                <w:tab w:val="decimal" w:pos="759"/>
              </w:tabs>
            </w:pPr>
            <w:r>
              <w:t>0,7</w:t>
            </w:r>
          </w:p>
        </w:tc>
        <w:tc>
          <w:tcPr>
            <w:tcW w:w="1569" w:type="dxa"/>
            <w:tcMar>
              <w:left w:w="68" w:type="dxa"/>
              <w:right w:w="68" w:type="dxa"/>
            </w:tcMar>
          </w:tcPr>
          <w:p w:rsidR="00000000" w:rsidRDefault="00000000">
            <w:pPr>
              <w:tabs>
                <w:tab w:val="decimal" w:pos="830"/>
              </w:tabs>
            </w:pPr>
            <w:r>
              <w:t>100,0</w:t>
            </w:r>
          </w:p>
        </w:tc>
        <w:tc>
          <w:tcPr>
            <w:tcW w:w="1577" w:type="dxa"/>
            <w:tcMar>
              <w:left w:w="68" w:type="dxa"/>
              <w:right w:w="68" w:type="dxa"/>
            </w:tcMar>
          </w:tcPr>
          <w:p w:rsidR="00000000" w:rsidRDefault="00000000">
            <w:pPr>
              <w:tabs>
                <w:tab w:val="decimal" w:pos="830"/>
              </w:tabs>
            </w:pPr>
            <w:r>
              <w:t>96,7</w:t>
            </w:r>
          </w:p>
        </w:tc>
        <w:tc>
          <w:tcPr>
            <w:tcW w:w="1572" w:type="dxa"/>
            <w:tcMar>
              <w:left w:w="68" w:type="dxa"/>
              <w:right w:w="68" w:type="dxa"/>
            </w:tcMar>
          </w:tcPr>
          <w:p w:rsidR="00000000" w:rsidRDefault="00000000">
            <w:pPr>
              <w:tabs>
                <w:tab w:val="decimal" w:pos="830"/>
              </w:tabs>
            </w:pPr>
            <w:r>
              <w:t>114,1</w:t>
            </w:r>
          </w:p>
        </w:tc>
      </w:tr>
      <w:tr w:rsidR="00000000">
        <w:tc>
          <w:tcPr>
            <w:tcW w:w="1629" w:type="dxa"/>
            <w:tcMar>
              <w:left w:w="68" w:type="dxa"/>
              <w:right w:w="68" w:type="dxa"/>
            </w:tcMar>
          </w:tcPr>
          <w:p w:rsidR="00000000" w:rsidRDefault="00000000">
            <w:r>
              <w:t>Fitri Batha</w:t>
            </w:r>
          </w:p>
        </w:tc>
        <w:tc>
          <w:tcPr>
            <w:tcW w:w="1574" w:type="dxa"/>
            <w:tcMar>
              <w:left w:w="68" w:type="dxa"/>
              <w:right w:w="68" w:type="dxa"/>
            </w:tcMar>
          </w:tcPr>
          <w:p w:rsidR="00000000" w:rsidRDefault="00000000">
            <w:pPr>
              <w:tabs>
                <w:tab w:val="decimal" w:pos="821"/>
              </w:tabs>
            </w:pPr>
            <w:r>
              <w:t>98,5</w:t>
            </w:r>
          </w:p>
        </w:tc>
        <w:tc>
          <w:tcPr>
            <w:tcW w:w="1570" w:type="dxa"/>
            <w:tcMar>
              <w:left w:w="68" w:type="dxa"/>
              <w:right w:w="68" w:type="dxa"/>
            </w:tcMar>
          </w:tcPr>
          <w:p w:rsidR="00000000" w:rsidRDefault="00000000">
            <w:pPr>
              <w:tabs>
                <w:tab w:val="decimal" w:pos="759"/>
              </w:tabs>
            </w:pPr>
            <w:r>
              <w:t>1,5</w:t>
            </w:r>
          </w:p>
        </w:tc>
        <w:tc>
          <w:tcPr>
            <w:tcW w:w="1569" w:type="dxa"/>
            <w:tcMar>
              <w:left w:w="68" w:type="dxa"/>
              <w:right w:w="68" w:type="dxa"/>
            </w:tcMar>
          </w:tcPr>
          <w:p w:rsidR="00000000" w:rsidRDefault="00000000">
            <w:pPr>
              <w:tabs>
                <w:tab w:val="decimal" w:pos="830"/>
              </w:tabs>
            </w:pPr>
            <w:r>
              <w:t>100,0</w:t>
            </w:r>
          </w:p>
        </w:tc>
        <w:tc>
          <w:tcPr>
            <w:tcW w:w="1577" w:type="dxa"/>
            <w:tcMar>
              <w:left w:w="68" w:type="dxa"/>
              <w:right w:w="68" w:type="dxa"/>
            </w:tcMar>
          </w:tcPr>
          <w:p w:rsidR="00000000" w:rsidRDefault="00000000">
            <w:pPr>
              <w:tabs>
                <w:tab w:val="decimal" w:pos="830"/>
              </w:tabs>
            </w:pPr>
            <w:r>
              <w:t>93,8</w:t>
            </w:r>
          </w:p>
        </w:tc>
        <w:tc>
          <w:tcPr>
            <w:tcW w:w="1572" w:type="dxa"/>
            <w:tcMar>
              <w:left w:w="68" w:type="dxa"/>
              <w:right w:w="68" w:type="dxa"/>
            </w:tcMar>
          </w:tcPr>
          <w:p w:rsidR="00000000" w:rsidRDefault="00000000">
            <w:pPr>
              <w:tabs>
                <w:tab w:val="decimal" w:pos="830"/>
              </w:tabs>
            </w:pPr>
            <w:r>
              <w:t>100,9</w:t>
            </w:r>
          </w:p>
        </w:tc>
      </w:tr>
      <w:tr w:rsidR="00000000">
        <w:tc>
          <w:tcPr>
            <w:tcW w:w="1629" w:type="dxa"/>
            <w:tcMar>
              <w:left w:w="68" w:type="dxa"/>
              <w:right w:w="68" w:type="dxa"/>
            </w:tcMar>
          </w:tcPr>
          <w:p w:rsidR="00000000" w:rsidRDefault="00000000">
            <w:r>
              <w:t>Gorane</w:t>
            </w:r>
          </w:p>
        </w:tc>
        <w:tc>
          <w:tcPr>
            <w:tcW w:w="1574" w:type="dxa"/>
            <w:tcMar>
              <w:left w:w="68" w:type="dxa"/>
              <w:right w:w="68" w:type="dxa"/>
            </w:tcMar>
          </w:tcPr>
          <w:p w:rsidR="00000000" w:rsidRDefault="00000000">
            <w:pPr>
              <w:tabs>
                <w:tab w:val="decimal" w:pos="821"/>
              </w:tabs>
            </w:pPr>
            <w:r>
              <w:t>86,5</w:t>
            </w:r>
          </w:p>
        </w:tc>
        <w:tc>
          <w:tcPr>
            <w:tcW w:w="1570" w:type="dxa"/>
            <w:tcMar>
              <w:left w:w="68" w:type="dxa"/>
              <w:right w:w="68" w:type="dxa"/>
            </w:tcMar>
          </w:tcPr>
          <w:p w:rsidR="00000000" w:rsidRDefault="00000000">
            <w:pPr>
              <w:tabs>
                <w:tab w:val="decimal" w:pos="759"/>
              </w:tabs>
            </w:pPr>
            <w:r>
              <w:t>13,5</w:t>
            </w:r>
          </w:p>
        </w:tc>
        <w:tc>
          <w:tcPr>
            <w:tcW w:w="1569" w:type="dxa"/>
            <w:tcMar>
              <w:left w:w="68" w:type="dxa"/>
              <w:right w:w="68" w:type="dxa"/>
            </w:tcMar>
          </w:tcPr>
          <w:p w:rsidR="00000000" w:rsidRDefault="00000000">
            <w:pPr>
              <w:tabs>
                <w:tab w:val="decimal" w:pos="830"/>
              </w:tabs>
            </w:pPr>
            <w:r>
              <w:t>100,0</w:t>
            </w:r>
          </w:p>
        </w:tc>
        <w:tc>
          <w:tcPr>
            <w:tcW w:w="1577" w:type="dxa"/>
            <w:tcMar>
              <w:left w:w="68" w:type="dxa"/>
              <w:right w:w="68" w:type="dxa"/>
            </w:tcMar>
          </w:tcPr>
          <w:p w:rsidR="00000000" w:rsidRDefault="00000000">
            <w:pPr>
              <w:tabs>
                <w:tab w:val="decimal" w:pos="830"/>
              </w:tabs>
            </w:pPr>
            <w:r>
              <w:t>100,2</w:t>
            </w:r>
          </w:p>
        </w:tc>
        <w:tc>
          <w:tcPr>
            <w:tcW w:w="1572" w:type="dxa"/>
            <w:tcMar>
              <w:left w:w="68" w:type="dxa"/>
              <w:right w:w="68" w:type="dxa"/>
            </w:tcMar>
          </w:tcPr>
          <w:p w:rsidR="00000000" w:rsidRDefault="00000000">
            <w:pPr>
              <w:tabs>
                <w:tab w:val="decimal" w:pos="830"/>
              </w:tabs>
            </w:pPr>
            <w:r>
              <w:t>102,9</w:t>
            </w:r>
          </w:p>
        </w:tc>
      </w:tr>
      <w:tr w:rsidR="00000000">
        <w:tc>
          <w:tcPr>
            <w:tcW w:w="1629" w:type="dxa"/>
            <w:tcMar>
              <w:left w:w="68" w:type="dxa"/>
              <w:right w:w="68" w:type="dxa"/>
            </w:tcMar>
          </w:tcPr>
          <w:p w:rsidR="00000000" w:rsidRDefault="00000000">
            <w:r>
              <w:t>Hadjaraï</w:t>
            </w:r>
          </w:p>
        </w:tc>
        <w:tc>
          <w:tcPr>
            <w:tcW w:w="1574" w:type="dxa"/>
            <w:tcMar>
              <w:left w:w="68" w:type="dxa"/>
              <w:right w:w="68" w:type="dxa"/>
            </w:tcMar>
          </w:tcPr>
          <w:p w:rsidR="00000000" w:rsidRDefault="00000000">
            <w:pPr>
              <w:tabs>
                <w:tab w:val="decimal" w:pos="821"/>
              </w:tabs>
            </w:pPr>
            <w:r>
              <w:t>98,5</w:t>
            </w:r>
          </w:p>
        </w:tc>
        <w:tc>
          <w:tcPr>
            <w:tcW w:w="1570" w:type="dxa"/>
            <w:tcMar>
              <w:left w:w="68" w:type="dxa"/>
              <w:right w:w="68" w:type="dxa"/>
            </w:tcMar>
          </w:tcPr>
          <w:p w:rsidR="00000000" w:rsidRDefault="00000000">
            <w:pPr>
              <w:tabs>
                <w:tab w:val="decimal" w:pos="759"/>
              </w:tabs>
            </w:pPr>
            <w:r>
              <w:t>1,5</w:t>
            </w:r>
          </w:p>
        </w:tc>
        <w:tc>
          <w:tcPr>
            <w:tcW w:w="1569" w:type="dxa"/>
            <w:tcMar>
              <w:left w:w="68" w:type="dxa"/>
              <w:right w:w="68" w:type="dxa"/>
            </w:tcMar>
          </w:tcPr>
          <w:p w:rsidR="00000000" w:rsidRDefault="00000000">
            <w:pPr>
              <w:tabs>
                <w:tab w:val="decimal" w:pos="830"/>
              </w:tabs>
            </w:pPr>
            <w:r>
              <w:t>100,0</w:t>
            </w:r>
          </w:p>
        </w:tc>
        <w:tc>
          <w:tcPr>
            <w:tcW w:w="1577" w:type="dxa"/>
            <w:tcMar>
              <w:left w:w="68" w:type="dxa"/>
              <w:right w:w="68" w:type="dxa"/>
            </w:tcMar>
          </w:tcPr>
          <w:p w:rsidR="00000000" w:rsidRDefault="00000000">
            <w:pPr>
              <w:tabs>
                <w:tab w:val="decimal" w:pos="830"/>
              </w:tabs>
            </w:pPr>
            <w:r>
              <w:t>87,0</w:t>
            </w:r>
          </w:p>
        </w:tc>
        <w:tc>
          <w:tcPr>
            <w:tcW w:w="1572" w:type="dxa"/>
            <w:tcMar>
              <w:left w:w="68" w:type="dxa"/>
              <w:right w:w="68" w:type="dxa"/>
            </w:tcMar>
          </w:tcPr>
          <w:p w:rsidR="00000000" w:rsidRDefault="00000000">
            <w:pPr>
              <w:tabs>
                <w:tab w:val="decimal" w:pos="830"/>
              </w:tabs>
            </w:pPr>
            <w:r>
              <w:t>104,4</w:t>
            </w:r>
          </w:p>
        </w:tc>
      </w:tr>
      <w:tr w:rsidR="00000000">
        <w:tc>
          <w:tcPr>
            <w:tcW w:w="1629" w:type="dxa"/>
            <w:tcMar>
              <w:left w:w="68" w:type="dxa"/>
              <w:right w:w="68" w:type="dxa"/>
            </w:tcMar>
          </w:tcPr>
          <w:p w:rsidR="00000000" w:rsidRDefault="00000000">
            <w:r>
              <w:t>Kanem-Bornou</w:t>
            </w:r>
          </w:p>
        </w:tc>
        <w:tc>
          <w:tcPr>
            <w:tcW w:w="1574" w:type="dxa"/>
            <w:tcMar>
              <w:left w:w="68" w:type="dxa"/>
              <w:right w:w="68" w:type="dxa"/>
            </w:tcMar>
          </w:tcPr>
          <w:p w:rsidR="00000000" w:rsidRDefault="00000000">
            <w:pPr>
              <w:tabs>
                <w:tab w:val="decimal" w:pos="821"/>
              </w:tabs>
            </w:pPr>
            <w:r>
              <w:t>98,9</w:t>
            </w:r>
          </w:p>
        </w:tc>
        <w:tc>
          <w:tcPr>
            <w:tcW w:w="1570" w:type="dxa"/>
            <w:tcMar>
              <w:left w:w="68" w:type="dxa"/>
              <w:right w:w="68" w:type="dxa"/>
            </w:tcMar>
          </w:tcPr>
          <w:p w:rsidR="00000000" w:rsidRDefault="00000000">
            <w:pPr>
              <w:tabs>
                <w:tab w:val="decimal" w:pos="759"/>
              </w:tabs>
            </w:pPr>
            <w:r>
              <w:t>1,1</w:t>
            </w:r>
          </w:p>
        </w:tc>
        <w:tc>
          <w:tcPr>
            <w:tcW w:w="1569" w:type="dxa"/>
            <w:tcMar>
              <w:left w:w="68" w:type="dxa"/>
              <w:right w:w="68" w:type="dxa"/>
            </w:tcMar>
          </w:tcPr>
          <w:p w:rsidR="00000000" w:rsidRDefault="00000000">
            <w:pPr>
              <w:tabs>
                <w:tab w:val="decimal" w:pos="830"/>
              </w:tabs>
            </w:pPr>
            <w:r>
              <w:t>100,0</w:t>
            </w:r>
          </w:p>
        </w:tc>
        <w:tc>
          <w:tcPr>
            <w:tcW w:w="1577" w:type="dxa"/>
            <w:tcMar>
              <w:left w:w="68" w:type="dxa"/>
              <w:right w:w="68" w:type="dxa"/>
            </w:tcMar>
          </w:tcPr>
          <w:p w:rsidR="00000000" w:rsidRDefault="00000000">
            <w:pPr>
              <w:tabs>
                <w:tab w:val="decimal" w:pos="830"/>
              </w:tabs>
            </w:pPr>
            <w:r>
              <w:t>100,9</w:t>
            </w:r>
          </w:p>
        </w:tc>
        <w:tc>
          <w:tcPr>
            <w:tcW w:w="1572" w:type="dxa"/>
            <w:tcMar>
              <w:left w:w="68" w:type="dxa"/>
              <w:right w:w="68" w:type="dxa"/>
            </w:tcMar>
          </w:tcPr>
          <w:p w:rsidR="00000000" w:rsidRDefault="00000000">
            <w:pPr>
              <w:tabs>
                <w:tab w:val="decimal" w:pos="830"/>
              </w:tabs>
            </w:pPr>
            <w:r>
              <w:t>114,1</w:t>
            </w:r>
          </w:p>
        </w:tc>
      </w:tr>
      <w:tr w:rsidR="00000000">
        <w:tc>
          <w:tcPr>
            <w:tcW w:w="1629" w:type="dxa"/>
            <w:tcMar>
              <w:left w:w="68" w:type="dxa"/>
              <w:right w:w="68" w:type="dxa"/>
            </w:tcMar>
          </w:tcPr>
          <w:p w:rsidR="00000000" w:rsidRDefault="00000000">
            <w:r>
              <w:t>Lac Iro</w:t>
            </w:r>
          </w:p>
        </w:tc>
        <w:tc>
          <w:tcPr>
            <w:tcW w:w="1574" w:type="dxa"/>
            <w:tcMar>
              <w:left w:w="68" w:type="dxa"/>
              <w:right w:w="68" w:type="dxa"/>
            </w:tcMar>
          </w:tcPr>
          <w:p w:rsidR="00000000" w:rsidRDefault="00000000">
            <w:pPr>
              <w:tabs>
                <w:tab w:val="decimal" w:pos="821"/>
              </w:tabs>
            </w:pPr>
            <w:r>
              <w:t>100,0</w:t>
            </w:r>
          </w:p>
        </w:tc>
        <w:tc>
          <w:tcPr>
            <w:tcW w:w="1570" w:type="dxa"/>
            <w:tcMar>
              <w:left w:w="68" w:type="dxa"/>
              <w:right w:w="68" w:type="dxa"/>
            </w:tcMar>
          </w:tcPr>
          <w:p w:rsidR="00000000" w:rsidRDefault="00000000">
            <w:pPr>
              <w:tabs>
                <w:tab w:val="decimal" w:pos="759"/>
              </w:tabs>
            </w:pPr>
            <w:r>
              <w:t>0,0</w:t>
            </w:r>
          </w:p>
        </w:tc>
        <w:tc>
          <w:tcPr>
            <w:tcW w:w="1569" w:type="dxa"/>
            <w:tcMar>
              <w:left w:w="68" w:type="dxa"/>
              <w:right w:w="68" w:type="dxa"/>
            </w:tcMar>
          </w:tcPr>
          <w:p w:rsidR="00000000" w:rsidRDefault="00000000">
            <w:pPr>
              <w:tabs>
                <w:tab w:val="decimal" w:pos="830"/>
              </w:tabs>
            </w:pPr>
            <w:r>
              <w:t>100,0</w:t>
            </w:r>
          </w:p>
        </w:tc>
        <w:tc>
          <w:tcPr>
            <w:tcW w:w="1577" w:type="dxa"/>
            <w:tcMar>
              <w:left w:w="68" w:type="dxa"/>
              <w:right w:w="68" w:type="dxa"/>
            </w:tcMar>
          </w:tcPr>
          <w:p w:rsidR="00000000" w:rsidRDefault="00000000">
            <w:pPr>
              <w:tabs>
                <w:tab w:val="decimal" w:pos="830"/>
              </w:tabs>
            </w:pPr>
            <w:r>
              <w:t>83,8</w:t>
            </w:r>
          </w:p>
        </w:tc>
        <w:tc>
          <w:tcPr>
            <w:tcW w:w="1572" w:type="dxa"/>
            <w:tcMar>
              <w:left w:w="68" w:type="dxa"/>
              <w:right w:w="68" w:type="dxa"/>
            </w:tcMar>
          </w:tcPr>
          <w:p w:rsidR="00000000" w:rsidRDefault="00000000">
            <w:pPr>
              <w:tabs>
                <w:tab w:val="decimal" w:pos="830"/>
              </w:tabs>
            </w:pPr>
            <w:r>
              <w:t>266,7</w:t>
            </w:r>
          </w:p>
        </w:tc>
      </w:tr>
      <w:tr w:rsidR="00000000">
        <w:tc>
          <w:tcPr>
            <w:tcW w:w="1629" w:type="dxa"/>
            <w:tcMar>
              <w:left w:w="68" w:type="dxa"/>
              <w:right w:w="68" w:type="dxa"/>
            </w:tcMar>
          </w:tcPr>
          <w:p w:rsidR="00000000" w:rsidRDefault="00000000">
            <w:r>
              <w:t>Mayo Kebbi</w:t>
            </w:r>
          </w:p>
        </w:tc>
        <w:tc>
          <w:tcPr>
            <w:tcW w:w="1574" w:type="dxa"/>
            <w:tcMar>
              <w:left w:w="68" w:type="dxa"/>
              <w:right w:w="68" w:type="dxa"/>
            </w:tcMar>
          </w:tcPr>
          <w:p w:rsidR="00000000" w:rsidRDefault="00000000">
            <w:pPr>
              <w:tabs>
                <w:tab w:val="decimal" w:pos="821"/>
              </w:tabs>
            </w:pPr>
            <w:r>
              <w:t>99,9</w:t>
            </w:r>
          </w:p>
        </w:tc>
        <w:tc>
          <w:tcPr>
            <w:tcW w:w="1570" w:type="dxa"/>
            <w:tcMar>
              <w:left w:w="68" w:type="dxa"/>
              <w:right w:w="68" w:type="dxa"/>
            </w:tcMar>
          </w:tcPr>
          <w:p w:rsidR="00000000" w:rsidRDefault="00000000">
            <w:pPr>
              <w:tabs>
                <w:tab w:val="decimal" w:pos="759"/>
              </w:tabs>
            </w:pPr>
            <w:r>
              <w:t>0,1</w:t>
            </w:r>
          </w:p>
        </w:tc>
        <w:tc>
          <w:tcPr>
            <w:tcW w:w="1569" w:type="dxa"/>
            <w:tcMar>
              <w:left w:w="68" w:type="dxa"/>
              <w:right w:w="68" w:type="dxa"/>
            </w:tcMar>
          </w:tcPr>
          <w:p w:rsidR="00000000" w:rsidRDefault="00000000">
            <w:pPr>
              <w:tabs>
                <w:tab w:val="decimal" w:pos="830"/>
              </w:tabs>
            </w:pPr>
            <w:r>
              <w:t>100,0</w:t>
            </w:r>
          </w:p>
        </w:tc>
        <w:tc>
          <w:tcPr>
            <w:tcW w:w="1577" w:type="dxa"/>
            <w:tcMar>
              <w:left w:w="68" w:type="dxa"/>
              <w:right w:w="68" w:type="dxa"/>
            </w:tcMar>
          </w:tcPr>
          <w:p w:rsidR="00000000" w:rsidRDefault="00000000">
            <w:pPr>
              <w:tabs>
                <w:tab w:val="decimal" w:pos="830"/>
              </w:tabs>
            </w:pPr>
            <w:r>
              <w:t>92,8</w:t>
            </w:r>
          </w:p>
        </w:tc>
        <w:tc>
          <w:tcPr>
            <w:tcW w:w="1572" w:type="dxa"/>
            <w:tcMar>
              <w:left w:w="68" w:type="dxa"/>
              <w:right w:w="68" w:type="dxa"/>
            </w:tcMar>
          </w:tcPr>
          <w:p w:rsidR="00000000" w:rsidRDefault="00000000">
            <w:pPr>
              <w:tabs>
                <w:tab w:val="decimal" w:pos="830"/>
              </w:tabs>
            </w:pPr>
            <w:r>
              <w:t>221,5</w:t>
            </w:r>
          </w:p>
        </w:tc>
      </w:tr>
      <w:tr w:rsidR="00000000">
        <w:tc>
          <w:tcPr>
            <w:tcW w:w="1629" w:type="dxa"/>
            <w:tcMar>
              <w:left w:w="68" w:type="dxa"/>
              <w:right w:w="68" w:type="dxa"/>
            </w:tcMar>
          </w:tcPr>
          <w:p w:rsidR="00000000" w:rsidRDefault="00000000">
            <w:r>
              <w:t>Ouaddaï</w:t>
            </w:r>
          </w:p>
        </w:tc>
        <w:tc>
          <w:tcPr>
            <w:tcW w:w="1574" w:type="dxa"/>
            <w:tcMar>
              <w:left w:w="68" w:type="dxa"/>
              <w:right w:w="68" w:type="dxa"/>
            </w:tcMar>
          </w:tcPr>
          <w:p w:rsidR="00000000" w:rsidRDefault="00000000">
            <w:pPr>
              <w:tabs>
                <w:tab w:val="decimal" w:pos="821"/>
              </w:tabs>
            </w:pPr>
            <w:r>
              <w:t>97,7</w:t>
            </w:r>
          </w:p>
        </w:tc>
        <w:tc>
          <w:tcPr>
            <w:tcW w:w="1570" w:type="dxa"/>
            <w:tcMar>
              <w:left w:w="68" w:type="dxa"/>
              <w:right w:w="68" w:type="dxa"/>
            </w:tcMar>
          </w:tcPr>
          <w:p w:rsidR="00000000" w:rsidRDefault="00000000">
            <w:pPr>
              <w:tabs>
                <w:tab w:val="decimal" w:pos="759"/>
              </w:tabs>
            </w:pPr>
            <w:r>
              <w:t>2,3</w:t>
            </w:r>
          </w:p>
        </w:tc>
        <w:tc>
          <w:tcPr>
            <w:tcW w:w="1569" w:type="dxa"/>
            <w:tcMar>
              <w:left w:w="68" w:type="dxa"/>
              <w:right w:w="68" w:type="dxa"/>
            </w:tcMar>
          </w:tcPr>
          <w:p w:rsidR="00000000" w:rsidRDefault="00000000">
            <w:pPr>
              <w:tabs>
                <w:tab w:val="decimal" w:pos="830"/>
              </w:tabs>
            </w:pPr>
            <w:r>
              <w:t>100,0</w:t>
            </w:r>
          </w:p>
        </w:tc>
        <w:tc>
          <w:tcPr>
            <w:tcW w:w="1577" w:type="dxa"/>
            <w:tcMar>
              <w:left w:w="68" w:type="dxa"/>
              <w:right w:w="68" w:type="dxa"/>
            </w:tcMar>
          </w:tcPr>
          <w:p w:rsidR="00000000" w:rsidRDefault="00000000">
            <w:pPr>
              <w:tabs>
                <w:tab w:val="decimal" w:pos="830"/>
              </w:tabs>
            </w:pPr>
            <w:r>
              <w:t>83,0</w:t>
            </w:r>
          </w:p>
        </w:tc>
        <w:tc>
          <w:tcPr>
            <w:tcW w:w="1572" w:type="dxa"/>
            <w:tcMar>
              <w:left w:w="68" w:type="dxa"/>
              <w:right w:w="68" w:type="dxa"/>
            </w:tcMar>
          </w:tcPr>
          <w:p w:rsidR="00000000" w:rsidRDefault="00000000">
            <w:pPr>
              <w:tabs>
                <w:tab w:val="decimal" w:pos="830"/>
              </w:tabs>
            </w:pPr>
            <w:r>
              <w:t>93,9</w:t>
            </w:r>
          </w:p>
        </w:tc>
      </w:tr>
      <w:tr w:rsidR="00000000">
        <w:tc>
          <w:tcPr>
            <w:tcW w:w="1629" w:type="dxa"/>
            <w:tcMar>
              <w:left w:w="68" w:type="dxa"/>
              <w:right w:w="68" w:type="dxa"/>
            </w:tcMar>
          </w:tcPr>
          <w:p w:rsidR="00000000" w:rsidRDefault="00000000">
            <w:r>
              <w:t>Peul</w:t>
            </w:r>
          </w:p>
        </w:tc>
        <w:tc>
          <w:tcPr>
            <w:tcW w:w="1574" w:type="dxa"/>
            <w:tcMar>
              <w:left w:w="68" w:type="dxa"/>
              <w:right w:w="68" w:type="dxa"/>
            </w:tcMar>
          </w:tcPr>
          <w:p w:rsidR="00000000" w:rsidRDefault="00000000">
            <w:pPr>
              <w:tabs>
                <w:tab w:val="decimal" w:pos="821"/>
              </w:tabs>
            </w:pPr>
            <w:r>
              <w:t>55,6</w:t>
            </w:r>
          </w:p>
        </w:tc>
        <w:tc>
          <w:tcPr>
            <w:tcW w:w="1570" w:type="dxa"/>
            <w:tcMar>
              <w:left w:w="68" w:type="dxa"/>
              <w:right w:w="68" w:type="dxa"/>
            </w:tcMar>
          </w:tcPr>
          <w:p w:rsidR="00000000" w:rsidRDefault="00000000">
            <w:pPr>
              <w:tabs>
                <w:tab w:val="decimal" w:pos="759"/>
              </w:tabs>
            </w:pPr>
            <w:r>
              <w:t>44,4</w:t>
            </w:r>
          </w:p>
        </w:tc>
        <w:tc>
          <w:tcPr>
            <w:tcW w:w="1569" w:type="dxa"/>
            <w:tcMar>
              <w:left w:w="68" w:type="dxa"/>
              <w:right w:w="68" w:type="dxa"/>
            </w:tcMar>
          </w:tcPr>
          <w:p w:rsidR="00000000" w:rsidRDefault="00000000">
            <w:pPr>
              <w:tabs>
                <w:tab w:val="decimal" w:pos="830"/>
              </w:tabs>
            </w:pPr>
            <w:r>
              <w:t>100,0</w:t>
            </w:r>
          </w:p>
        </w:tc>
        <w:tc>
          <w:tcPr>
            <w:tcW w:w="1577" w:type="dxa"/>
            <w:tcMar>
              <w:left w:w="68" w:type="dxa"/>
              <w:right w:w="68" w:type="dxa"/>
            </w:tcMar>
          </w:tcPr>
          <w:p w:rsidR="00000000" w:rsidRDefault="00000000">
            <w:pPr>
              <w:tabs>
                <w:tab w:val="decimal" w:pos="830"/>
              </w:tabs>
            </w:pPr>
            <w:r>
              <w:t>102,1</w:t>
            </w:r>
          </w:p>
        </w:tc>
        <w:tc>
          <w:tcPr>
            <w:tcW w:w="1572" w:type="dxa"/>
            <w:tcMar>
              <w:left w:w="68" w:type="dxa"/>
              <w:right w:w="68" w:type="dxa"/>
            </w:tcMar>
          </w:tcPr>
          <w:p w:rsidR="00000000" w:rsidRDefault="00000000">
            <w:pPr>
              <w:tabs>
                <w:tab w:val="decimal" w:pos="830"/>
              </w:tabs>
            </w:pPr>
            <w:r>
              <w:t>114,0</w:t>
            </w:r>
          </w:p>
        </w:tc>
      </w:tr>
      <w:tr w:rsidR="00000000">
        <w:tc>
          <w:tcPr>
            <w:tcW w:w="1629" w:type="dxa"/>
            <w:tcMar>
              <w:left w:w="68" w:type="dxa"/>
              <w:right w:w="68" w:type="dxa"/>
            </w:tcMar>
          </w:tcPr>
          <w:p w:rsidR="00000000" w:rsidRDefault="00000000">
            <w:r>
              <w:t>Sara</w:t>
            </w:r>
          </w:p>
        </w:tc>
        <w:tc>
          <w:tcPr>
            <w:tcW w:w="1574" w:type="dxa"/>
            <w:tcMar>
              <w:left w:w="68" w:type="dxa"/>
              <w:right w:w="68" w:type="dxa"/>
            </w:tcMar>
          </w:tcPr>
          <w:p w:rsidR="00000000" w:rsidRDefault="00000000">
            <w:pPr>
              <w:tabs>
                <w:tab w:val="decimal" w:pos="821"/>
              </w:tabs>
            </w:pPr>
            <w:r>
              <w:t>100,0</w:t>
            </w:r>
          </w:p>
        </w:tc>
        <w:tc>
          <w:tcPr>
            <w:tcW w:w="1570" w:type="dxa"/>
            <w:tcMar>
              <w:left w:w="68" w:type="dxa"/>
              <w:right w:w="68" w:type="dxa"/>
            </w:tcMar>
          </w:tcPr>
          <w:p w:rsidR="00000000" w:rsidRDefault="00000000">
            <w:pPr>
              <w:tabs>
                <w:tab w:val="decimal" w:pos="759"/>
              </w:tabs>
            </w:pPr>
            <w:r>
              <w:t>0,0</w:t>
            </w:r>
          </w:p>
        </w:tc>
        <w:tc>
          <w:tcPr>
            <w:tcW w:w="1569" w:type="dxa"/>
            <w:tcMar>
              <w:left w:w="68" w:type="dxa"/>
              <w:right w:w="68" w:type="dxa"/>
            </w:tcMar>
          </w:tcPr>
          <w:p w:rsidR="00000000" w:rsidRDefault="00000000">
            <w:pPr>
              <w:tabs>
                <w:tab w:val="decimal" w:pos="830"/>
              </w:tabs>
            </w:pPr>
            <w:r>
              <w:t>100,0</w:t>
            </w:r>
          </w:p>
        </w:tc>
        <w:tc>
          <w:tcPr>
            <w:tcW w:w="1577" w:type="dxa"/>
            <w:tcMar>
              <w:left w:w="68" w:type="dxa"/>
              <w:right w:w="68" w:type="dxa"/>
            </w:tcMar>
          </w:tcPr>
          <w:p w:rsidR="00000000" w:rsidRDefault="00000000">
            <w:pPr>
              <w:tabs>
                <w:tab w:val="decimal" w:pos="830"/>
              </w:tabs>
            </w:pPr>
            <w:r>
              <w:t>94,1</w:t>
            </w:r>
          </w:p>
        </w:tc>
        <w:tc>
          <w:tcPr>
            <w:tcW w:w="1572" w:type="dxa"/>
            <w:tcMar>
              <w:left w:w="68" w:type="dxa"/>
              <w:right w:w="68" w:type="dxa"/>
            </w:tcMar>
          </w:tcPr>
          <w:p w:rsidR="00000000" w:rsidRDefault="00000000">
            <w:pPr>
              <w:tabs>
                <w:tab w:val="decimal" w:pos="830"/>
              </w:tabs>
            </w:pPr>
            <w:r>
              <w:t>287,1</w:t>
            </w:r>
          </w:p>
        </w:tc>
      </w:tr>
      <w:tr w:rsidR="00000000">
        <w:tc>
          <w:tcPr>
            <w:tcW w:w="1629" w:type="dxa"/>
            <w:tcMar>
              <w:left w:w="68" w:type="dxa"/>
              <w:right w:w="68" w:type="dxa"/>
            </w:tcMar>
          </w:tcPr>
          <w:p w:rsidR="00000000" w:rsidRDefault="00000000">
            <w:r>
              <w:t>Tandjilé</w:t>
            </w:r>
          </w:p>
        </w:tc>
        <w:tc>
          <w:tcPr>
            <w:tcW w:w="1574" w:type="dxa"/>
            <w:tcMar>
              <w:left w:w="68" w:type="dxa"/>
              <w:right w:w="68" w:type="dxa"/>
            </w:tcMar>
          </w:tcPr>
          <w:p w:rsidR="00000000" w:rsidRDefault="00000000">
            <w:pPr>
              <w:tabs>
                <w:tab w:val="decimal" w:pos="821"/>
              </w:tabs>
            </w:pPr>
            <w:r>
              <w:t>100,0</w:t>
            </w:r>
          </w:p>
        </w:tc>
        <w:tc>
          <w:tcPr>
            <w:tcW w:w="1570" w:type="dxa"/>
            <w:tcMar>
              <w:left w:w="68" w:type="dxa"/>
              <w:right w:w="68" w:type="dxa"/>
            </w:tcMar>
          </w:tcPr>
          <w:p w:rsidR="00000000" w:rsidRDefault="00000000">
            <w:pPr>
              <w:tabs>
                <w:tab w:val="decimal" w:pos="759"/>
              </w:tabs>
            </w:pPr>
            <w:r>
              <w:t>0,0</w:t>
            </w:r>
          </w:p>
        </w:tc>
        <w:tc>
          <w:tcPr>
            <w:tcW w:w="1569" w:type="dxa"/>
            <w:tcMar>
              <w:left w:w="68" w:type="dxa"/>
              <w:right w:w="68" w:type="dxa"/>
            </w:tcMar>
          </w:tcPr>
          <w:p w:rsidR="00000000" w:rsidRDefault="00000000">
            <w:pPr>
              <w:tabs>
                <w:tab w:val="decimal" w:pos="830"/>
              </w:tabs>
            </w:pPr>
            <w:r>
              <w:t>100,0</w:t>
            </w:r>
          </w:p>
        </w:tc>
        <w:tc>
          <w:tcPr>
            <w:tcW w:w="1577" w:type="dxa"/>
            <w:tcMar>
              <w:left w:w="68" w:type="dxa"/>
              <w:right w:w="68" w:type="dxa"/>
            </w:tcMar>
          </w:tcPr>
          <w:p w:rsidR="00000000" w:rsidRDefault="00000000">
            <w:pPr>
              <w:tabs>
                <w:tab w:val="decimal" w:pos="830"/>
              </w:tabs>
            </w:pPr>
            <w:r>
              <w:t>91,6</w:t>
            </w:r>
          </w:p>
        </w:tc>
        <w:tc>
          <w:tcPr>
            <w:tcW w:w="1572" w:type="dxa"/>
            <w:tcMar>
              <w:left w:w="68" w:type="dxa"/>
              <w:right w:w="68" w:type="dxa"/>
            </w:tcMar>
          </w:tcPr>
          <w:p w:rsidR="00000000" w:rsidRDefault="00000000">
            <w:pPr>
              <w:tabs>
                <w:tab w:val="decimal" w:pos="830"/>
              </w:tabs>
            </w:pPr>
            <w:r>
              <w:t>200,0</w:t>
            </w:r>
          </w:p>
        </w:tc>
      </w:tr>
      <w:tr w:rsidR="00000000">
        <w:tc>
          <w:tcPr>
            <w:tcW w:w="1629" w:type="dxa"/>
            <w:tcMar>
              <w:left w:w="68" w:type="dxa"/>
              <w:right w:w="68" w:type="dxa"/>
            </w:tcMar>
          </w:tcPr>
          <w:p w:rsidR="00000000" w:rsidRDefault="00000000">
            <w:r>
              <w:t>Otros</w:t>
            </w:r>
          </w:p>
        </w:tc>
        <w:tc>
          <w:tcPr>
            <w:tcW w:w="1574" w:type="dxa"/>
            <w:tcMar>
              <w:left w:w="68" w:type="dxa"/>
              <w:right w:w="68" w:type="dxa"/>
            </w:tcMar>
          </w:tcPr>
          <w:p w:rsidR="00000000" w:rsidRDefault="00000000">
            <w:pPr>
              <w:tabs>
                <w:tab w:val="decimal" w:pos="821"/>
              </w:tabs>
            </w:pPr>
            <w:r>
              <w:t>91,6</w:t>
            </w:r>
          </w:p>
        </w:tc>
        <w:tc>
          <w:tcPr>
            <w:tcW w:w="1570" w:type="dxa"/>
            <w:tcMar>
              <w:left w:w="68" w:type="dxa"/>
              <w:right w:w="68" w:type="dxa"/>
            </w:tcMar>
          </w:tcPr>
          <w:p w:rsidR="00000000" w:rsidRDefault="00000000">
            <w:pPr>
              <w:tabs>
                <w:tab w:val="decimal" w:pos="759"/>
              </w:tabs>
            </w:pPr>
            <w:r>
              <w:t>8,4</w:t>
            </w:r>
          </w:p>
        </w:tc>
        <w:tc>
          <w:tcPr>
            <w:tcW w:w="1569" w:type="dxa"/>
            <w:tcMar>
              <w:left w:w="68" w:type="dxa"/>
              <w:right w:w="68" w:type="dxa"/>
            </w:tcMar>
          </w:tcPr>
          <w:p w:rsidR="00000000" w:rsidRDefault="00000000">
            <w:pPr>
              <w:tabs>
                <w:tab w:val="decimal" w:pos="830"/>
              </w:tabs>
            </w:pPr>
            <w:r>
              <w:t>100,0</w:t>
            </w:r>
          </w:p>
        </w:tc>
        <w:tc>
          <w:tcPr>
            <w:tcW w:w="1577" w:type="dxa"/>
            <w:tcMar>
              <w:left w:w="68" w:type="dxa"/>
              <w:right w:w="68" w:type="dxa"/>
            </w:tcMar>
          </w:tcPr>
          <w:p w:rsidR="00000000" w:rsidRDefault="00000000">
            <w:pPr>
              <w:tabs>
                <w:tab w:val="decimal" w:pos="830"/>
              </w:tabs>
            </w:pPr>
            <w:r>
              <w:t>95,4</w:t>
            </w:r>
          </w:p>
        </w:tc>
        <w:tc>
          <w:tcPr>
            <w:tcW w:w="1572" w:type="dxa"/>
            <w:tcMar>
              <w:left w:w="68" w:type="dxa"/>
              <w:right w:w="68" w:type="dxa"/>
            </w:tcMar>
          </w:tcPr>
          <w:p w:rsidR="00000000" w:rsidRDefault="00000000">
            <w:pPr>
              <w:tabs>
                <w:tab w:val="decimal" w:pos="830"/>
              </w:tabs>
            </w:pPr>
            <w:r>
              <w:t>96,7</w:t>
            </w:r>
          </w:p>
        </w:tc>
      </w:tr>
      <w:tr w:rsidR="00000000">
        <w:tc>
          <w:tcPr>
            <w:tcW w:w="1629" w:type="dxa"/>
            <w:tcMar>
              <w:left w:w="68" w:type="dxa"/>
              <w:right w:w="68" w:type="dxa"/>
            </w:tcMar>
          </w:tcPr>
          <w:p w:rsidR="00000000" w:rsidRDefault="00000000">
            <w:r>
              <w:t>Varios</w:t>
            </w:r>
          </w:p>
        </w:tc>
        <w:tc>
          <w:tcPr>
            <w:tcW w:w="1574" w:type="dxa"/>
            <w:tcMar>
              <w:left w:w="68" w:type="dxa"/>
              <w:right w:w="68" w:type="dxa"/>
            </w:tcMar>
          </w:tcPr>
          <w:p w:rsidR="00000000" w:rsidRDefault="00000000">
            <w:pPr>
              <w:tabs>
                <w:tab w:val="decimal" w:pos="821"/>
              </w:tabs>
            </w:pPr>
            <w:r>
              <w:t>97,6</w:t>
            </w:r>
          </w:p>
        </w:tc>
        <w:tc>
          <w:tcPr>
            <w:tcW w:w="1570" w:type="dxa"/>
            <w:tcMar>
              <w:left w:w="68" w:type="dxa"/>
              <w:right w:w="68" w:type="dxa"/>
            </w:tcMar>
          </w:tcPr>
          <w:p w:rsidR="00000000" w:rsidRDefault="00000000">
            <w:pPr>
              <w:tabs>
                <w:tab w:val="decimal" w:pos="759"/>
              </w:tabs>
            </w:pPr>
            <w:r>
              <w:t>2,4</w:t>
            </w:r>
          </w:p>
        </w:tc>
        <w:tc>
          <w:tcPr>
            <w:tcW w:w="1569" w:type="dxa"/>
            <w:tcMar>
              <w:left w:w="68" w:type="dxa"/>
              <w:right w:w="68" w:type="dxa"/>
            </w:tcMar>
          </w:tcPr>
          <w:p w:rsidR="00000000" w:rsidRDefault="00000000">
            <w:pPr>
              <w:tabs>
                <w:tab w:val="decimal" w:pos="830"/>
              </w:tabs>
            </w:pPr>
            <w:r>
              <w:t>100,0</w:t>
            </w:r>
          </w:p>
        </w:tc>
        <w:tc>
          <w:tcPr>
            <w:tcW w:w="1577" w:type="dxa"/>
            <w:tcMar>
              <w:left w:w="68" w:type="dxa"/>
              <w:right w:w="68" w:type="dxa"/>
            </w:tcMar>
          </w:tcPr>
          <w:p w:rsidR="00000000" w:rsidRDefault="00000000">
            <w:pPr>
              <w:tabs>
                <w:tab w:val="decimal" w:pos="830"/>
              </w:tabs>
            </w:pPr>
            <w:r>
              <w:t>105,3</w:t>
            </w:r>
          </w:p>
        </w:tc>
        <w:tc>
          <w:tcPr>
            <w:tcW w:w="1572" w:type="dxa"/>
            <w:tcMar>
              <w:left w:w="68" w:type="dxa"/>
              <w:right w:w="68" w:type="dxa"/>
            </w:tcMar>
          </w:tcPr>
          <w:p w:rsidR="00000000" w:rsidRDefault="00000000">
            <w:pPr>
              <w:tabs>
                <w:tab w:val="decimal" w:pos="830"/>
              </w:tabs>
            </w:pPr>
            <w:r>
              <w:t>96,4</w:t>
            </w:r>
          </w:p>
        </w:tc>
      </w:tr>
      <w:tr w:rsidR="00000000">
        <w:tc>
          <w:tcPr>
            <w:tcW w:w="1629" w:type="dxa"/>
            <w:tcMar>
              <w:left w:w="68" w:type="dxa"/>
              <w:right w:w="68" w:type="dxa"/>
            </w:tcMar>
          </w:tcPr>
          <w:p w:rsidR="00000000" w:rsidRDefault="00000000">
            <w:r>
              <w:t>Extranjeros</w:t>
            </w:r>
          </w:p>
        </w:tc>
        <w:tc>
          <w:tcPr>
            <w:tcW w:w="1574" w:type="dxa"/>
            <w:tcMar>
              <w:left w:w="68" w:type="dxa"/>
              <w:right w:w="68" w:type="dxa"/>
            </w:tcMar>
          </w:tcPr>
          <w:p w:rsidR="00000000" w:rsidRDefault="00000000">
            <w:pPr>
              <w:tabs>
                <w:tab w:val="decimal" w:pos="821"/>
              </w:tabs>
            </w:pPr>
            <w:r>
              <w:t>90,6</w:t>
            </w:r>
          </w:p>
        </w:tc>
        <w:tc>
          <w:tcPr>
            <w:tcW w:w="1570" w:type="dxa"/>
            <w:tcMar>
              <w:left w:w="68" w:type="dxa"/>
              <w:right w:w="68" w:type="dxa"/>
            </w:tcMar>
          </w:tcPr>
          <w:p w:rsidR="00000000" w:rsidRDefault="00000000">
            <w:pPr>
              <w:tabs>
                <w:tab w:val="decimal" w:pos="759"/>
              </w:tabs>
            </w:pPr>
            <w:r>
              <w:t>9,6</w:t>
            </w:r>
          </w:p>
        </w:tc>
        <w:tc>
          <w:tcPr>
            <w:tcW w:w="1569" w:type="dxa"/>
            <w:tcMar>
              <w:left w:w="68" w:type="dxa"/>
              <w:right w:w="68" w:type="dxa"/>
            </w:tcMar>
          </w:tcPr>
          <w:p w:rsidR="00000000" w:rsidRDefault="00000000">
            <w:pPr>
              <w:tabs>
                <w:tab w:val="decimal" w:pos="830"/>
              </w:tabs>
            </w:pPr>
            <w:r>
              <w:t>100,0</w:t>
            </w:r>
          </w:p>
        </w:tc>
        <w:tc>
          <w:tcPr>
            <w:tcW w:w="1577" w:type="dxa"/>
            <w:tcMar>
              <w:left w:w="68" w:type="dxa"/>
              <w:right w:w="68" w:type="dxa"/>
            </w:tcMar>
          </w:tcPr>
          <w:p w:rsidR="00000000" w:rsidRDefault="00000000">
            <w:pPr>
              <w:tabs>
                <w:tab w:val="decimal" w:pos="830"/>
              </w:tabs>
            </w:pPr>
            <w:r>
              <w:t>108,2</w:t>
            </w:r>
          </w:p>
        </w:tc>
        <w:tc>
          <w:tcPr>
            <w:tcW w:w="1572" w:type="dxa"/>
            <w:tcMar>
              <w:left w:w="68" w:type="dxa"/>
              <w:right w:w="68" w:type="dxa"/>
            </w:tcMar>
          </w:tcPr>
          <w:p w:rsidR="00000000" w:rsidRDefault="00000000">
            <w:pPr>
              <w:tabs>
                <w:tab w:val="decimal" w:pos="830"/>
              </w:tabs>
            </w:pPr>
            <w:r>
              <w:t>121,9</w:t>
            </w:r>
          </w:p>
        </w:tc>
      </w:tr>
      <w:tr w:rsidR="00000000">
        <w:tc>
          <w:tcPr>
            <w:tcW w:w="1629" w:type="dxa"/>
            <w:tcMar>
              <w:left w:w="68" w:type="dxa"/>
              <w:right w:w="68" w:type="dxa"/>
            </w:tcMar>
          </w:tcPr>
          <w:p w:rsidR="00000000" w:rsidRDefault="00000000">
            <w:r>
              <w:t>Indeterminados</w:t>
            </w:r>
          </w:p>
        </w:tc>
        <w:tc>
          <w:tcPr>
            <w:tcW w:w="1574" w:type="dxa"/>
            <w:tcMar>
              <w:left w:w="68" w:type="dxa"/>
              <w:right w:w="68" w:type="dxa"/>
            </w:tcMar>
          </w:tcPr>
          <w:p w:rsidR="00000000" w:rsidRDefault="00000000">
            <w:pPr>
              <w:tabs>
                <w:tab w:val="decimal" w:pos="821"/>
              </w:tabs>
            </w:pPr>
            <w:r>
              <w:t>92,3</w:t>
            </w:r>
          </w:p>
        </w:tc>
        <w:tc>
          <w:tcPr>
            <w:tcW w:w="1570" w:type="dxa"/>
            <w:tcMar>
              <w:left w:w="68" w:type="dxa"/>
              <w:right w:w="68" w:type="dxa"/>
            </w:tcMar>
          </w:tcPr>
          <w:p w:rsidR="00000000" w:rsidRDefault="00000000">
            <w:pPr>
              <w:tabs>
                <w:tab w:val="decimal" w:pos="759"/>
              </w:tabs>
            </w:pPr>
            <w:r>
              <w:t>7,9</w:t>
            </w:r>
          </w:p>
        </w:tc>
        <w:tc>
          <w:tcPr>
            <w:tcW w:w="1569" w:type="dxa"/>
            <w:tcMar>
              <w:left w:w="68" w:type="dxa"/>
              <w:right w:w="68" w:type="dxa"/>
            </w:tcMar>
          </w:tcPr>
          <w:p w:rsidR="00000000" w:rsidRDefault="00000000">
            <w:pPr>
              <w:tabs>
                <w:tab w:val="decimal" w:pos="830"/>
              </w:tabs>
            </w:pPr>
            <w:r>
              <w:t>100,0</w:t>
            </w:r>
          </w:p>
        </w:tc>
        <w:tc>
          <w:tcPr>
            <w:tcW w:w="1577" w:type="dxa"/>
            <w:tcMar>
              <w:left w:w="68" w:type="dxa"/>
              <w:right w:w="68" w:type="dxa"/>
            </w:tcMar>
          </w:tcPr>
          <w:p w:rsidR="00000000" w:rsidRDefault="00000000">
            <w:pPr>
              <w:tabs>
                <w:tab w:val="decimal" w:pos="830"/>
              </w:tabs>
            </w:pPr>
            <w:r>
              <w:t>89,9</w:t>
            </w:r>
          </w:p>
        </w:tc>
        <w:tc>
          <w:tcPr>
            <w:tcW w:w="1572" w:type="dxa"/>
            <w:tcMar>
              <w:left w:w="68" w:type="dxa"/>
              <w:right w:w="68" w:type="dxa"/>
            </w:tcMar>
          </w:tcPr>
          <w:p w:rsidR="00000000" w:rsidRDefault="00000000">
            <w:pPr>
              <w:tabs>
                <w:tab w:val="decimal" w:pos="830"/>
              </w:tabs>
            </w:pPr>
            <w:r>
              <w:t>97,6</w:t>
            </w:r>
          </w:p>
        </w:tc>
      </w:tr>
      <w:tr w:rsidR="00000000">
        <w:tc>
          <w:tcPr>
            <w:tcW w:w="1629" w:type="dxa"/>
            <w:tcMar>
              <w:left w:w="68" w:type="dxa"/>
              <w:right w:w="68" w:type="dxa"/>
            </w:tcMar>
          </w:tcPr>
          <w:p w:rsidR="00000000" w:rsidRDefault="00000000">
            <w:pPr>
              <w:ind w:left="336"/>
              <w:rPr>
                <w:b/>
              </w:rPr>
            </w:pPr>
            <w:r>
              <w:rPr>
                <w:b/>
              </w:rPr>
              <w:t>Total</w:t>
            </w:r>
          </w:p>
        </w:tc>
        <w:tc>
          <w:tcPr>
            <w:tcW w:w="1574" w:type="dxa"/>
            <w:tcMar>
              <w:left w:w="68" w:type="dxa"/>
              <w:right w:w="68" w:type="dxa"/>
            </w:tcMar>
          </w:tcPr>
          <w:p w:rsidR="00000000" w:rsidRDefault="00000000">
            <w:pPr>
              <w:tabs>
                <w:tab w:val="decimal" w:pos="821"/>
              </w:tabs>
              <w:rPr>
                <w:b/>
              </w:rPr>
            </w:pPr>
            <w:r>
              <w:rPr>
                <w:b/>
              </w:rPr>
              <w:t>94,3</w:t>
            </w:r>
          </w:p>
        </w:tc>
        <w:tc>
          <w:tcPr>
            <w:tcW w:w="1570" w:type="dxa"/>
            <w:tcMar>
              <w:left w:w="68" w:type="dxa"/>
              <w:right w:w="68" w:type="dxa"/>
            </w:tcMar>
          </w:tcPr>
          <w:p w:rsidR="00000000" w:rsidRDefault="00000000">
            <w:pPr>
              <w:tabs>
                <w:tab w:val="decimal" w:pos="759"/>
              </w:tabs>
              <w:rPr>
                <w:b/>
              </w:rPr>
            </w:pPr>
            <w:r>
              <w:rPr>
                <w:b/>
              </w:rPr>
              <w:t>5,7</w:t>
            </w:r>
          </w:p>
        </w:tc>
        <w:tc>
          <w:tcPr>
            <w:tcW w:w="1569" w:type="dxa"/>
            <w:tcMar>
              <w:left w:w="68" w:type="dxa"/>
              <w:right w:w="68" w:type="dxa"/>
            </w:tcMar>
          </w:tcPr>
          <w:p w:rsidR="00000000" w:rsidRDefault="00000000">
            <w:pPr>
              <w:tabs>
                <w:tab w:val="decimal" w:pos="830"/>
              </w:tabs>
              <w:rPr>
                <w:b/>
              </w:rPr>
            </w:pPr>
            <w:r>
              <w:rPr>
                <w:b/>
              </w:rPr>
              <w:t>100,0</w:t>
            </w:r>
          </w:p>
        </w:tc>
        <w:tc>
          <w:tcPr>
            <w:tcW w:w="1577" w:type="dxa"/>
            <w:tcMar>
              <w:left w:w="68" w:type="dxa"/>
              <w:right w:w="68" w:type="dxa"/>
            </w:tcMar>
          </w:tcPr>
          <w:p w:rsidR="00000000" w:rsidRDefault="00000000">
            <w:pPr>
              <w:tabs>
                <w:tab w:val="decimal" w:pos="830"/>
              </w:tabs>
              <w:rPr>
                <w:b/>
              </w:rPr>
            </w:pPr>
            <w:r>
              <w:rPr>
                <w:b/>
              </w:rPr>
              <w:t>93,4</w:t>
            </w:r>
          </w:p>
        </w:tc>
        <w:tc>
          <w:tcPr>
            <w:tcW w:w="1572" w:type="dxa"/>
            <w:tcMar>
              <w:left w:w="68" w:type="dxa"/>
              <w:right w:w="68" w:type="dxa"/>
            </w:tcMar>
          </w:tcPr>
          <w:p w:rsidR="00000000" w:rsidRDefault="00000000">
            <w:pPr>
              <w:tabs>
                <w:tab w:val="decimal" w:pos="830"/>
              </w:tabs>
              <w:rPr>
                <w:b/>
              </w:rPr>
            </w:pPr>
            <w:r>
              <w:rPr>
                <w:b/>
              </w:rPr>
              <w:t>104,6</w:t>
            </w:r>
          </w:p>
        </w:tc>
      </w:tr>
    </w:tbl>
    <w:p w:rsidR="00000000" w:rsidRDefault="00000000">
      <w:pPr>
        <w:spacing w:before="240" w:after="480"/>
      </w:pPr>
      <w:r>
        <w:rPr>
          <w:i/>
        </w:rPr>
        <w:t>Fuente:</w:t>
      </w:r>
      <w:r>
        <w:t xml:space="preserve">  RGPH de 1993.</w:t>
      </w:r>
    </w:p>
    <w:p w:rsidR="00000000" w:rsidRDefault="00000000">
      <w:pPr>
        <w:spacing w:after="240"/>
      </w:pPr>
      <w:r>
        <w:t>36.</w:t>
      </w:r>
      <w:r>
        <w:tab/>
        <w:t>Además, más de la mitad de los nómadas está compuesta de Árabes (54,7%), seguidos de Peuls y Gourane con el 19,1 y el 14,8%, respectivamente.</w:t>
      </w:r>
    </w:p>
    <w:p w:rsidR="00000000" w:rsidRDefault="00000000">
      <w:pPr>
        <w:spacing w:after="240"/>
      </w:pPr>
      <w:r>
        <w:t>37.</w:t>
      </w:r>
      <w:r>
        <w:tab/>
        <w:t>Con excepción del grupo de los Ouaddaï, que comprende una proporción no desdeñable de nómadas (3,5%), hay muy pocos nómadas en los demás grupos étnicos.</w:t>
      </w:r>
    </w:p>
    <w:p w:rsidR="00000000" w:rsidRDefault="00000000">
      <w:pPr>
        <w:spacing w:after="240"/>
        <w:jc w:val="center"/>
        <w:rPr>
          <w:b/>
        </w:rPr>
      </w:pPr>
      <w:r>
        <w:rPr>
          <w:b/>
        </w:rPr>
        <w:t>Cuadro 6</w:t>
      </w:r>
    </w:p>
    <w:p w:rsidR="00000000" w:rsidRDefault="00000000">
      <w:pPr>
        <w:spacing w:after="240"/>
        <w:jc w:val="center"/>
        <w:rPr>
          <w:b/>
        </w:rPr>
      </w:pPr>
      <w:r>
        <w:rPr>
          <w:b/>
        </w:rPr>
        <w:t xml:space="preserve">Distribución de la población residente de los grandes </w:t>
      </w:r>
      <w:r>
        <w:rPr>
          <w:b/>
        </w:rPr>
        <w:br/>
        <w:t>grupos étnicos, por tipo de población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2460"/>
        <w:gridCol w:w="2194"/>
        <w:gridCol w:w="1613"/>
        <w:gridCol w:w="1716"/>
        <w:gridCol w:w="1508"/>
      </w:tblGrid>
      <w:tr w:rsidR="00000000">
        <w:trPr>
          <w:cantSplit/>
          <w:jc w:val="center"/>
        </w:trPr>
        <w:tc>
          <w:tcPr>
            <w:tcW w:w="1357" w:type="pct"/>
            <w:vMerge w:val="restart"/>
            <w:tcMar>
              <w:left w:w="68" w:type="dxa"/>
              <w:right w:w="68" w:type="dxa"/>
            </w:tcMar>
            <w:vAlign w:val="center"/>
          </w:tcPr>
          <w:p w:rsidR="00000000" w:rsidRDefault="00000000">
            <w:pPr>
              <w:jc w:val="center"/>
            </w:pPr>
            <w:r>
              <w:rPr>
                <w:b/>
              </w:rPr>
              <w:t>Gran grupo étnico</w:t>
            </w:r>
          </w:p>
        </w:tc>
        <w:tc>
          <w:tcPr>
            <w:tcW w:w="1822" w:type="pct"/>
            <w:gridSpan w:val="2"/>
            <w:tcMar>
              <w:left w:w="68" w:type="dxa"/>
              <w:right w:w="68" w:type="dxa"/>
            </w:tcMar>
            <w:vAlign w:val="center"/>
          </w:tcPr>
          <w:p w:rsidR="00000000" w:rsidRDefault="00000000">
            <w:pPr>
              <w:jc w:val="center"/>
              <w:rPr>
                <w:b/>
              </w:rPr>
            </w:pPr>
            <w:r>
              <w:rPr>
                <w:b/>
              </w:rPr>
              <w:t>Sedentarios</w:t>
            </w:r>
          </w:p>
        </w:tc>
        <w:tc>
          <w:tcPr>
            <w:tcW w:w="1822" w:type="pct"/>
            <w:gridSpan w:val="2"/>
            <w:tcMar>
              <w:left w:w="68" w:type="dxa"/>
              <w:right w:w="68" w:type="dxa"/>
            </w:tcMar>
            <w:vAlign w:val="center"/>
          </w:tcPr>
          <w:p w:rsidR="00000000" w:rsidRDefault="00000000">
            <w:pPr>
              <w:jc w:val="center"/>
              <w:rPr>
                <w:b/>
              </w:rPr>
            </w:pPr>
            <w:r>
              <w:rPr>
                <w:b/>
              </w:rPr>
              <w:t>Nómadas</w:t>
            </w:r>
          </w:p>
        </w:tc>
      </w:tr>
      <w:tr w:rsidR="00000000">
        <w:trPr>
          <w:cantSplit/>
          <w:jc w:val="center"/>
        </w:trPr>
        <w:tc>
          <w:tcPr>
            <w:tcW w:w="1357" w:type="pct"/>
            <w:vMerge/>
            <w:tcMar>
              <w:left w:w="68" w:type="dxa"/>
              <w:right w:w="68" w:type="dxa"/>
            </w:tcMar>
            <w:vAlign w:val="center"/>
          </w:tcPr>
          <w:p w:rsidR="00000000" w:rsidRDefault="00000000">
            <w:pPr>
              <w:jc w:val="center"/>
            </w:pPr>
          </w:p>
        </w:tc>
        <w:tc>
          <w:tcPr>
            <w:tcW w:w="911" w:type="pct"/>
            <w:tcMar>
              <w:left w:w="68" w:type="dxa"/>
              <w:right w:w="68" w:type="dxa"/>
            </w:tcMar>
            <w:vAlign w:val="center"/>
          </w:tcPr>
          <w:p w:rsidR="00000000" w:rsidRDefault="00000000">
            <w:pPr>
              <w:jc w:val="center"/>
              <w:rPr>
                <w:b/>
              </w:rPr>
            </w:pPr>
            <w:r>
              <w:rPr>
                <w:b/>
              </w:rPr>
              <w:t>Número</w:t>
            </w:r>
          </w:p>
        </w:tc>
        <w:tc>
          <w:tcPr>
            <w:tcW w:w="911" w:type="pct"/>
            <w:tcMar>
              <w:left w:w="68" w:type="dxa"/>
              <w:right w:w="68" w:type="dxa"/>
            </w:tcMar>
            <w:vAlign w:val="center"/>
          </w:tcPr>
          <w:p w:rsidR="00000000" w:rsidRDefault="00000000">
            <w:pPr>
              <w:jc w:val="center"/>
              <w:rPr>
                <w:b/>
              </w:rPr>
            </w:pPr>
            <w:r>
              <w:rPr>
                <w:b/>
              </w:rPr>
              <w:t>Porcentaje</w:t>
            </w:r>
          </w:p>
        </w:tc>
        <w:tc>
          <w:tcPr>
            <w:tcW w:w="911" w:type="pct"/>
            <w:tcMar>
              <w:left w:w="68" w:type="dxa"/>
              <w:right w:w="68" w:type="dxa"/>
            </w:tcMar>
            <w:vAlign w:val="center"/>
          </w:tcPr>
          <w:p w:rsidR="00000000" w:rsidRDefault="00000000">
            <w:pPr>
              <w:jc w:val="center"/>
              <w:rPr>
                <w:b/>
              </w:rPr>
            </w:pPr>
            <w:r>
              <w:rPr>
                <w:b/>
              </w:rPr>
              <w:t>Número</w:t>
            </w:r>
          </w:p>
        </w:tc>
        <w:tc>
          <w:tcPr>
            <w:tcW w:w="911" w:type="pct"/>
            <w:tcMar>
              <w:left w:w="68" w:type="dxa"/>
              <w:right w:w="68" w:type="dxa"/>
            </w:tcMar>
            <w:vAlign w:val="center"/>
          </w:tcPr>
          <w:p w:rsidR="00000000" w:rsidRDefault="00000000">
            <w:pPr>
              <w:jc w:val="center"/>
              <w:rPr>
                <w:b/>
              </w:rPr>
            </w:pPr>
            <w:r>
              <w:rPr>
                <w:b/>
              </w:rPr>
              <w:t>Porcentaje</w:t>
            </w:r>
          </w:p>
        </w:tc>
      </w:tr>
      <w:tr w:rsidR="00000000">
        <w:trPr>
          <w:jc w:val="center"/>
        </w:trPr>
        <w:tc>
          <w:tcPr>
            <w:tcW w:w="1357" w:type="pct"/>
            <w:tcMar>
              <w:left w:w="68" w:type="dxa"/>
              <w:right w:w="68" w:type="dxa"/>
            </w:tcMar>
          </w:tcPr>
          <w:p w:rsidR="00000000" w:rsidRDefault="00000000">
            <w:r>
              <w:t>Árabe</w:t>
            </w:r>
          </w:p>
        </w:tc>
        <w:tc>
          <w:tcPr>
            <w:tcW w:w="911" w:type="pct"/>
            <w:tcMar>
              <w:left w:w="68" w:type="dxa"/>
              <w:right w:w="68" w:type="dxa"/>
            </w:tcMar>
          </w:tcPr>
          <w:p w:rsidR="00000000" w:rsidRDefault="00000000">
            <w:pPr>
              <w:keepNext/>
              <w:tabs>
                <w:tab w:val="decimal" w:pos="1217"/>
              </w:tabs>
            </w:pPr>
            <w:r>
              <w:t>568.302</w:t>
            </w:r>
          </w:p>
        </w:tc>
        <w:tc>
          <w:tcPr>
            <w:tcW w:w="911" w:type="pct"/>
            <w:tcMar>
              <w:left w:w="68" w:type="dxa"/>
              <w:right w:w="68" w:type="dxa"/>
            </w:tcMar>
          </w:tcPr>
          <w:p w:rsidR="00000000" w:rsidRDefault="00000000">
            <w:pPr>
              <w:keepNext/>
              <w:tabs>
                <w:tab w:val="decimal" w:pos="818"/>
              </w:tabs>
            </w:pPr>
            <w:r>
              <w:t>9,7</w:t>
            </w:r>
          </w:p>
        </w:tc>
        <w:tc>
          <w:tcPr>
            <w:tcW w:w="911" w:type="pct"/>
            <w:tcMar>
              <w:left w:w="68" w:type="dxa"/>
              <w:right w:w="68" w:type="dxa"/>
            </w:tcMar>
          </w:tcPr>
          <w:p w:rsidR="00000000" w:rsidRDefault="00000000">
            <w:pPr>
              <w:keepNext/>
              <w:tabs>
                <w:tab w:val="decimal" w:pos="1160"/>
              </w:tabs>
            </w:pPr>
            <w:r>
              <w:t>913.472</w:t>
            </w:r>
          </w:p>
        </w:tc>
        <w:tc>
          <w:tcPr>
            <w:tcW w:w="911" w:type="pct"/>
            <w:tcMar>
              <w:left w:w="68" w:type="dxa"/>
              <w:right w:w="68" w:type="dxa"/>
            </w:tcMar>
          </w:tcPr>
          <w:p w:rsidR="00000000" w:rsidRDefault="00000000">
            <w:pPr>
              <w:keepNext/>
              <w:tabs>
                <w:tab w:val="decimal" w:pos="971"/>
              </w:tabs>
            </w:pPr>
            <w:r>
              <w:t>54,7</w:t>
            </w:r>
          </w:p>
        </w:tc>
      </w:tr>
      <w:tr w:rsidR="00000000">
        <w:trPr>
          <w:jc w:val="center"/>
        </w:trPr>
        <w:tc>
          <w:tcPr>
            <w:tcW w:w="1357" w:type="pct"/>
            <w:tcMar>
              <w:left w:w="68" w:type="dxa"/>
              <w:right w:w="68" w:type="dxa"/>
            </w:tcMar>
          </w:tcPr>
          <w:p w:rsidR="00000000" w:rsidRDefault="00000000">
            <w:r>
              <w:t>Baguirmien</w:t>
            </w:r>
          </w:p>
        </w:tc>
        <w:tc>
          <w:tcPr>
            <w:tcW w:w="911" w:type="pct"/>
            <w:tcMar>
              <w:left w:w="68" w:type="dxa"/>
              <w:right w:w="68" w:type="dxa"/>
            </w:tcMar>
          </w:tcPr>
          <w:p w:rsidR="00000000" w:rsidRDefault="00000000">
            <w:pPr>
              <w:tabs>
                <w:tab w:val="decimal" w:pos="1217"/>
              </w:tabs>
            </w:pPr>
            <w:r>
              <w:t>91.410</w:t>
            </w:r>
          </w:p>
        </w:tc>
        <w:tc>
          <w:tcPr>
            <w:tcW w:w="911" w:type="pct"/>
            <w:tcMar>
              <w:left w:w="68" w:type="dxa"/>
              <w:right w:w="68" w:type="dxa"/>
            </w:tcMar>
          </w:tcPr>
          <w:p w:rsidR="00000000" w:rsidRDefault="00000000">
            <w:pPr>
              <w:tabs>
                <w:tab w:val="decimal" w:pos="818"/>
              </w:tabs>
            </w:pPr>
            <w:r>
              <w:t>1,6</w:t>
            </w:r>
          </w:p>
        </w:tc>
        <w:tc>
          <w:tcPr>
            <w:tcW w:w="911" w:type="pct"/>
            <w:tcMar>
              <w:left w:w="68" w:type="dxa"/>
              <w:right w:w="68" w:type="dxa"/>
            </w:tcMar>
          </w:tcPr>
          <w:p w:rsidR="00000000" w:rsidRDefault="00000000">
            <w:pPr>
              <w:keepNext/>
              <w:tabs>
                <w:tab w:val="decimal" w:pos="1160"/>
              </w:tabs>
            </w:pPr>
            <w:r>
              <w:t>666</w:t>
            </w:r>
          </w:p>
        </w:tc>
        <w:tc>
          <w:tcPr>
            <w:tcW w:w="911" w:type="pct"/>
            <w:tcMar>
              <w:left w:w="68" w:type="dxa"/>
              <w:right w:w="68" w:type="dxa"/>
            </w:tcMar>
          </w:tcPr>
          <w:p w:rsidR="00000000" w:rsidRDefault="00000000">
            <w:pPr>
              <w:keepNext/>
              <w:tabs>
                <w:tab w:val="decimal" w:pos="971"/>
              </w:tabs>
            </w:pPr>
            <w:r>
              <w:t>0,2</w:t>
            </w:r>
          </w:p>
        </w:tc>
      </w:tr>
      <w:tr w:rsidR="00000000">
        <w:trPr>
          <w:jc w:val="center"/>
        </w:trPr>
        <w:tc>
          <w:tcPr>
            <w:tcW w:w="1357" w:type="pct"/>
            <w:tcMar>
              <w:left w:w="68" w:type="dxa"/>
              <w:right w:w="68" w:type="dxa"/>
            </w:tcMar>
          </w:tcPr>
          <w:p w:rsidR="00000000" w:rsidRDefault="00000000">
            <w:r>
              <w:t>Fitri Batha</w:t>
            </w:r>
          </w:p>
        </w:tc>
        <w:tc>
          <w:tcPr>
            <w:tcW w:w="911" w:type="pct"/>
            <w:tcMar>
              <w:left w:w="68" w:type="dxa"/>
              <w:right w:w="68" w:type="dxa"/>
            </w:tcMar>
          </w:tcPr>
          <w:p w:rsidR="00000000" w:rsidRDefault="00000000">
            <w:pPr>
              <w:tabs>
                <w:tab w:val="decimal" w:pos="1217"/>
              </w:tabs>
            </w:pPr>
            <w:r>
              <w:t>284.423</w:t>
            </w:r>
          </w:p>
        </w:tc>
        <w:tc>
          <w:tcPr>
            <w:tcW w:w="911" w:type="pct"/>
            <w:tcMar>
              <w:left w:w="68" w:type="dxa"/>
              <w:right w:w="68" w:type="dxa"/>
            </w:tcMar>
          </w:tcPr>
          <w:p w:rsidR="00000000" w:rsidRDefault="00000000">
            <w:pPr>
              <w:tabs>
                <w:tab w:val="decimal" w:pos="818"/>
              </w:tabs>
            </w:pPr>
            <w:r>
              <w:t>4,9</w:t>
            </w:r>
          </w:p>
        </w:tc>
        <w:tc>
          <w:tcPr>
            <w:tcW w:w="911" w:type="pct"/>
            <w:tcMar>
              <w:left w:w="68" w:type="dxa"/>
              <w:right w:w="68" w:type="dxa"/>
            </w:tcMar>
          </w:tcPr>
          <w:p w:rsidR="00000000" w:rsidRDefault="00000000">
            <w:pPr>
              <w:keepNext/>
              <w:tabs>
                <w:tab w:val="decimal" w:pos="1160"/>
              </w:tabs>
            </w:pPr>
            <w:r>
              <w:t>4.471</w:t>
            </w:r>
          </w:p>
        </w:tc>
        <w:tc>
          <w:tcPr>
            <w:tcW w:w="911" w:type="pct"/>
            <w:tcMar>
              <w:left w:w="68" w:type="dxa"/>
              <w:right w:w="68" w:type="dxa"/>
            </w:tcMar>
          </w:tcPr>
          <w:p w:rsidR="00000000" w:rsidRDefault="00000000">
            <w:pPr>
              <w:keepNext/>
              <w:tabs>
                <w:tab w:val="decimal" w:pos="971"/>
              </w:tabs>
            </w:pPr>
            <w:r>
              <w:t>1,3</w:t>
            </w:r>
          </w:p>
        </w:tc>
      </w:tr>
      <w:tr w:rsidR="00000000">
        <w:trPr>
          <w:jc w:val="center"/>
        </w:trPr>
        <w:tc>
          <w:tcPr>
            <w:tcW w:w="1357" w:type="pct"/>
            <w:tcMar>
              <w:left w:w="68" w:type="dxa"/>
              <w:right w:w="68" w:type="dxa"/>
            </w:tcMar>
          </w:tcPr>
          <w:p w:rsidR="00000000" w:rsidRDefault="00000000">
            <w:r>
              <w:t>Gorane</w:t>
            </w:r>
          </w:p>
        </w:tc>
        <w:tc>
          <w:tcPr>
            <w:tcW w:w="911" w:type="pct"/>
            <w:tcMar>
              <w:left w:w="68" w:type="dxa"/>
              <w:right w:w="68" w:type="dxa"/>
            </w:tcMar>
          </w:tcPr>
          <w:p w:rsidR="00000000" w:rsidRDefault="00000000">
            <w:pPr>
              <w:tabs>
                <w:tab w:val="decimal" w:pos="1217"/>
              </w:tabs>
            </w:pPr>
            <w:r>
              <w:t>336.495</w:t>
            </w:r>
          </w:p>
        </w:tc>
        <w:tc>
          <w:tcPr>
            <w:tcW w:w="911" w:type="pct"/>
            <w:tcMar>
              <w:left w:w="68" w:type="dxa"/>
              <w:right w:w="68" w:type="dxa"/>
            </w:tcMar>
          </w:tcPr>
          <w:p w:rsidR="00000000" w:rsidRDefault="00000000">
            <w:pPr>
              <w:tabs>
                <w:tab w:val="decimal" w:pos="818"/>
              </w:tabs>
            </w:pPr>
            <w:r>
              <w:t>5,8</w:t>
            </w:r>
          </w:p>
        </w:tc>
        <w:tc>
          <w:tcPr>
            <w:tcW w:w="911" w:type="pct"/>
            <w:tcMar>
              <w:left w:w="68" w:type="dxa"/>
              <w:right w:w="68" w:type="dxa"/>
            </w:tcMar>
          </w:tcPr>
          <w:p w:rsidR="00000000" w:rsidRDefault="00000000">
            <w:pPr>
              <w:keepNext/>
              <w:tabs>
                <w:tab w:val="decimal" w:pos="1160"/>
              </w:tabs>
            </w:pPr>
            <w:r>
              <w:t>52.293</w:t>
            </w:r>
          </w:p>
        </w:tc>
        <w:tc>
          <w:tcPr>
            <w:tcW w:w="911" w:type="pct"/>
            <w:tcMar>
              <w:left w:w="68" w:type="dxa"/>
              <w:right w:w="68" w:type="dxa"/>
            </w:tcMar>
          </w:tcPr>
          <w:p w:rsidR="00000000" w:rsidRDefault="00000000">
            <w:pPr>
              <w:keepNext/>
              <w:tabs>
                <w:tab w:val="decimal" w:pos="971"/>
              </w:tabs>
            </w:pPr>
            <w:r>
              <w:t>14,8</w:t>
            </w:r>
          </w:p>
        </w:tc>
      </w:tr>
      <w:tr w:rsidR="00000000">
        <w:trPr>
          <w:jc w:val="center"/>
        </w:trPr>
        <w:tc>
          <w:tcPr>
            <w:tcW w:w="1357" w:type="pct"/>
            <w:tcMar>
              <w:left w:w="68" w:type="dxa"/>
              <w:right w:w="68" w:type="dxa"/>
            </w:tcMar>
          </w:tcPr>
          <w:p w:rsidR="00000000" w:rsidRDefault="00000000">
            <w:r>
              <w:t>Hadjaraï</w:t>
            </w:r>
          </w:p>
        </w:tc>
        <w:tc>
          <w:tcPr>
            <w:tcW w:w="911" w:type="pct"/>
            <w:tcMar>
              <w:left w:w="68" w:type="dxa"/>
              <w:right w:w="68" w:type="dxa"/>
            </w:tcMar>
          </w:tcPr>
          <w:p w:rsidR="00000000" w:rsidRDefault="00000000">
            <w:pPr>
              <w:tabs>
                <w:tab w:val="decimal" w:pos="1217"/>
              </w:tabs>
            </w:pPr>
            <w:r>
              <w:t>407.689</w:t>
            </w:r>
          </w:p>
        </w:tc>
        <w:tc>
          <w:tcPr>
            <w:tcW w:w="911" w:type="pct"/>
            <w:tcMar>
              <w:left w:w="68" w:type="dxa"/>
              <w:right w:w="68" w:type="dxa"/>
            </w:tcMar>
          </w:tcPr>
          <w:p w:rsidR="00000000" w:rsidRDefault="00000000">
            <w:pPr>
              <w:tabs>
                <w:tab w:val="decimal" w:pos="818"/>
              </w:tabs>
            </w:pPr>
            <w:r>
              <w:t>7,0</w:t>
            </w:r>
          </w:p>
        </w:tc>
        <w:tc>
          <w:tcPr>
            <w:tcW w:w="911" w:type="pct"/>
            <w:tcMar>
              <w:left w:w="68" w:type="dxa"/>
              <w:right w:w="68" w:type="dxa"/>
            </w:tcMar>
          </w:tcPr>
          <w:p w:rsidR="00000000" w:rsidRDefault="00000000">
            <w:pPr>
              <w:keepNext/>
              <w:tabs>
                <w:tab w:val="decimal" w:pos="1160"/>
              </w:tabs>
            </w:pPr>
            <w:r>
              <w:t>6.280</w:t>
            </w:r>
          </w:p>
        </w:tc>
        <w:tc>
          <w:tcPr>
            <w:tcW w:w="911" w:type="pct"/>
            <w:tcMar>
              <w:left w:w="68" w:type="dxa"/>
              <w:right w:w="68" w:type="dxa"/>
            </w:tcMar>
          </w:tcPr>
          <w:p w:rsidR="00000000" w:rsidRDefault="00000000">
            <w:pPr>
              <w:keepNext/>
              <w:tabs>
                <w:tab w:val="decimal" w:pos="971"/>
              </w:tabs>
            </w:pPr>
            <w:r>
              <w:t>1,8</w:t>
            </w:r>
          </w:p>
        </w:tc>
      </w:tr>
      <w:tr w:rsidR="00000000">
        <w:trPr>
          <w:jc w:val="center"/>
        </w:trPr>
        <w:tc>
          <w:tcPr>
            <w:tcW w:w="1357" w:type="pct"/>
            <w:tcMar>
              <w:left w:w="68" w:type="dxa"/>
              <w:right w:w="68" w:type="dxa"/>
            </w:tcMar>
          </w:tcPr>
          <w:p w:rsidR="00000000" w:rsidRDefault="00000000">
            <w:r>
              <w:t>Kanem-Bornou</w:t>
            </w:r>
          </w:p>
        </w:tc>
        <w:tc>
          <w:tcPr>
            <w:tcW w:w="911" w:type="pct"/>
            <w:tcMar>
              <w:left w:w="68" w:type="dxa"/>
              <w:right w:w="68" w:type="dxa"/>
            </w:tcMar>
          </w:tcPr>
          <w:p w:rsidR="00000000" w:rsidRDefault="00000000">
            <w:pPr>
              <w:tabs>
                <w:tab w:val="decimal" w:pos="1217"/>
              </w:tabs>
            </w:pPr>
            <w:r>
              <w:t>550.181</w:t>
            </w:r>
          </w:p>
        </w:tc>
        <w:tc>
          <w:tcPr>
            <w:tcW w:w="911" w:type="pct"/>
            <w:tcMar>
              <w:left w:w="68" w:type="dxa"/>
              <w:right w:w="68" w:type="dxa"/>
            </w:tcMar>
          </w:tcPr>
          <w:p w:rsidR="00000000" w:rsidRDefault="00000000">
            <w:pPr>
              <w:tabs>
                <w:tab w:val="decimal" w:pos="818"/>
              </w:tabs>
            </w:pPr>
            <w:r>
              <w:t>9,4</w:t>
            </w:r>
          </w:p>
        </w:tc>
        <w:tc>
          <w:tcPr>
            <w:tcW w:w="911" w:type="pct"/>
            <w:tcMar>
              <w:left w:w="68" w:type="dxa"/>
              <w:right w:w="68" w:type="dxa"/>
            </w:tcMar>
          </w:tcPr>
          <w:p w:rsidR="00000000" w:rsidRDefault="00000000">
            <w:pPr>
              <w:keepNext/>
              <w:tabs>
                <w:tab w:val="decimal" w:pos="1160"/>
              </w:tabs>
            </w:pPr>
            <w:r>
              <w:t>6.294</w:t>
            </w:r>
          </w:p>
        </w:tc>
        <w:tc>
          <w:tcPr>
            <w:tcW w:w="911" w:type="pct"/>
            <w:tcMar>
              <w:left w:w="68" w:type="dxa"/>
              <w:right w:w="68" w:type="dxa"/>
            </w:tcMar>
          </w:tcPr>
          <w:p w:rsidR="00000000" w:rsidRDefault="00000000">
            <w:pPr>
              <w:keepNext/>
              <w:tabs>
                <w:tab w:val="decimal" w:pos="971"/>
              </w:tabs>
            </w:pPr>
            <w:r>
              <w:t>1,8</w:t>
            </w:r>
          </w:p>
        </w:tc>
      </w:tr>
      <w:tr w:rsidR="00000000">
        <w:trPr>
          <w:jc w:val="center"/>
        </w:trPr>
        <w:tc>
          <w:tcPr>
            <w:tcW w:w="1357" w:type="pct"/>
            <w:tcMar>
              <w:left w:w="68" w:type="dxa"/>
              <w:right w:w="68" w:type="dxa"/>
            </w:tcMar>
          </w:tcPr>
          <w:p w:rsidR="00000000" w:rsidRDefault="00000000">
            <w:r>
              <w:t>Lac Iro</w:t>
            </w:r>
          </w:p>
        </w:tc>
        <w:tc>
          <w:tcPr>
            <w:tcW w:w="911" w:type="pct"/>
            <w:tcMar>
              <w:left w:w="68" w:type="dxa"/>
              <w:right w:w="68" w:type="dxa"/>
            </w:tcMar>
          </w:tcPr>
          <w:p w:rsidR="00000000" w:rsidRDefault="00000000">
            <w:pPr>
              <w:tabs>
                <w:tab w:val="decimal" w:pos="1217"/>
              </w:tabs>
            </w:pPr>
            <w:r>
              <w:t>33.534</w:t>
            </w:r>
          </w:p>
        </w:tc>
        <w:tc>
          <w:tcPr>
            <w:tcW w:w="911" w:type="pct"/>
            <w:tcMar>
              <w:left w:w="68" w:type="dxa"/>
              <w:right w:w="68" w:type="dxa"/>
            </w:tcMar>
          </w:tcPr>
          <w:p w:rsidR="00000000" w:rsidRDefault="00000000">
            <w:pPr>
              <w:tabs>
                <w:tab w:val="decimal" w:pos="818"/>
              </w:tabs>
            </w:pPr>
            <w:r>
              <w:t>0,6</w:t>
            </w:r>
          </w:p>
        </w:tc>
        <w:tc>
          <w:tcPr>
            <w:tcW w:w="911" w:type="pct"/>
            <w:tcMar>
              <w:left w:w="68" w:type="dxa"/>
              <w:right w:w="68" w:type="dxa"/>
            </w:tcMar>
          </w:tcPr>
          <w:p w:rsidR="00000000" w:rsidRDefault="00000000">
            <w:pPr>
              <w:keepNext/>
              <w:tabs>
                <w:tab w:val="decimal" w:pos="1160"/>
              </w:tabs>
            </w:pPr>
            <w:r>
              <w:t>11</w:t>
            </w:r>
          </w:p>
        </w:tc>
        <w:tc>
          <w:tcPr>
            <w:tcW w:w="911" w:type="pct"/>
            <w:tcMar>
              <w:left w:w="68" w:type="dxa"/>
              <w:right w:w="68" w:type="dxa"/>
            </w:tcMar>
          </w:tcPr>
          <w:p w:rsidR="00000000" w:rsidRDefault="00000000">
            <w:pPr>
              <w:keepNext/>
              <w:tabs>
                <w:tab w:val="decimal" w:pos="971"/>
              </w:tabs>
            </w:pPr>
            <w:r>
              <w:t>0,0</w:t>
            </w:r>
          </w:p>
        </w:tc>
      </w:tr>
      <w:tr w:rsidR="00000000">
        <w:trPr>
          <w:jc w:val="center"/>
        </w:trPr>
        <w:tc>
          <w:tcPr>
            <w:tcW w:w="1357" w:type="pct"/>
            <w:tcMar>
              <w:left w:w="68" w:type="dxa"/>
              <w:right w:w="68" w:type="dxa"/>
            </w:tcMar>
          </w:tcPr>
          <w:p w:rsidR="00000000" w:rsidRDefault="00000000">
            <w:r>
              <w:t>Mayo Kebbi</w:t>
            </w:r>
          </w:p>
        </w:tc>
        <w:tc>
          <w:tcPr>
            <w:tcW w:w="911" w:type="pct"/>
            <w:tcMar>
              <w:left w:w="68" w:type="dxa"/>
              <w:right w:w="68" w:type="dxa"/>
            </w:tcMar>
          </w:tcPr>
          <w:p w:rsidR="00000000" w:rsidRDefault="00000000">
            <w:pPr>
              <w:tabs>
                <w:tab w:val="decimal" w:pos="1217"/>
              </w:tabs>
            </w:pPr>
            <w:r>
              <w:t>713.033</w:t>
            </w:r>
          </w:p>
        </w:tc>
        <w:tc>
          <w:tcPr>
            <w:tcW w:w="911" w:type="pct"/>
            <w:tcMar>
              <w:left w:w="68" w:type="dxa"/>
              <w:right w:w="68" w:type="dxa"/>
            </w:tcMar>
          </w:tcPr>
          <w:p w:rsidR="00000000" w:rsidRDefault="00000000">
            <w:pPr>
              <w:tabs>
                <w:tab w:val="decimal" w:pos="818"/>
              </w:tabs>
            </w:pPr>
            <w:r>
              <w:t>12,2</w:t>
            </w:r>
          </w:p>
        </w:tc>
        <w:tc>
          <w:tcPr>
            <w:tcW w:w="911" w:type="pct"/>
            <w:tcMar>
              <w:left w:w="68" w:type="dxa"/>
              <w:right w:w="68" w:type="dxa"/>
            </w:tcMar>
          </w:tcPr>
          <w:p w:rsidR="00000000" w:rsidRDefault="00000000">
            <w:pPr>
              <w:keepNext/>
              <w:tabs>
                <w:tab w:val="decimal" w:pos="1160"/>
              </w:tabs>
            </w:pPr>
            <w:r>
              <w:t>794</w:t>
            </w:r>
          </w:p>
        </w:tc>
        <w:tc>
          <w:tcPr>
            <w:tcW w:w="911" w:type="pct"/>
            <w:tcMar>
              <w:left w:w="68" w:type="dxa"/>
              <w:right w:w="68" w:type="dxa"/>
            </w:tcMar>
          </w:tcPr>
          <w:p w:rsidR="00000000" w:rsidRDefault="00000000">
            <w:pPr>
              <w:keepNext/>
              <w:tabs>
                <w:tab w:val="decimal" w:pos="971"/>
              </w:tabs>
            </w:pPr>
            <w:r>
              <w:t>0,2</w:t>
            </w:r>
          </w:p>
        </w:tc>
      </w:tr>
      <w:tr w:rsidR="00000000">
        <w:trPr>
          <w:jc w:val="center"/>
        </w:trPr>
        <w:tc>
          <w:tcPr>
            <w:tcW w:w="1357" w:type="pct"/>
            <w:tcMar>
              <w:left w:w="68" w:type="dxa"/>
              <w:right w:w="68" w:type="dxa"/>
            </w:tcMar>
          </w:tcPr>
          <w:p w:rsidR="00000000" w:rsidRDefault="00000000">
            <w:r>
              <w:t>Ouaddaï</w:t>
            </w:r>
          </w:p>
        </w:tc>
        <w:tc>
          <w:tcPr>
            <w:tcW w:w="911" w:type="pct"/>
            <w:tcMar>
              <w:left w:w="68" w:type="dxa"/>
              <w:right w:w="68" w:type="dxa"/>
            </w:tcMar>
          </w:tcPr>
          <w:p w:rsidR="00000000" w:rsidRDefault="00000000">
            <w:pPr>
              <w:tabs>
                <w:tab w:val="decimal" w:pos="1217"/>
              </w:tabs>
            </w:pPr>
            <w:r>
              <w:t>528.956</w:t>
            </w:r>
          </w:p>
        </w:tc>
        <w:tc>
          <w:tcPr>
            <w:tcW w:w="911" w:type="pct"/>
            <w:tcMar>
              <w:left w:w="68" w:type="dxa"/>
              <w:right w:w="68" w:type="dxa"/>
            </w:tcMar>
          </w:tcPr>
          <w:p w:rsidR="00000000" w:rsidRDefault="00000000">
            <w:pPr>
              <w:tabs>
                <w:tab w:val="decimal" w:pos="818"/>
              </w:tabs>
            </w:pPr>
            <w:r>
              <w:t>9,1</w:t>
            </w:r>
          </w:p>
        </w:tc>
        <w:tc>
          <w:tcPr>
            <w:tcW w:w="911" w:type="pct"/>
            <w:tcMar>
              <w:left w:w="68" w:type="dxa"/>
              <w:right w:w="68" w:type="dxa"/>
            </w:tcMar>
          </w:tcPr>
          <w:p w:rsidR="00000000" w:rsidRDefault="00000000">
            <w:pPr>
              <w:keepNext/>
              <w:tabs>
                <w:tab w:val="decimal" w:pos="1160"/>
              </w:tabs>
            </w:pPr>
            <w:r>
              <w:t>12.326</w:t>
            </w:r>
          </w:p>
        </w:tc>
        <w:tc>
          <w:tcPr>
            <w:tcW w:w="911" w:type="pct"/>
            <w:tcMar>
              <w:left w:w="68" w:type="dxa"/>
              <w:right w:w="68" w:type="dxa"/>
            </w:tcMar>
          </w:tcPr>
          <w:p w:rsidR="00000000" w:rsidRDefault="00000000">
            <w:pPr>
              <w:keepNext/>
              <w:tabs>
                <w:tab w:val="decimal" w:pos="971"/>
              </w:tabs>
            </w:pPr>
            <w:r>
              <w:t>3,5</w:t>
            </w:r>
          </w:p>
        </w:tc>
      </w:tr>
      <w:tr w:rsidR="00000000">
        <w:trPr>
          <w:jc w:val="center"/>
        </w:trPr>
        <w:tc>
          <w:tcPr>
            <w:tcW w:w="1357" w:type="pct"/>
            <w:tcMar>
              <w:left w:w="68" w:type="dxa"/>
              <w:right w:w="68" w:type="dxa"/>
            </w:tcMar>
          </w:tcPr>
          <w:p w:rsidR="00000000" w:rsidRDefault="00000000">
            <w:r>
              <w:t>Peul</w:t>
            </w:r>
          </w:p>
        </w:tc>
        <w:tc>
          <w:tcPr>
            <w:tcW w:w="911" w:type="pct"/>
            <w:tcMar>
              <w:left w:w="68" w:type="dxa"/>
              <w:right w:w="68" w:type="dxa"/>
            </w:tcMar>
          </w:tcPr>
          <w:p w:rsidR="00000000" w:rsidRDefault="00000000">
            <w:pPr>
              <w:tabs>
                <w:tab w:val="decimal" w:pos="1217"/>
              </w:tabs>
            </w:pPr>
            <w:r>
              <w:t>84.341</w:t>
            </w:r>
          </w:p>
        </w:tc>
        <w:tc>
          <w:tcPr>
            <w:tcW w:w="911" w:type="pct"/>
            <w:tcMar>
              <w:left w:w="68" w:type="dxa"/>
              <w:right w:w="68" w:type="dxa"/>
            </w:tcMar>
          </w:tcPr>
          <w:p w:rsidR="00000000" w:rsidRDefault="00000000">
            <w:pPr>
              <w:tabs>
                <w:tab w:val="decimal" w:pos="818"/>
              </w:tabs>
            </w:pPr>
            <w:r>
              <w:t>1,4</w:t>
            </w:r>
          </w:p>
        </w:tc>
        <w:tc>
          <w:tcPr>
            <w:tcW w:w="911" w:type="pct"/>
            <w:tcMar>
              <w:left w:w="68" w:type="dxa"/>
              <w:right w:w="68" w:type="dxa"/>
            </w:tcMar>
          </w:tcPr>
          <w:p w:rsidR="00000000" w:rsidRDefault="00000000">
            <w:pPr>
              <w:keepNext/>
              <w:tabs>
                <w:tab w:val="decimal" w:pos="1160"/>
              </w:tabs>
            </w:pPr>
            <w:r>
              <w:t>67.342</w:t>
            </w:r>
          </w:p>
        </w:tc>
        <w:tc>
          <w:tcPr>
            <w:tcW w:w="911" w:type="pct"/>
            <w:tcMar>
              <w:left w:w="68" w:type="dxa"/>
              <w:right w:w="68" w:type="dxa"/>
            </w:tcMar>
          </w:tcPr>
          <w:p w:rsidR="00000000" w:rsidRDefault="00000000">
            <w:pPr>
              <w:keepNext/>
              <w:tabs>
                <w:tab w:val="decimal" w:pos="971"/>
              </w:tabs>
            </w:pPr>
            <w:r>
              <w:t>19,1</w:t>
            </w:r>
          </w:p>
        </w:tc>
      </w:tr>
      <w:tr w:rsidR="00000000">
        <w:trPr>
          <w:jc w:val="center"/>
        </w:trPr>
        <w:tc>
          <w:tcPr>
            <w:tcW w:w="1357" w:type="pct"/>
            <w:tcMar>
              <w:left w:w="68" w:type="dxa"/>
              <w:right w:w="68" w:type="dxa"/>
            </w:tcMar>
          </w:tcPr>
          <w:p w:rsidR="00000000" w:rsidRDefault="00000000">
            <w:r>
              <w:t>Sara</w:t>
            </w:r>
          </w:p>
        </w:tc>
        <w:tc>
          <w:tcPr>
            <w:tcW w:w="911" w:type="pct"/>
            <w:tcMar>
              <w:left w:w="68" w:type="dxa"/>
              <w:right w:w="68" w:type="dxa"/>
            </w:tcMar>
          </w:tcPr>
          <w:p w:rsidR="00000000" w:rsidRDefault="00000000">
            <w:pPr>
              <w:tabs>
                <w:tab w:val="decimal" w:pos="1217"/>
              </w:tabs>
            </w:pPr>
            <w:r>
              <w:t>1.714.437</w:t>
            </w:r>
          </w:p>
        </w:tc>
        <w:tc>
          <w:tcPr>
            <w:tcW w:w="911" w:type="pct"/>
            <w:tcMar>
              <w:left w:w="68" w:type="dxa"/>
              <w:right w:w="68" w:type="dxa"/>
            </w:tcMar>
          </w:tcPr>
          <w:p w:rsidR="00000000" w:rsidRDefault="00000000">
            <w:pPr>
              <w:tabs>
                <w:tab w:val="decimal" w:pos="818"/>
              </w:tabs>
            </w:pPr>
            <w:r>
              <w:t>29,4</w:t>
            </w:r>
          </w:p>
        </w:tc>
        <w:tc>
          <w:tcPr>
            <w:tcW w:w="911" w:type="pct"/>
            <w:tcMar>
              <w:left w:w="68" w:type="dxa"/>
              <w:right w:w="68" w:type="dxa"/>
            </w:tcMar>
          </w:tcPr>
          <w:p w:rsidR="00000000" w:rsidRDefault="00000000">
            <w:pPr>
              <w:keepNext/>
              <w:tabs>
                <w:tab w:val="decimal" w:pos="1160"/>
              </w:tabs>
            </w:pPr>
            <w:r>
              <w:t>329</w:t>
            </w:r>
          </w:p>
        </w:tc>
        <w:tc>
          <w:tcPr>
            <w:tcW w:w="911" w:type="pct"/>
            <w:tcMar>
              <w:left w:w="68" w:type="dxa"/>
              <w:right w:w="68" w:type="dxa"/>
            </w:tcMar>
          </w:tcPr>
          <w:p w:rsidR="00000000" w:rsidRDefault="00000000">
            <w:pPr>
              <w:keepNext/>
              <w:tabs>
                <w:tab w:val="decimal" w:pos="971"/>
              </w:tabs>
            </w:pPr>
            <w:r>
              <w:t>0,1</w:t>
            </w:r>
          </w:p>
        </w:tc>
      </w:tr>
      <w:tr w:rsidR="00000000">
        <w:trPr>
          <w:jc w:val="center"/>
        </w:trPr>
        <w:tc>
          <w:tcPr>
            <w:tcW w:w="1357" w:type="pct"/>
            <w:tcMar>
              <w:left w:w="68" w:type="dxa"/>
              <w:right w:w="68" w:type="dxa"/>
            </w:tcMar>
          </w:tcPr>
          <w:p w:rsidR="00000000" w:rsidRDefault="00000000">
            <w:r>
              <w:t>Tandjilé</w:t>
            </w:r>
          </w:p>
        </w:tc>
        <w:tc>
          <w:tcPr>
            <w:tcW w:w="911" w:type="pct"/>
            <w:tcMar>
              <w:left w:w="68" w:type="dxa"/>
              <w:right w:w="68" w:type="dxa"/>
            </w:tcMar>
          </w:tcPr>
          <w:p w:rsidR="00000000" w:rsidRDefault="00000000">
            <w:pPr>
              <w:tabs>
                <w:tab w:val="decimal" w:pos="1217"/>
              </w:tabs>
            </w:pPr>
            <w:r>
              <w:t>100.795</w:t>
            </w:r>
          </w:p>
        </w:tc>
        <w:tc>
          <w:tcPr>
            <w:tcW w:w="911" w:type="pct"/>
            <w:tcMar>
              <w:left w:w="68" w:type="dxa"/>
              <w:right w:w="68" w:type="dxa"/>
            </w:tcMar>
          </w:tcPr>
          <w:p w:rsidR="00000000" w:rsidRDefault="00000000">
            <w:pPr>
              <w:tabs>
                <w:tab w:val="decimal" w:pos="818"/>
              </w:tabs>
            </w:pPr>
            <w:r>
              <w:t>6,9</w:t>
            </w:r>
          </w:p>
        </w:tc>
        <w:tc>
          <w:tcPr>
            <w:tcW w:w="911" w:type="pct"/>
            <w:tcMar>
              <w:left w:w="68" w:type="dxa"/>
              <w:right w:w="68" w:type="dxa"/>
            </w:tcMar>
          </w:tcPr>
          <w:p w:rsidR="00000000" w:rsidRDefault="00000000">
            <w:pPr>
              <w:keepNext/>
              <w:tabs>
                <w:tab w:val="decimal" w:pos="1160"/>
              </w:tabs>
            </w:pPr>
            <w:r>
              <w:t>84</w:t>
            </w:r>
          </w:p>
        </w:tc>
        <w:tc>
          <w:tcPr>
            <w:tcW w:w="911" w:type="pct"/>
            <w:tcMar>
              <w:left w:w="68" w:type="dxa"/>
              <w:right w:w="68" w:type="dxa"/>
            </w:tcMar>
          </w:tcPr>
          <w:p w:rsidR="00000000" w:rsidRDefault="00000000">
            <w:pPr>
              <w:keepNext/>
              <w:tabs>
                <w:tab w:val="decimal" w:pos="971"/>
              </w:tabs>
            </w:pPr>
            <w:r>
              <w:t>0,0</w:t>
            </w:r>
          </w:p>
        </w:tc>
      </w:tr>
      <w:tr w:rsidR="00000000">
        <w:trPr>
          <w:jc w:val="center"/>
        </w:trPr>
        <w:tc>
          <w:tcPr>
            <w:tcW w:w="1357" w:type="pct"/>
            <w:tcMar>
              <w:left w:w="68" w:type="dxa"/>
              <w:right w:w="68" w:type="dxa"/>
            </w:tcMar>
          </w:tcPr>
          <w:p w:rsidR="00000000" w:rsidRDefault="00000000">
            <w:r>
              <w:t>Otros</w:t>
            </w:r>
          </w:p>
        </w:tc>
        <w:tc>
          <w:tcPr>
            <w:tcW w:w="911" w:type="pct"/>
            <w:tcMar>
              <w:left w:w="68" w:type="dxa"/>
              <w:right w:w="68" w:type="dxa"/>
            </w:tcMar>
          </w:tcPr>
          <w:p w:rsidR="00000000" w:rsidRDefault="00000000">
            <w:pPr>
              <w:tabs>
                <w:tab w:val="decimal" w:pos="1217"/>
              </w:tabs>
            </w:pPr>
            <w:r>
              <w:t>27.706</w:t>
            </w:r>
          </w:p>
        </w:tc>
        <w:tc>
          <w:tcPr>
            <w:tcW w:w="911" w:type="pct"/>
            <w:tcMar>
              <w:left w:w="68" w:type="dxa"/>
              <w:right w:w="68" w:type="dxa"/>
            </w:tcMar>
          </w:tcPr>
          <w:p w:rsidR="00000000" w:rsidRDefault="00000000">
            <w:pPr>
              <w:tabs>
                <w:tab w:val="decimal" w:pos="818"/>
              </w:tabs>
            </w:pPr>
            <w:r>
              <w:t>0,5</w:t>
            </w:r>
          </w:p>
        </w:tc>
        <w:tc>
          <w:tcPr>
            <w:tcW w:w="911" w:type="pct"/>
            <w:tcMar>
              <w:left w:w="68" w:type="dxa"/>
              <w:right w:w="68" w:type="dxa"/>
            </w:tcMar>
          </w:tcPr>
          <w:p w:rsidR="00000000" w:rsidRDefault="00000000">
            <w:pPr>
              <w:keepNext/>
              <w:tabs>
                <w:tab w:val="decimal" w:pos="1160"/>
              </w:tabs>
            </w:pPr>
            <w:r>
              <w:t>2.539</w:t>
            </w:r>
          </w:p>
        </w:tc>
        <w:tc>
          <w:tcPr>
            <w:tcW w:w="911" w:type="pct"/>
            <w:tcMar>
              <w:left w:w="68" w:type="dxa"/>
              <w:right w:w="68" w:type="dxa"/>
            </w:tcMar>
          </w:tcPr>
          <w:p w:rsidR="00000000" w:rsidRDefault="00000000">
            <w:pPr>
              <w:keepNext/>
              <w:tabs>
                <w:tab w:val="decimal" w:pos="971"/>
              </w:tabs>
            </w:pPr>
            <w:r>
              <w:t>0,7</w:t>
            </w:r>
          </w:p>
        </w:tc>
      </w:tr>
      <w:tr w:rsidR="00000000">
        <w:trPr>
          <w:jc w:val="center"/>
        </w:trPr>
        <w:tc>
          <w:tcPr>
            <w:tcW w:w="1357" w:type="pct"/>
            <w:tcMar>
              <w:left w:w="68" w:type="dxa"/>
              <w:right w:w="68" w:type="dxa"/>
            </w:tcMar>
          </w:tcPr>
          <w:p w:rsidR="00000000" w:rsidRDefault="00000000">
            <w:r>
              <w:t>Varios</w:t>
            </w:r>
          </w:p>
        </w:tc>
        <w:tc>
          <w:tcPr>
            <w:tcW w:w="911" w:type="pct"/>
            <w:tcMar>
              <w:left w:w="68" w:type="dxa"/>
              <w:right w:w="68" w:type="dxa"/>
            </w:tcMar>
          </w:tcPr>
          <w:p w:rsidR="00000000" w:rsidRDefault="00000000">
            <w:pPr>
              <w:tabs>
                <w:tab w:val="decimal" w:pos="1217"/>
              </w:tabs>
            </w:pPr>
            <w:r>
              <w:t>43.902</w:t>
            </w:r>
          </w:p>
        </w:tc>
        <w:tc>
          <w:tcPr>
            <w:tcW w:w="911" w:type="pct"/>
            <w:tcMar>
              <w:left w:w="68" w:type="dxa"/>
              <w:right w:w="68" w:type="dxa"/>
            </w:tcMar>
          </w:tcPr>
          <w:p w:rsidR="00000000" w:rsidRDefault="00000000">
            <w:pPr>
              <w:tabs>
                <w:tab w:val="decimal" w:pos="818"/>
              </w:tabs>
            </w:pPr>
            <w:r>
              <w:t>0,8</w:t>
            </w:r>
          </w:p>
        </w:tc>
        <w:tc>
          <w:tcPr>
            <w:tcW w:w="911" w:type="pct"/>
            <w:tcMar>
              <w:left w:w="68" w:type="dxa"/>
              <w:right w:w="68" w:type="dxa"/>
            </w:tcMar>
          </w:tcPr>
          <w:p w:rsidR="00000000" w:rsidRDefault="00000000">
            <w:pPr>
              <w:keepNext/>
              <w:tabs>
                <w:tab w:val="decimal" w:pos="1160"/>
              </w:tabs>
            </w:pPr>
            <w:r>
              <w:t>1.092</w:t>
            </w:r>
          </w:p>
        </w:tc>
        <w:tc>
          <w:tcPr>
            <w:tcW w:w="911" w:type="pct"/>
            <w:tcMar>
              <w:left w:w="68" w:type="dxa"/>
              <w:right w:w="68" w:type="dxa"/>
            </w:tcMar>
          </w:tcPr>
          <w:p w:rsidR="00000000" w:rsidRDefault="00000000">
            <w:pPr>
              <w:keepNext/>
              <w:tabs>
                <w:tab w:val="decimal" w:pos="971"/>
              </w:tabs>
            </w:pPr>
            <w:r>
              <w:t>0,3</w:t>
            </w:r>
          </w:p>
        </w:tc>
      </w:tr>
      <w:tr w:rsidR="00000000">
        <w:trPr>
          <w:jc w:val="center"/>
        </w:trPr>
        <w:tc>
          <w:tcPr>
            <w:tcW w:w="1357" w:type="pct"/>
            <w:tcMar>
              <w:left w:w="68" w:type="dxa"/>
              <w:right w:w="68" w:type="dxa"/>
            </w:tcMar>
          </w:tcPr>
          <w:p w:rsidR="00000000" w:rsidRDefault="00000000">
            <w:r>
              <w:t>Extranjeros</w:t>
            </w:r>
          </w:p>
        </w:tc>
        <w:tc>
          <w:tcPr>
            <w:tcW w:w="911" w:type="pct"/>
            <w:tcMar>
              <w:left w:w="68" w:type="dxa"/>
              <w:right w:w="68" w:type="dxa"/>
            </w:tcMar>
          </w:tcPr>
          <w:p w:rsidR="00000000" w:rsidRDefault="00000000">
            <w:pPr>
              <w:tabs>
                <w:tab w:val="decimal" w:pos="1217"/>
              </w:tabs>
            </w:pPr>
            <w:r>
              <w:t>39.718</w:t>
            </w:r>
          </w:p>
        </w:tc>
        <w:tc>
          <w:tcPr>
            <w:tcW w:w="911" w:type="pct"/>
            <w:tcMar>
              <w:left w:w="68" w:type="dxa"/>
              <w:right w:w="68" w:type="dxa"/>
            </w:tcMar>
          </w:tcPr>
          <w:p w:rsidR="00000000" w:rsidRDefault="00000000">
            <w:pPr>
              <w:tabs>
                <w:tab w:val="decimal" w:pos="818"/>
              </w:tabs>
            </w:pPr>
            <w:r>
              <w:t>0,7</w:t>
            </w:r>
          </w:p>
        </w:tc>
        <w:tc>
          <w:tcPr>
            <w:tcW w:w="911" w:type="pct"/>
            <w:tcMar>
              <w:left w:w="68" w:type="dxa"/>
              <w:right w:w="68" w:type="dxa"/>
            </w:tcMar>
          </w:tcPr>
          <w:p w:rsidR="00000000" w:rsidRDefault="00000000">
            <w:pPr>
              <w:keepNext/>
              <w:tabs>
                <w:tab w:val="decimal" w:pos="1160"/>
              </w:tabs>
            </w:pPr>
            <w:r>
              <w:t>4.196</w:t>
            </w:r>
          </w:p>
        </w:tc>
        <w:tc>
          <w:tcPr>
            <w:tcW w:w="911" w:type="pct"/>
            <w:tcMar>
              <w:left w:w="68" w:type="dxa"/>
              <w:right w:w="68" w:type="dxa"/>
            </w:tcMar>
          </w:tcPr>
          <w:p w:rsidR="00000000" w:rsidRDefault="00000000">
            <w:pPr>
              <w:keepNext/>
              <w:tabs>
                <w:tab w:val="decimal" w:pos="971"/>
              </w:tabs>
            </w:pPr>
            <w:r>
              <w:t>1,2</w:t>
            </w:r>
          </w:p>
        </w:tc>
      </w:tr>
      <w:tr w:rsidR="00000000">
        <w:trPr>
          <w:jc w:val="center"/>
        </w:trPr>
        <w:tc>
          <w:tcPr>
            <w:tcW w:w="1357" w:type="pct"/>
            <w:tcMar>
              <w:left w:w="68" w:type="dxa"/>
              <w:right w:w="68" w:type="dxa"/>
            </w:tcMar>
          </w:tcPr>
          <w:p w:rsidR="00000000" w:rsidRDefault="00000000">
            <w:r>
              <w:t>Indeterminados</w:t>
            </w:r>
          </w:p>
        </w:tc>
        <w:tc>
          <w:tcPr>
            <w:tcW w:w="911" w:type="pct"/>
            <w:tcMar>
              <w:left w:w="68" w:type="dxa"/>
              <w:right w:w="68" w:type="dxa"/>
            </w:tcMar>
          </w:tcPr>
          <w:p w:rsidR="00000000" w:rsidRDefault="00000000">
            <w:pPr>
              <w:tabs>
                <w:tab w:val="decimal" w:pos="1217"/>
              </w:tabs>
            </w:pPr>
            <w:r>
              <w:t>15.169</w:t>
            </w:r>
          </w:p>
        </w:tc>
        <w:tc>
          <w:tcPr>
            <w:tcW w:w="911" w:type="pct"/>
            <w:tcMar>
              <w:left w:w="68" w:type="dxa"/>
              <w:right w:w="68" w:type="dxa"/>
            </w:tcMar>
          </w:tcPr>
          <w:p w:rsidR="00000000" w:rsidRDefault="00000000">
            <w:pPr>
              <w:tabs>
                <w:tab w:val="decimal" w:pos="818"/>
              </w:tabs>
            </w:pPr>
            <w:r>
              <w:t>0,3</w:t>
            </w:r>
          </w:p>
        </w:tc>
        <w:tc>
          <w:tcPr>
            <w:tcW w:w="911" w:type="pct"/>
            <w:tcMar>
              <w:left w:w="68" w:type="dxa"/>
              <w:right w:w="68" w:type="dxa"/>
            </w:tcMar>
          </w:tcPr>
          <w:p w:rsidR="00000000" w:rsidRDefault="00000000">
            <w:pPr>
              <w:keepNext/>
              <w:tabs>
                <w:tab w:val="decimal" w:pos="1160"/>
              </w:tabs>
            </w:pPr>
            <w:r>
              <w:t>1.308</w:t>
            </w:r>
          </w:p>
        </w:tc>
        <w:tc>
          <w:tcPr>
            <w:tcW w:w="911" w:type="pct"/>
            <w:tcMar>
              <w:left w:w="68" w:type="dxa"/>
              <w:right w:w="68" w:type="dxa"/>
            </w:tcMar>
          </w:tcPr>
          <w:p w:rsidR="00000000" w:rsidRDefault="00000000">
            <w:pPr>
              <w:keepNext/>
              <w:tabs>
                <w:tab w:val="decimal" w:pos="971"/>
              </w:tabs>
            </w:pPr>
            <w:r>
              <w:t>0,4</w:t>
            </w:r>
          </w:p>
        </w:tc>
      </w:tr>
      <w:tr w:rsidR="00000000">
        <w:trPr>
          <w:jc w:val="center"/>
        </w:trPr>
        <w:tc>
          <w:tcPr>
            <w:tcW w:w="1357" w:type="pct"/>
            <w:tcMar>
              <w:left w:w="68" w:type="dxa"/>
              <w:right w:w="68" w:type="dxa"/>
            </w:tcMar>
          </w:tcPr>
          <w:p w:rsidR="00000000" w:rsidRDefault="00000000">
            <w:pPr>
              <w:ind w:left="336"/>
              <w:rPr>
                <w:b/>
              </w:rPr>
            </w:pPr>
            <w:r>
              <w:rPr>
                <w:b/>
              </w:rPr>
              <w:t>Total</w:t>
            </w:r>
          </w:p>
        </w:tc>
        <w:tc>
          <w:tcPr>
            <w:tcW w:w="911" w:type="pct"/>
            <w:tcMar>
              <w:left w:w="68" w:type="dxa"/>
              <w:right w:w="68" w:type="dxa"/>
            </w:tcMar>
          </w:tcPr>
          <w:p w:rsidR="00000000" w:rsidRDefault="00000000">
            <w:pPr>
              <w:keepNext/>
              <w:tabs>
                <w:tab w:val="decimal" w:pos="1217"/>
              </w:tabs>
              <w:rPr>
                <w:b/>
              </w:rPr>
            </w:pPr>
            <w:r>
              <w:rPr>
                <w:b/>
              </w:rPr>
              <w:t>5.840.091</w:t>
            </w:r>
          </w:p>
        </w:tc>
        <w:tc>
          <w:tcPr>
            <w:tcW w:w="911" w:type="pct"/>
            <w:tcMar>
              <w:left w:w="68" w:type="dxa"/>
              <w:right w:w="68" w:type="dxa"/>
            </w:tcMar>
          </w:tcPr>
          <w:p w:rsidR="00000000" w:rsidRDefault="00000000">
            <w:pPr>
              <w:keepNext/>
              <w:tabs>
                <w:tab w:val="decimal" w:pos="818"/>
              </w:tabs>
              <w:rPr>
                <w:b/>
              </w:rPr>
            </w:pPr>
            <w:r>
              <w:rPr>
                <w:b/>
              </w:rPr>
              <w:t>100,0</w:t>
            </w:r>
          </w:p>
        </w:tc>
        <w:tc>
          <w:tcPr>
            <w:tcW w:w="911" w:type="pct"/>
            <w:tcMar>
              <w:left w:w="68" w:type="dxa"/>
              <w:right w:w="68" w:type="dxa"/>
            </w:tcMar>
          </w:tcPr>
          <w:p w:rsidR="00000000" w:rsidRDefault="00000000">
            <w:pPr>
              <w:keepNext/>
              <w:tabs>
                <w:tab w:val="decimal" w:pos="1160"/>
              </w:tabs>
              <w:rPr>
                <w:b/>
              </w:rPr>
            </w:pPr>
            <w:r>
              <w:rPr>
                <w:b/>
              </w:rPr>
              <w:t>353.447</w:t>
            </w:r>
          </w:p>
        </w:tc>
        <w:tc>
          <w:tcPr>
            <w:tcW w:w="911" w:type="pct"/>
            <w:tcMar>
              <w:left w:w="68" w:type="dxa"/>
              <w:right w:w="68" w:type="dxa"/>
            </w:tcMar>
          </w:tcPr>
          <w:p w:rsidR="00000000" w:rsidRDefault="00000000">
            <w:pPr>
              <w:keepNext/>
              <w:tabs>
                <w:tab w:val="decimal" w:pos="971"/>
              </w:tabs>
              <w:rPr>
                <w:b/>
              </w:rPr>
            </w:pPr>
            <w:r>
              <w:rPr>
                <w:b/>
              </w:rPr>
              <w:t>100,0</w:t>
            </w:r>
          </w:p>
        </w:tc>
      </w:tr>
    </w:tbl>
    <w:p w:rsidR="00000000" w:rsidRDefault="00000000">
      <w:pPr>
        <w:spacing w:before="240" w:after="480"/>
      </w:pPr>
      <w:r>
        <w:rPr>
          <w:i/>
        </w:rPr>
        <w:t>Fuente:</w:t>
      </w:r>
      <w:r>
        <w:t xml:space="preserve">  RGPH de 1993.</w:t>
      </w:r>
    </w:p>
    <w:p w:rsidR="00000000" w:rsidRDefault="00000000">
      <w:pPr>
        <w:spacing w:after="200"/>
        <w:rPr>
          <w:b/>
        </w:rPr>
      </w:pPr>
      <w:r>
        <w:rPr>
          <w:b/>
        </w:rPr>
        <w:t>4.</w:t>
      </w:r>
      <w:r>
        <w:rPr>
          <w:b/>
        </w:rPr>
        <w:tab/>
        <w:t>Pertenencia religiosa de la población</w:t>
      </w:r>
    </w:p>
    <w:p w:rsidR="00000000" w:rsidRDefault="00000000">
      <w:pPr>
        <w:spacing w:after="200"/>
      </w:pPr>
      <w:r>
        <w:t>38.</w:t>
      </w:r>
      <w:r>
        <w:tab/>
        <w:t>El cuadro 7 que sigue indica que más de la mitad de la población del Chad (53,9%) se declara musulmana y el 34,7% son cristianos:  20,3% católicos y 14,4% protestantes.  El animismo, que agrupa todas las religiones tradicionales, está representado por un 7,4% de la población.</w:t>
      </w:r>
    </w:p>
    <w:p w:rsidR="00000000" w:rsidRDefault="00000000">
      <w:pPr>
        <w:spacing w:after="200"/>
      </w:pPr>
      <w:r>
        <w:t>39.</w:t>
      </w:r>
      <w:r>
        <w:tab/>
        <w:t>Hay un 3,1% de personas que declaran no practicar "ninguna" religión y menos del 1% profesan "otras" religiones o no declaran su religión.</w:t>
      </w:r>
    </w:p>
    <w:p w:rsidR="00000000" w:rsidRDefault="00000000">
      <w:pPr>
        <w:spacing w:after="220"/>
        <w:jc w:val="center"/>
        <w:rPr>
          <w:b/>
          <w:sz w:val="22"/>
          <w:szCs w:val="22"/>
        </w:rPr>
      </w:pPr>
      <w:r>
        <w:rPr>
          <w:b/>
          <w:sz w:val="22"/>
          <w:szCs w:val="22"/>
        </w:rPr>
        <w:t>Cuadro 7</w:t>
      </w:r>
    </w:p>
    <w:p w:rsidR="00000000" w:rsidRDefault="00000000">
      <w:pPr>
        <w:spacing w:after="220"/>
        <w:jc w:val="center"/>
        <w:rPr>
          <w:b/>
          <w:sz w:val="22"/>
          <w:szCs w:val="22"/>
        </w:rPr>
      </w:pPr>
      <w:r>
        <w:rPr>
          <w:b/>
          <w:sz w:val="22"/>
          <w:szCs w:val="22"/>
        </w:rPr>
        <w:t>Distribución de la población residente por sexo según la religión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Pr>
      <w:tblGrid>
        <w:gridCol w:w="1522"/>
        <w:gridCol w:w="1328"/>
        <w:gridCol w:w="1328"/>
        <w:gridCol w:w="1321"/>
        <w:gridCol w:w="7"/>
        <w:gridCol w:w="1328"/>
        <w:gridCol w:w="1328"/>
        <w:gridCol w:w="1329"/>
      </w:tblGrid>
      <w:tr w:rsidR="00000000">
        <w:trPr>
          <w:cantSplit/>
        </w:trPr>
        <w:tc>
          <w:tcPr>
            <w:tcW w:w="1522" w:type="dxa"/>
            <w:vMerge w:val="restart"/>
            <w:tcMar>
              <w:left w:w="68" w:type="dxa"/>
              <w:right w:w="68" w:type="dxa"/>
            </w:tcMar>
            <w:vAlign w:val="center"/>
          </w:tcPr>
          <w:p w:rsidR="00000000" w:rsidRDefault="00000000">
            <w:pPr>
              <w:jc w:val="center"/>
              <w:rPr>
                <w:b/>
                <w:sz w:val="22"/>
                <w:szCs w:val="22"/>
              </w:rPr>
            </w:pPr>
            <w:r>
              <w:rPr>
                <w:b/>
                <w:sz w:val="22"/>
                <w:szCs w:val="22"/>
              </w:rPr>
              <w:t>Religión</w:t>
            </w:r>
          </w:p>
        </w:tc>
        <w:tc>
          <w:tcPr>
            <w:tcW w:w="3977" w:type="dxa"/>
            <w:gridSpan w:val="3"/>
            <w:tcMar>
              <w:left w:w="68" w:type="dxa"/>
              <w:right w:w="68" w:type="dxa"/>
            </w:tcMar>
          </w:tcPr>
          <w:p w:rsidR="00000000" w:rsidRDefault="00000000">
            <w:pPr>
              <w:jc w:val="center"/>
              <w:rPr>
                <w:b/>
                <w:sz w:val="22"/>
                <w:szCs w:val="22"/>
              </w:rPr>
            </w:pPr>
            <w:r>
              <w:rPr>
                <w:b/>
                <w:sz w:val="22"/>
                <w:szCs w:val="22"/>
              </w:rPr>
              <w:t>Número</w:t>
            </w:r>
          </w:p>
        </w:tc>
        <w:tc>
          <w:tcPr>
            <w:tcW w:w="3992" w:type="dxa"/>
            <w:gridSpan w:val="4"/>
            <w:tcMar>
              <w:left w:w="68" w:type="dxa"/>
              <w:right w:w="68" w:type="dxa"/>
            </w:tcMar>
          </w:tcPr>
          <w:p w:rsidR="00000000" w:rsidRDefault="00000000">
            <w:pPr>
              <w:jc w:val="center"/>
              <w:rPr>
                <w:b/>
                <w:sz w:val="22"/>
                <w:szCs w:val="22"/>
              </w:rPr>
            </w:pPr>
            <w:r>
              <w:rPr>
                <w:b/>
                <w:sz w:val="22"/>
                <w:szCs w:val="22"/>
              </w:rPr>
              <w:t>Proporción</w:t>
            </w:r>
          </w:p>
        </w:tc>
      </w:tr>
      <w:tr w:rsidR="00000000">
        <w:trPr>
          <w:cantSplit/>
        </w:trPr>
        <w:tc>
          <w:tcPr>
            <w:tcW w:w="1522" w:type="dxa"/>
            <w:vMerge/>
            <w:tcMar>
              <w:left w:w="68" w:type="dxa"/>
              <w:right w:w="68" w:type="dxa"/>
            </w:tcMar>
          </w:tcPr>
          <w:p w:rsidR="00000000" w:rsidRDefault="00000000">
            <w:pPr>
              <w:rPr>
                <w:b/>
                <w:sz w:val="22"/>
                <w:szCs w:val="22"/>
              </w:rPr>
            </w:pPr>
          </w:p>
        </w:tc>
        <w:tc>
          <w:tcPr>
            <w:tcW w:w="1328" w:type="dxa"/>
            <w:tcMar>
              <w:left w:w="68" w:type="dxa"/>
              <w:right w:w="68" w:type="dxa"/>
            </w:tcMar>
          </w:tcPr>
          <w:p w:rsidR="00000000" w:rsidRDefault="00000000">
            <w:pPr>
              <w:jc w:val="center"/>
              <w:rPr>
                <w:b/>
                <w:sz w:val="22"/>
                <w:szCs w:val="22"/>
              </w:rPr>
            </w:pPr>
            <w:r>
              <w:rPr>
                <w:b/>
                <w:sz w:val="22"/>
                <w:szCs w:val="22"/>
              </w:rPr>
              <w:t>Hombres</w:t>
            </w:r>
          </w:p>
        </w:tc>
        <w:tc>
          <w:tcPr>
            <w:tcW w:w="1328" w:type="dxa"/>
            <w:tcMar>
              <w:left w:w="68" w:type="dxa"/>
              <w:right w:w="68" w:type="dxa"/>
            </w:tcMar>
          </w:tcPr>
          <w:p w:rsidR="00000000" w:rsidRDefault="00000000">
            <w:pPr>
              <w:jc w:val="center"/>
              <w:rPr>
                <w:b/>
                <w:sz w:val="22"/>
                <w:szCs w:val="22"/>
              </w:rPr>
            </w:pPr>
            <w:r>
              <w:rPr>
                <w:b/>
                <w:sz w:val="22"/>
                <w:szCs w:val="22"/>
              </w:rPr>
              <w:t>Mujeres</w:t>
            </w:r>
          </w:p>
        </w:tc>
        <w:tc>
          <w:tcPr>
            <w:tcW w:w="1328" w:type="dxa"/>
            <w:gridSpan w:val="2"/>
            <w:tcMar>
              <w:left w:w="68" w:type="dxa"/>
              <w:right w:w="68" w:type="dxa"/>
            </w:tcMar>
          </w:tcPr>
          <w:p w:rsidR="00000000" w:rsidRDefault="00000000">
            <w:pPr>
              <w:jc w:val="center"/>
              <w:rPr>
                <w:b/>
                <w:sz w:val="22"/>
                <w:szCs w:val="22"/>
              </w:rPr>
            </w:pPr>
            <w:r>
              <w:rPr>
                <w:b/>
                <w:sz w:val="22"/>
                <w:szCs w:val="22"/>
              </w:rPr>
              <w:t>Total</w:t>
            </w:r>
          </w:p>
        </w:tc>
        <w:tc>
          <w:tcPr>
            <w:tcW w:w="1328" w:type="dxa"/>
            <w:tcMar>
              <w:left w:w="68" w:type="dxa"/>
              <w:right w:w="68" w:type="dxa"/>
            </w:tcMar>
          </w:tcPr>
          <w:p w:rsidR="00000000" w:rsidRDefault="00000000">
            <w:pPr>
              <w:jc w:val="center"/>
              <w:rPr>
                <w:b/>
                <w:sz w:val="22"/>
                <w:szCs w:val="22"/>
              </w:rPr>
            </w:pPr>
            <w:r>
              <w:rPr>
                <w:b/>
                <w:sz w:val="22"/>
                <w:szCs w:val="22"/>
              </w:rPr>
              <w:t>Hombres</w:t>
            </w:r>
          </w:p>
        </w:tc>
        <w:tc>
          <w:tcPr>
            <w:tcW w:w="1328" w:type="dxa"/>
            <w:tcMar>
              <w:left w:w="68" w:type="dxa"/>
              <w:right w:w="68" w:type="dxa"/>
            </w:tcMar>
          </w:tcPr>
          <w:p w:rsidR="00000000" w:rsidRDefault="00000000">
            <w:pPr>
              <w:jc w:val="center"/>
              <w:rPr>
                <w:b/>
                <w:sz w:val="22"/>
                <w:szCs w:val="22"/>
              </w:rPr>
            </w:pPr>
            <w:r>
              <w:rPr>
                <w:b/>
                <w:sz w:val="22"/>
                <w:szCs w:val="22"/>
              </w:rPr>
              <w:t>Mujeres</w:t>
            </w:r>
          </w:p>
        </w:tc>
        <w:tc>
          <w:tcPr>
            <w:tcW w:w="1329" w:type="dxa"/>
            <w:tcMar>
              <w:left w:w="68" w:type="dxa"/>
              <w:right w:w="68" w:type="dxa"/>
            </w:tcMar>
          </w:tcPr>
          <w:p w:rsidR="00000000" w:rsidRDefault="00000000">
            <w:pPr>
              <w:jc w:val="center"/>
              <w:rPr>
                <w:b/>
                <w:sz w:val="22"/>
                <w:szCs w:val="22"/>
              </w:rPr>
            </w:pPr>
            <w:r>
              <w:rPr>
                <w:b/>
                <w:sz w:val="22"/>
                <w:szCs w:val="22"/>
              </w:rPr>
              <w:t>Total</w:t>
            </w:r>
          </w:p>
        </w:tc>
      </w:tr>
      <w:tr w:rsidR="00000000">
        <w:tc>
          <w:tcPr>
            <w:tcW w:w="1522" w:type="dxa"/>
            <w:tcMar>
              <w:left w:w="68" w:type="dxa"/>
              <w:right w:w="68" w:type="dxa"/>
            </w:tcMar>
          </w:tcPr>
          <w:p w:rsidR="00000000" w:rsidRDefault="00000000">
            <w:pPr>
              <w:rPr>
                <w:sz w:val="22"/>
                <w:szCs w:val="22"/>
              </w:rPr>
            </w:pPr>
            <w:r>
              <w:rPr>
                <w:sz w:val="22"/>
                <w:szCs w:val="22"/>
              </w:rPr>
              <w:t>Animista</w:t>
            </w:r>
          </w:p>
        </w:tc>
        <w:tc>
          <w:tcPr>
            <w:tcW w:w="1328" w:type="dxa"/>
            <w:tcMar>
              <w:left w:w="68" w:type="dxa"/>
              <w:right w:w="68" w:type="dxa"/>
            </w:tcMar>
            <w:vAlign w:val="bottom"/>
          </w:tcPr>
          <w:p w:rsidR="00000000" w:rsidRDefault="00000000">
            <w:pPr>
              <w:tabs>
                <w:tab w:val="decimal" w:pos="1054"/>
              </w:tabs>
              <w:rPr>
                <w:sz w:val="22"/>
                <w:szCs w:val="22"/>
              </w:rPr>
            </w:pPr>
            <w:r>
              <w:rPr>
                <w:sz w:val="22"/>
                <w:szCs w:val="22"/>
              </w:rPr>
              <w:t>220.253</w:t>
            </w:r>
          </w:p>
        </w:tc>
        <w:tc>
          <w:tcPr>
            <w:tcW w:w="1328" w:type="dxa"/>
            <w:tcMar>
              <w:left w:w="68" w:type="dxa"/>
              <w:right w:w="68" w:type="dxa"/>
            </w:tcMar>
            <w:vAlign w:val="bottom"/>
          </w:tcPr>
          <w:p w:rsidR="00000000" w:rsidRDefault="00000000">
            <w:pPr>
              <w:tabs>
                <w:tab w:val="decimal" w:pos="1054"/>
              </w:tabs>
              <w:rPr>
                <w:sz w:val="22"/>
                <w:szCs w:val="22"/>
              </w:rPr>
            </w:pPr>
            <w:r>
              <w:rPr>
                <w:sz w:val="22"/>
                <w:szCs w:val="22"/>
              </w:rPr>
              <w:t>235.811</w:t>
            </w:r>
          </w:p>
        </w:tc>
        <w:tc>
          <w:tcPr>
            <w:tcW w:w="1328" w:type="dxa"/>
            <w:gridSpan w:val="2"/>
            <w:tcMar>
              <w:left w:w="68" w:type="dxa"/>
              <w:right w:w="68" w:type="dxa"/>
            </w:tcMar>
            <w:vAlign w:val="bottom"/>
          </w:tcPr>
          <w:p w:rsidR="00000000" w:rsidRDefault="00000000">
            <w:pPr>
              <w:tabs>
                <w:tab w:val="decimal" w:pos="1054"/>
              </w:tabs>
              <w:rPr>
                <w:sz w:val="22"/>
                <w:szCs w:val="22"/>
              </w:rPr>
            </w:pPr>
            <w:r>
              <w:rPr>
                <w:sz w:val="22"/>
                <w:szCs w:val="22"/>
              </w:rPr>
              <w:t>456.064</w:t>
            </w:r>
          </w:p>
        </w:tc>
        <w:tc>
          <w:tcPr>
            <w:tcW w:w="1328" w:type="dxa"/>
            <w:tcMar>
              <w:left w:w="68" w:type="dxa"/>
              <w:right w:w="68" w:type="dxa"/>
            </w:tcMar>
            <w:vAlign w:val="bottom"/>
          </w:tcPr>
          <w:p w:rsidR="00000000" w:rsidRDefault="00000000">
            <w:pPr>
              <w:tabs>
                <w:tab w:val="decimal" w:pos="695"/>
              </w:tabs>
              <w:rPr>
                <w:sz w:val="22"/>
                <w:szCs w:val="22"/>
              </w:rPr>
            </w:pPr>
            <w:r>
              <w:rPr>
                <w:sz w:val="22"/>
                <w:szCs w:val="22"/>
              </w:rPr>
              <w:t>7,3</w:t>
            </w:r>
          </w:p>
        </w:tc>
        <w:tc>
          <w:tcPr>
            <w:tcW w:w="1328" w:type="dxa"/>
            <w:tcMar>
              <w:left w:w="68" w:type="dxa"/>
              <w:right w:w="68" w:type="dxa"/>
            </w:tcMar>
            <w:vAlign w:val="bottom"/>
          </w:tcPr>
          <w:p w:rsidR="00000000" w:rsidRDefault="00000000">
            <w:pPr>
              <w:tabs>
                <w:tab w:val="decimal" w:pos="695"/>
              </w:tabs>
              <w:rPr>
                <w:sz w:val="22"/>
                <w:szCs w:val="22"/>
              </w:rPr>
            </w:pPr>
            <w:r>
              <w:rPr>
                <w:sz w:val="22"/>
                <w:szCs w:val="22"/>
              </w:rPr>
              <w:t>7,4</w:t>
            </w:r>
          </w:p>
        </w:tc>
        <w:tc>
          <w:tcPr>
            <w:tcW w:w="1329" w:type="dxa"/>
            <w:tcMar>
              <w:left w:w="68" w:type="dxa"/>
              <w:right w:w="68" w:type="dxa"/>
            </w:tcMar>
            <w:vAlign w:val="bottom"/>
          </w:tcPr>
          <w:p w:rsidR="00000000" w:rsidRDefault="00000000">
            <w:pPr>
              <w:tabs>
                <w:tab w:val="decimal" w:pos="695"/>
              </w:tabs>
              <w:rPr>
                <w:sz w:val="22"/>
                <w:szCs w:val="22"/>
              </w:rPr>
            </w:pPr>
            <w:r>
              <w:rPr>
                <w:sz w:val="22"/>
                <w:szCs w:val="22"/>
              </w:rPr>
              <w:t>7,4</w:t>
            </w:r>
          </w:p>
        </w:tc>
      </w:tr>
      <w:tr w:rsidR="00000000">
        <w:tc>
          <w:tcPr>
            <w:tcW w:w="1522" w:type="dxa"/>
            <w:tcMar>
              <w:left w:w="68" w:type="dxa"/>
              <w:right w:w="68" w:type="dxa"/>
            </w:tcMar>
          </w:tcPr>
          <w:p w:rsidR="00000000" w:rsidRDefault="00000000">
            <w:pPr>
              <w:rPr>
                <w:sz w:val="22"/>
                <w:szCs w:val="22"/>
              </w:rPr>
            </w:pPr>
            <w:r>
              <w:rPr>
                <w:sz w:val="22"/>
                <w:szCs w:val="22"/>
              </w:rPr>
              <w:t>Católica</w:t>
            </w:r>
          </w:p>
        </w:tc>
        <w:tc>
          <w:tcPr>
            <w:tcW w:w="1328" w:type="dxa"/>
            <w:tcMar>
              <w:left w:w="68" w:type="dxa"/>
              <w:right w:w="68" w:type="dxa"/>
            </w:tcMar>
            <w:vAlign w:val="bottom"/>
          </w:tcPr>
          <w:p w:rsidR="00000000" w:rsidRDefault="00000000">
            <w:pPr>
              <w:tabs>
                <w:tab w:val="decimal" w:pos="1054"/>
              </w:tabs>
              <w:rPr>
                <w:sz w:val="22"/>
                <w:szCs w:val="22"/>
              </w:rPr>
            </w:pPr>
            <w:r>
              <w:rPr>
                <w:sz w:val="22"/>
                <w:szCs w:val="22"/>
              </w:rPr>
              <w:t>593.135</w:t>
            </w:r>
          </w:p>
        </w:tc>
        <w:tc>
          <w:tcPr>
            <w:tcW w:w="1328" w:type="dxa"/>
            <w:tcMar>
              <w:left w:w="68" w:type="dxa"/>
              <w:right w:w="68" w:type="dxa"/>
            </w:tcMar>
            <w:vAlign w:val="bottom"/>
          </w:tcPr>
          <w:p w:rsidR="00000000" w:rsidRDefault="00000000">
            <w:pPr>
              <w:tabs>
                <w:tab w:val="decimal" w:pos="1054"/>
              </w:tabs>
              <w:rPr>
                <w:sz w:val="22"/>
                <w:szCs w:val="22"/>
              </w:rPr>
            </w:pPr>
            <w:r>
              <w:rPr>
                <w:sz w:val="22"/>
                <w:szCs w:val="22"/>
              </w:rPr>
              <w:t>667.377</w:t>
            </w:r>
          </w:p>
        </w:tc>
        <w:tc>
          <w:tcPr>
            <w:tcW w:w="1328" w:type="dxa"/>
            <w:gridSpan w:val="2"/>
            <w:tcMar>
              <w:left w:w="68" w:type="dxa"/>
              <w:right w:w="68" w:type="dxa"/>
            </w:tcMar>
            <w:vAlign w:val="bottom"/>
          </w:tcPr>
          <w:p w:rsidR="00000000" w:rsidRDefault="00000000">
            <w:pPr>
              <w:tabs>
                <w:tab w:val="decimal" w:pos="1054"/>
              </w:tabs>
              <w:rPr>
                <w:sz w:val="22"/>
                <w:szCs w:val="22"/>
              </w:rPr>
            </w:pPr>
            <w:r>
              <w:rPr>
                <w:sz w:val="22"/>
                <w:szCs w:val="22"/>
              </w:rPr>
              <w:t>1.260.512</w:t>
            </w:r>
          </w:p>
        </w:tc>
        <w:tc>
          <w:tcPr>
            <w:tcW w:w="1328" w:type="dxa"/>
            <w:tcMar>
              <w:left w:w="68" w:type="dxa"/>
              <w:right w:w="68" w:type="dxa"/>
            </w:tcMar>
            <w:vAlign w:val="bottom"/>
          </w:tcPr>
          <w:p w:rsidR="00000000" w:rsidRDefault="00000000">
            <w:pPr>
              <w:tabs>
                <w:tab w:val="decimal" w:pos="695"/>
              </w:tabs>
              <w:rPr>
                <w:sz w:val="22"/>
                <w:szCs w:val="22"/>
              </w:rPr>
            </w:pPr>
            <w:r>
              <w:rPr>
                <w:sz w:val="22"/>
                <w:szCs w:val="22"/>
              </w:rPr>
              <w:t>19,8</w:t>
            </w:r>
          </w:p>
        </w:tc>
        <w:tc>
          <w:tcPr>
            <w:tcW w:w="1328" w:type="dxa"/>
            <w:tcMar>
              <w:left w:w="68" w:type="dxa"/>
              <w:right w:w="68" w:type="dxa"/>
            </w:tcMar>
            <w:vAlign w:val="bottom"/>
          </w:tcPr>
          <w:p w:rsidR="00000000" w:rsidRDefault="00000000">
            <w:pPr>
              <w:tabs>
                <w:tab w:val="decimal" w:pos="695"/>
              </w:tabs>
              <w:rPr>
                <w:sz w:val="22"/>
                <w:szCs w:val="22"/>
              </w:rPr>
            </w:pPr>
            <w:r>
              <w:rPr>
                <w:sz w:val="22"/>
                <w:szCs w:val="22"/>
              </w:rPr>
              <w:t>20,9</w:t>
            </w:r>
          </w:p>
        </w:tc>
        <w:tc>
          <w:tcPr>
            <w:tcW w:w="1329" w:type="dxa"/>
            <w:tcMar>
              <w:left w:w="68" w:type="dxa"/>
              <w:right w:w="68" w:type="dxa"/>
            </w:tcMar>
            <w:vAlign w:val="bottom"/>
          </w:tcPr>
          <w:p w:rsidR="00000000" w:rsidRDefault="00000000">
            <w:pPr>
              <w:tabs>
                <w:tab w:val="decimal" w:pos="695"/>
              </w:tabs>
              <w:rPr>
                <w:sz w:val="22"/>
                <w:szCs w:val="22"/>
              </w:rPr>
            </w:pPr>
            <w:r>
              <w:rPr>
                <w:sz w:val="22"/>
                <w:szCs w:val="22"/>
              </w:rPr>
              <w:t>20,3</w:t>
            </w:r>
          </w:p>
        </w:tc>
      </w:tr>
      <w:tr w:rsidR="00000000">
        <w:tc>
          <w:tcPr>
            <w:tcW w:w="1522" w:type="dxa"/>
            <w:tcMar>
              <w:left w:w="68" w:type="dxa"/>
              <w:right w:w="68" w:type="dxa"/>
            </w:tcMar>
          </w:tcPr>
          <w:p w:rsidR="00000000" w:rsidRDefault="00000000">
            <w:pPr>
              <w:rPr>
                <w:sz w:val="22"/>
                <w:szCs w:val="22"/>
              </w:rPr>
            </w:pPr>
            <w:r>
              <w:rPr>
                <w:sz w:val="22"/>
                <w:szCs w:val="22"/>
              </w:rPr>
              <w:t>Musulmana</w:t>
            </w:r>
          </w:p>
        </w:tc>
        <w:tc>
          <w:tcPr>
            <w:tcW w:w="1328" w:type="dxa"/>
            <w:tcMar>
              <w:left w:w="68" w:type="dxa"/>
              <w:right w:w="68" w:type="dxa"/>
            </w:tcMar>
            <w:vAlign w:val="bottom"/>
          </w:tcPr>
          <w:p w:rsidR="00000000" w:rsidRDefault="00000000">
            <w:pPr>
              <w:tabs>
                <w:tab w:val="decimal" w:pos="1054"/>
              </w:tabs>
              <w:rPr>
                <w:sz w:val="22"/>
                <w:szCs w:val="22"/>
              </w:rPr>
            </w:pPr>
            <w:r>
              <w:rPr>
                <w:sz w:val="22"/>
                <w:szCs w:val="22"/>
              </w:rPr>
              <w:t>1.625.979</w:t>
            </w:r>
          </w:p>
        </w:tc>
        <w:tc>
          <w:tcPr>
            <w:tcW w:w="1328" w:type="dxa"/>
            <w:tcMar>
              <w:left w:w="68" w:type="dxa"/>
              <w:right w:w="68" w:type="dxa"/>
            </w:tcMar>
            <w:vAlign w:val="bottom"/>
          </w:tcPr>
          <w:p w:rsidR="00000000" w:rsidRDefault="00000000">
            <w:pPr>
              <w:tabs>
                <w:tab w:val="decimal" w:pos="1054"/>
              </w:tabs>
              <w:rPr>
                <w:sz w:val="22"/>
                <w:szCs w:val="22"/>
              </w:rPr>
            </w:pPr>
            <w:r>
              <w:rPr>
                <w:sz w:val="22"/>
                <w:szCs w:val="22"/>
              </w:rPr>
              <w:t>1.709.890</w:t>
            </w:r>
          </w:p>
        </w:tc>
        <w:tc>
          <w:tcPr>
            <w:tcW w:w="1328" w:type="dxa"/>
            <w:gridSpan w:val="2"/>
            <w:tcMar>
              <w:left w:w="68" w:type="dxa"/>
              <w:right w:w="68" w:type="dxa"/>
            </w:tcMar>
            <w:vAlign w:val="bottom"/>
          </w:tcPr>
          <w:p w:rsidR="00000000" w:rsidRDefault="00000000">
            <w:pPr>
              <w:tabs>
                <w:tab w:val="decimal" w:pos="1054"/>
              </w:tabs>
              <w:rPr>
                <w:sz w:val="22"/>
                <w:szCs w:val="22"/>
              </w:rPr>
            </w:pPr>
            <w:r>
              <w:rPr>
                <w:sz w:val="22"/>
                <w:szCs w:val="22"/>
              </w:rPr>
              <w:t>3.335.869</w:t>
            </w:r>
          </w:p>
        </w:tc>
        <w:tc>
          <w:tcPr>
            <w:tcW w:w="1328" w:type="dxa"/>
            <w:tcMar>
              <w:left w:w="68" w:type="dxa"/>
              <w:right w:w="68" w:type="dxa"/>
            </w:tcMar>
            <w:vAlign w:val="bottom"/>
          </w:tcPr>
          <w:p w:rsidR="00000000" w:rsidRDefault="00000000">
            <w:pPr>
              <w:tabs>
                <w:tab w:val="decimal" w:pos="695"/>
              </w:tabs>
              <w:rPr>
                <w:sz w:val="22"/>
                <w:szCs w:val="22"/>
              </w:rPr>
            </w:pPr>
            <w:r>
              <w:rPr>
                <w:sz w:val="22"/>
                <w:szCs w:val="22"/>
              </w:rPr>
              <w:t>54,2</w:t>
            </w:r>
          </w:p>
        </w:tc>
        <w:tc>
          <w:tcPr>
            <w:tcW w:w="1328" w:type="dxa"/>
            <w:tcMar>
              <w:left w:w="68" w:type="dxa"/>
              <w:right w:w="68" w:type="dxa"/>
            </w:tcMar>
            <w:vAlign w:val="bottom"/>
          </w:tcPr>
          <w:p w:rsidR="00000000" w:rsidRDefault="00000000">
            <w:pPr>
              <w:tabs>
                <w:tab w:val="decimal" w:pos="695"/>
              </w:tabs>
              <w:rPr>
                <w:sz w:val="22"/>
                <w:szCs w:val="22"/>
              </w:rPr>
            </w:pPr>
            <w:r>
              <w:rPr>
                <w:sz w:val="22"/>
                <w:szCs w:val="22"/>
              </w:rPr>
              <w:t>53,6</w:t>
            </w:r>
          </w:p>
        </w:tc>
        <w:tc>
          <w:tcPr>
            <w:tcW w:w="1329" w:type="dxa"/>
            <w:tcMar>
              <w:left w:w="68" w:type="dxa"/>
              <w:right w:w="68" w:type="dxa"/>
            </w:tcMar>
            <w:vAlign w:val="bottom"/>
          </w:tcPr>
          <w:p w:rsidR="00000000" w:rsidRDefault="00000000">
            <w:pPr>
              <w:tabs>
                <w:tab w:val="decimal" w:pos="695"/>
              </w:tabs>
              <w:rPr>
                <w:sz w:val="22"/>
                <w:szCs w:val="22"/>
              </w:rPr>
            </w:pPr>
            <w:r>
              <w:rPr>
                <w:sz w:val="22"/>
                <w:szCs w:val="22"/>
              </w:rPr>
              <w:t>53,9</w:t>
            </w:r>
          </w:p>
        </w:tc>
      </w:tr>
      <w:tr w:rsidR="00000000">
        <w:tc>
          <w:tcPr>
            <w:tcW w:w="1522" w:type="dxa"/>
            <w:tcMar>
              <w:left w:w="68" w:type="dxa"/>
              <w:right w:w="68" w:type="dxa"/>
            </w:tcMar>
          </w:tcPr>
          <w:p w:rsidR="00000000" w:rsidRDefault="00000000">
            <w:pPr>
              <w:rPr>
                <w:sz w:val="22"/>
                <w:szCs w:val="22"/>
              </w:rPr>
            </w:pPr>
            <w:r>
              <w:rPr>
                <w:sz w:val="22"/>
                <w:szCs w:val="22"/>
              </w:rPr>
              <w:t>Protestante</w:t>
            </w:r>
          </w:p>
        </w:tc>
        <w:tc>
          <w:tcPr>
            <w:tcW w:w="1328" w:type="dxa"/>
            <w:tcMar>
              <w:left w:w="68" w:type="dxa"/>
              <w:right w:w="68" w:type="dxa"/>
            </w:tcMar>
            <w:vAlign w:val="bottom"/>
          </w:tcPr>
          <w:p w:rsidR="00000000" w:rsidRDefault="00000000">
            <w:pPr>
              <w:tabs>
                <w:tab w:val="decimal" w:pos="1054"/>
              </w:tabs>
              <w:rPr>
                <w:sz w:val="22"/>
                <w:szCs w:val="22"/>
              </w:rPr>
            </w:pPr>
            <w:r>
              <w:rPr>
                <w:sz w:val="22"/>
                <w:szCs w:val="22"/>
              </w:rPr>
              <w:t>433.110</w:t>
            </w:r>
          </w:p>
        </w:tc>
        <w:tc>
          <w:tcPr>
            <w:tcW w:w="1328" w:type="dxa"/>
            <w:tcMar>
              <w:left w:w="68" w:type="dxa"/>
              <w:right w:w="68" w:type="dxa"/>
            </w:tcMar>
            <w:vAlign w:val="bottom"/>
          </w:tcPr>
          <w:p w:rsidR="00000000" w:rsidRDefault="00000000">
            <w:pPr>
              <w:tabs>
                <w:tab w:val="decimal" w:pos="1054"/>
              </w:tabs>
              <w:rPr>
                <w:sz w:val="22"/>
                <w:szCs w:val="22"/>
              </w:rPr>
            </w:pPr>
            <w:r>
              <w:rPr>
                <w:sz w:val="22"/>
                <w:szCs w:val="22"/>
              </w:rPr>
              <w:t>458.374</w:t>
            </w:r>
          </w:p>
        </w:tc>
        <w:tc>
          <w:tcPr>
            <w:tcW w:w="1328" w:type="dxa"/>
            <w:gridSpan w:val="2"/>
            <w:tcMar>
              <w:left w:w="68" w:type="dxa"/>
              <w:right w:w="68" w:type="dxa"/>
            </w:tcMar>
            <w:vAlign w:val="bottom"/>
          </w:tcPr>
          <w:p w:rsidR="00000000" w:rsidRDefault="00000000">
            <w:pPr>
              <w:tabs>
                <w:tab w:val="decimal" w:pos="1054"/>
              </w:tabs>
              <w:rPr>
                <w:sz w:val="22"/>
                <w:szCs w:val="22"/>
              </w:rPr>
            </w:pPr>
            <w:r>
              <w:rPr>
                <w:sz w:val="22"/>
                <w:szCs w:val="22"/>
              </w:rPr>
              <w:t>891.484</w:t>
            </w:r>
          </w:p>
        </w:tc>
        <w:tc>
          <w:tcPr>
            <w:tcW w:w="1328" w:type="dxa"/>
            <w:tcMar>
              <w:left w:w="68" w:type="dxa"/>
              <w:right w:w="68" w:type="dxa"/>
            </w:tcMar>
            <w:vAlign w:val="bottom"/>
          </w:tcPr>
          <w:p w:rsidR="00000000" w:rsidRDefault="00000000">
            <w:pPr>
              <w:tabs>
                <w:tab w:val="decimal" w:pos="695"/>
              </w:tabs>
              <w:rPr>
                <w:sz w:val="22"/>
                <w:szCs w:val="22"/>
              </w:rPr>
            </w:pPr>
            <w:r>
              <w:rPr>
                <w:sz w:val="22"/>
                <w:szCs w:val="22"/>
              </w:rPr>
              <w:t>14,4</w:t>
            </w:r>
          </w:p>
        </w:tc>
        <w:tc>
          <w:tcPr>
            <w:tcW w:w="1328" w:type="dxa"/>
            <w:tcMar>
              <w:left w:w="68" w:type="dxa"/>
              <w:right w:w="68" w:type="dxa"/>
            </w:tcMar>
            <w:vAlign w:val="bottom"/>
          </w:tcPr>
          <w:p w:rsidR="00000000" w:rsidRDefault="00000000">
            <w:pPr>
              <w:tabs>
                <w:tab w:val="decimal" w:pos="695"/>
              </w:tabs>
              <w:rPr>
                <w:sz w:val="22"/>
                <w:szCs w:val="22"/>
              </w:rPr>
            </w:pPr>
            <w:r>
              <w:rPr>
                <w:sz w:val="22"/>
                <w:szCs w:val="22"/>
              </w:rPr>
              <w:t>14,3</w:t>
            </w:r>
          </w:p>
        </w:tc>
        <w:tc>
          <w:tcPr>
            <w:tcW w:w="1329" w:type="dxa"/>
            <w:tcMar>
              <w:left w:w="68" w:type="dxa"/>
              <w:right w:w="68" w:type="dxa"/>
            </w:tcMar>
            <w:vAlign w:val="bottom"/>
          </w:tcPr>
          <w:p w:rsidR="00000000" w:rsidRDefault="00000000">
            <w:pPr>
              <w:tabs>
                <w:tab w:val="decimal" w:pos="695"/>
              </w:tabs>
              <w:rPr>
                <w:sz w:val="22"/>
                <w:szCs w:val="22"/>
              </w:rPr>
            </w:pPr>
            <w:r>
              <w:rPr>
                <w:sz w:val="22"/>
                <w:szCs w:val="22"/>
              </w:rPr>
              <w:t>14,4</w:t>
            </w:r>
          </w:p>
        </w:tc>
      </w:tr>
      <w:tr w:rsidR="00000000">
        <w:tc>
          <w:tcPr>
            <w:tcW w:w="1522" w:type="dxa"/>
            <w:tcMar>
              <w:left w:w="68" w:type="dxa"/>
              <w:right w:w="68" w:type="dxa"/>
            </w:tcMar>
          </w:tcPr>
          <w:p w:rsidR="00000000" w:rsidRDefault="00000000">
            <w:pPr>
              <w:rPr>
                <w:sz w:val="22"/>
                <w:szCs w:val="22"/>
              </w:rPr>
            </w:pPr>
            <w:r>
              <w:rPr>
                <w:sz w:val="22"/>
                <w:szCs w:val="22"/>
              </w:rPr>
              <w:t>Otra</w:t>
            </w:r>
          </w:p>
        </w:tc>
        <w:tc>
          <w:tcPr>
            <w:tcW w:w="1328" w:type="dxa"/>
            <w:tcMar>
              <w:left w:w="68" w:type="dxa"/>
              <w:right w:w="68" w:type="dxa"/>
            </w:tcMar>
            <w:vAlign w:val="bottom"/>
          </w:tcPr>
          <w:p w:rsidR="00000000" w:rsidRDefault="00000000">
            <w:pPr>
              <w:tabs>
                <w:tab w:val="decimal" w:pos="1054"/>
              </w:tabs>
              <w:rPr>
                <w:sz w:val="22"/>
                <w:szCs w:val="22"/>
              </w:rPr>
            </w:pPr>
            <w:r>
              <w:rPr>
                <w:sz w:val="22"/>
                <w:szCs w:val="22"/>
              </w:rPr>
              <w:t>17.834</w:t>
            </w:r>
          </w:p>
        </w:tc>
        <w:tc>
          <w:tcPr>
            <w:tcW w:w="1328" w:type="dxa"/>
            <w:tcMar>
              <w:left w:w="68" w:type="dxa"/>
              <w:right w:w="68" w:type="dxa"/>
            </w:tcMar>
            <w:vAlign w:val="bottom"/>
          </w:tcPr>
          <w:p w:rsidR="00000000" w:rsidRDefault="00000000">
            <w:pPr>
              <w:tabs>
                <w:tab w:val="decimal" w:pos="1054"/>
              </w:tabs>
              <w:rPr>
                <w:sz w:val="22"/>
                <w:szCs w:val="22"/>
              </w:rPr>
            </w:pPr>
            <w:r>
              <w:rPr>
                <w:sz w:val="22"/>
                <w:szCs w:val="22"/>
              </w:rPr>
              <w:t>15.608</w:t>
            </w:r>
          </w:p>
        </w:tc>
        <w:tc>
          <w:tcPr>
            <w:tcW w:w="1328" w:type="dxa"/>
            <w:gridSpan w:val="2"/>
            <w:tcMar>
              <w:left w:w="68" w:type="dxa"/>
              <w:right w:w="68" w:type="dxa"/>
            </w:tcMar>
            <w:vAlign w:val="bottom"/>
          </w:tcPr>
          <w:p w:rsidR="00000000" w:rsidRDefault="00000000">
            <w:pPr>
              <w:tabs>
                <w:tab w:val="decimal" w:pos="1054"/>
              </w:tabs>
              <w:rPr>
                <w:sz w:val="22"/>
                <w:szCs w:val="22"/>
              </w:rPr>
            </w:pPr>
            <w:r>
              <w:rPr>
                <w:sz w:val="22"/>
                <w:szCs w:val="22"/>
              </w:rPr>
              <w:t>33.442</w:t>
            </w:r>
          </w:p>
        </w:tc>
        <w:tc>
          <w:tcPr>
            <w:tcW w:w="1328" w:type="dxa"/>
            <w:tcMar>
              <w:left w:w="68" w:type="dxa"/>
              <w:right w:w="68" w:type="dxa"/>
            </w:tcMar>
            <w:vAlign w:val="bottom"/>
          </w:tcPr>
          <w:p w:rsidR="00000000" w:rsidRDefault="00000000">
            <w:pPr>
              <w:tabs>
                <w:tab w:val="decimal" w:pos="695"/>
              </w:tabs>
              <w:rPr>
                <w:sz w:val="22"/>
                <w:szCs w:val="22"/>
              </w:rPr>
            </w:pPr>
            <w:r>
              <w:rPr>
                <w:sz w:val="22"/>
                <w:szCs w:val="22"/>
              </w:rPr>
              <w:t>0,6</w:t>
            </w:r>
          </w:p>
        </w:tc>
        <w:tc>
          <w:tcPr>
            <w:tcW w:w="1328" w:type="dxa"/>
            <w:tcMar>
              <w:left w:w="68" w:type="dxa"/>
              <w:right w:w="68" w:type="dxa"/>
            </w:tcMar>
            <w:vAlign w:val="bottom"/>
          </w:tcPr>
          <w:p w:rsidR="00000000" w:rsidRDefault="00000000">
            <w:pPr>
              <w:tabs>
                <w:tab w:val="decimal" w:pos="695"/>
              </w:tabs>
              <w:rPr>
                <w:sz w:val="22"/>
                <w:szCs w:val="22"/>
              </w:rPr>
            </w:pPr>
            <w:r>
              <w:rPr>
                <w:sz w:val="22"/>
                <w:szCs w:val="22"/>
              </w:rPr>
              <w:t>0,5</w:t>
            </w:r>
          </w:p>
        </w:tc>
        <w:tc>
          <w:tcPr>
            <w:tcW w:w="1329" w:type="dxa"/>
            <w:tcMar>
              <w:left w:w="68" w:type="dxa"/>
              <w:right w:w="68" w:type="dxa"/>
            </w:tcMar>
            <w:vAlign w:val="bottom"/>
          </w:tcPr>
          <w:p w:rsidR="00000000" w:rsidRDefault="00000000">
            <w:pPr>
              <w:tabs>
                <w:tab w:val="decimal" w:pos="695"/>
              </w:tabs>
              <w:rPr>
                <w:sz w:val="22"/>
                <w:szCs w:val="22"/>
              </w:rPr>
            </w:pPr>
            <w:r>
              <w:rPr>
                <w:sz w:val="22"/>
                <w:szCs w:val="22"/>
              </w:rPr>
              <w:t>0,5</w:t>
            </w:r>
          </w:p>
        </w:tc>
      </w:tr>
      <w:tr w:rsidR="00000000">
        <w:tc>
          <w:tcPr>
            <w:tcW w:w="1522" w:type="dxa"/>
            <w:tcMar>
              <w:left w:w="68" w:type="dxa"/>
              <w:right w:w="68" w:type="dxa"/>
            </w:tcMar>
          </w:tcPr>
          <w:p w:rsidR="00000000" w:rsidRDefault="00000000">
            <w:pPr>
              <w:rPr>
                <w:sz w:val="22"/>
                <w:szCs w:val="22"/>
              </w:rPr>
            </w:pPr>
            <w:r>
              <w:rPr>
                <w:sz w:val="22"/>
                <w:szCs w:val="22"/>
              </w:rPr>
              <w:t>Ninguna</w:t>
            </w:r>
          </w:p>
        </w:tc>
        <w:tc>
          <w:tcPr>
            <w:tcW w:w="1328" w:type="dxa"/>
            <w:tcMar>
              <w:left w:w="68" w:type="dxa"/>
              <w:right w:w="68" w:type="dxa"/>
            </w:tcMar>
            <w:vAlign w:val="bottom"/>
          </w:tcPr>
          <w:p w:rsidR="00000000" w:rsidRDefault="00000000">
            <w:pPr>
              <w:tabs>
                <w:tab w:val="decimal" w:pos="1054"/>
              </w:tabs>
              <w:rPr>
                <w:sz w:val="22"/>
                <w:szCs w:val="22"/>
              </w:rPr>
            </w:pPr>
            <w:r>
              <w:rPr>
                <w:sz w:val="22"/>
                <w:szCs w:val="22"/>
              </w:rPr>
              <w:t>100.519</w:t>
            </w:r>
          </w:p>
        </w:tc>
        <w:tc>
          <w:tcPr>
            <w:tcW w:w="1328" w:type="dxa"/>
            <w:tcMar>
              <w:left w:w="68" w:type="dxa"/>
              <w:right w:w="68" w:type="dxa"/>
            </w:tcMar>
            <w:vAlign w:val="bottom"/>
          </w:tcPr>
          <w:p w:rsidR="00000000" w:rsidRDefault="00000000">
            <w:pPr>
              <w:tabs>
                <w:tab w:val="decimal" w:pos="1054"/>
              </w:tabs>
              <w:rPr>
                <w:sz w:val="22"/>
                <w:szCs w:val="22"/>
              </w:rPr>
            </w:pPr>
            <w:r>
              <w:rPr>
                <w:sz w:val="22"/>
                <w:szCs w:val="22"/>
              </w:rPr>
              <w:t>92.590</w:t>
            </w:r>
          </w:p>
        </w:tc>
        <w:tc>
          <w:tcPr>
            <w:tcW w:w="1328" w:type="dxa"/>
            <w:gridSpan w:val="2"/>
            <w:tcMar>
              <w:left w:w="68" w:type="dxa"/>
              <w:right w:w="68" w:type="dxa"/>
            </w:tcMar>
            <w:vAlign w:val="bottom"/>
          </w:tcPr>
          <w:p w:rsidR="00000000" w:rsidRDefault="00000000">
            <w:pPr>
              <w:tabs>
                <w:tab w:val="decimal" w:pos="1054"/>
              </w:tabs>
              <w:rPr>
                <w:sz w:val="22"/>
                <w:szCs w:val="22"/>
              </w:rPr>
            </w:pPr>
            <w:r>
              <w:rPr>
                <w:sz w:val="22"/>
                <w:szCs w:val="22"/>
              </w:rPr>
              <w:t>193.109</w:t>
            </w:r>
          </w:p>
        </w:tc>
        <w:tc>
          <w:tcPr>
            <w:tcW w:w="1328" w:type="dxa"/>
            <w:tcMar>
              <w:left w:w="68" w:type="dxa"/>
              <w:right w:w="68" w:type="dxa"/>
            </w:tcMar>
            <w:vAlign w:val="bottom"/>
          </w:tcPr>
          <w:p w:rsidR="00000000" w:rsidRDefault="00000000">
            <w:pPr>
              <w:tabs>
                <w:tab w:val="decimal" w:pos="695"/>
              </w:tabs>
              <w:rPr>
                <w:sz w:val="22"/>
                <w:szCs w:val="22"/>
              </w:rPr>
            </w:pPr>
            <w:r>
              <w:rPr>
                <w:sz w:val="22"/>
                <w:szCs w:val="22"/>
              </w:rPr>
              <w:t>3,3</w:t>
            </w:r>
          </w:p>
        </w:tc>
        <w:tc>
          <w:tcPr>
            <w:tcW w:w="1328" w:type="dxa"/>
            <w:tcMar>
              <w:left w:w="68" w:type="dxa"/>
              <w:right w:w="68" w:type="dxa"/>
            </w:tcMar>
            <w:vAlign w:val="bottom"/>
          </w:tcPr>
          <w:p w:rsidR="00000000" w:rsidRDefault="00000000">
            <w:pPr>
              <w:tabs>
                <w:tab w:val="decimal" w:pos="695"/>
              </w:tabs>
              <w:rPr>
                <w:sz w:val="22"/>
                <w:szCs w:val="22"/>
              </w:rPr>
            </w:pPr>
            <w:r>
              <w:rPr>
                <w:sz w:val="22"/>
                <w:szCs w:val="22"/>
              </w:rPr>
              <w:t>2,9</w:t>
            </w:r>
          </w:p>
        </w:tc>
        <w:tc>
          <w:tcPr>
            <w:tcW w:w="1329" w:type="dxa"/>
            <w:tcMar>
              <w:left w:w="68" w:type="dxa"/>
              <w:right w:w="68" w:type="dxa"/>
            </w:tcMar>
            <w:vAlign w:val="bottom"/>
          </w:tcPr>
          <w:p w:rsidR="00000000" w:rsidRDefault="00000000">
            <w:pPr>
              <w:tabs>
                <w:tab w:val="decimal" w:pos="695"/>
              </w:tabs>
              <w:rPr>
                <w:sz w:val="22"/>
                <w:szCs w:val="22"/>
              </w:rPr>
            </w:pPr>
            <w:r>
              <w:rPr>
                <w:sz w:val="22"/>
                <w:szCs w:val="22"/>
              </w:rPr>
              <w:t>3,1</w:t>
            </w:r>
          </w:p>
        </w:tc>
      </w:tr>
      <w:tr w:rsidR="00000000">
        <w:tc>
          <w:tcPr>
            <w:tcW w:w="1522" w:type="dxa"/>
            <w:tcMar>
              <w:left w:w="68" w:type="dxa"/>
              <w:right w:w="68" w:type="dxa"/>
            </w:tcMar>
          </w:tcPr>
          <w:p w:rsidR="00000000" w:rsidRDefault="00000000">
            <w:pPr>
              <w:rPr>
                <w:sz w:val="22"/>
                <w:szCs w:val="22"/>
              </w:rPr>
            </w:pPr>
            <w:r>
              <w:rPr>
                <w:sz w:val="22"/>
                <w:szCs w:val="22"/>
              </w:rPr>
              <w:t>Indeterminada</w:t>
            </w:r>
          </w:p>
        </w:tc>
        <w:tc>
          <w:tcPr>
            <w:tcW w:w="1328" w:type="dxa"/>
            <w:tcMar>
              <w:left w:w="68" w:type="dxa"/>
              <w:right w:w="68" w:type="dxa"/>
            </w:tcMar>
            <w:vAlign w:val="bottom"/>
          </w:tcPr>
          <w:p w:rsidR="00000000" w:rsidRDefault="00000000">
            <w:pPr>
              <w:tabs>
                <w:tab w:val="decimal" w:pos="1054"/>
              </w:tabs>
              <w:rPr>
                <w:sz w:val="22"/>
                <w:szCs w:val="22"/>
              </w:rPr>
            </w:pPr>
            <w:r>
              <w:rPr>
                <w:sz w:val="22"/>
                <w:szCs w:val="22"/>
              </w:rPr>
              <w:t>10.541</w:t>
            </w:r>
          </w:p>
        </w:tc>
        <w:tc>
          <w:tcPr>
            <w:tcW w:w="1328" w:type="dxa"/>
            <w:tcMar>
              <w:left w:w="68" w:type="dxa"/>
              <w:right w:w="68" w:type="dxa"/>
            </w:tcMar>
            <w:vAlign w:val="bottom"/>
          </w:tcPr>
          <w:p w:rsidR="00000000" w:rsidRDefault="00000000">
            <w:pPr>
              <w:tabs>
                <w:tab w:val="decimal" w:pos="1054"/>
              </w:tabs>
              <w:rPr>
                <w:sz w:val="22"/>
                <w:szCs w:val="22"/>
              </w:rPr>
            </w:pPr>
            <w:r>
              <w:rPr>
                <w:sz w:val="22"/>
                <w:szCs w:val="22"/>
              </w:rPr>
              <w:t>12.517</w:t>
            </w:r>
          </w:p>
        </w:tc>
        <w:tc>
          <w:tcPr>
            <w:tcW w:w="1328" w:type="dxa"/>
            <w:gridSpan w:val="2"/>
            <w:tcMar>
              <w:left w:w="68" w:type="dxa"/>
              <w:right w:w="68" w:type="dxa"/>
            </w:tcMar>
            <w:vAlign w:val="bottom"/>
          </w:tcPr>
          <w:p w:rsidR="00000000" w:rsidRDefault="00000000">
            <w:pPr>
              <w:tabs>
                <w:tab w:val="decimal" w:pos="1054"/>
              </w:tabs>
              <w:rPr>
                <w:sz w:val="22"/>
                <w:szCs w:val="22"/>
              </w:rPr>
            </w:pPr>
            <w:r>
              <w:rPr>
                <w:sz w:val="22"/>
                <w:szCs w:val="22"/>
              </w:rPr>
              <w:t>23.058</w:t>
            </w:r>
          </w:p>
        </w:tc>
        <w:tc>
          <w:tcPr>
            <w:tcW w:w="1328" w:type="dxa"/>
            <w:tcMar>
              <w:left w:w="68" w:type="dxa"/>
              <w:right w:w="68" w:type="dxa"/>
            </w:tcMar>
            <w:vAlign w:val="bottom"/>
          </w:tcPr>
          <w:p w:rsidR="00000000" w:rsidRDefault="00000000">
            <w:pPr>
              <w:tabs>
                <w:tab w:val="decimal" w:pos="695"/>
              </w:tabs>
              <w:rPr>
                <w:sz w:val="22"/>
                <w:szCs w:val="22"/>
              </w:rPr>
            </w:pPr>
            <w:r>
              <w:rPr>
                <w:sz w:val="22"/>
                <w:szCs w:val="22"/>
              </w:rPr>
              <w:t>0,4</w:t>
            </w:r>
          </w:p>
        </w:tc>
        <w:tc>
          <w:tcPr>
            <w:tcW w:w="1328" w:type="dxa"/>
            <w:tcMar>
              <w:left w:w="68" w:type="dxa"/>
              <w:right w:w="68" w:type="dxa"/>
            </w:tcMar>
            <w:vAlign w:val="bottom"/>
          </w:tcPr>
          <w:p w:rsidR="00000000" w:rsidRDefault="00000000">
            <w:pPr>
              <w:tabs>
                <w:tab w:val="decimal" w:pos="695"/>
              </w:tabs>
              <w:rPr>
                <w:sz w:val="22"/>
                <w:szCs w:val="22"/>
              </w:rPr>
            </w:pPr>
            <w:r>
              <w:rPr>
                <w:sz w:val="22"/>
                <w:szCs w:val="22"/>
              </w:rPr>
              <w:t>0,4</w:t>
            </w:r>
          </w:p>
        </w:tc>
        <w:tc>
          <w:tcPr>
            <w:tcW w:w="1329" w:type="dxa"/>
            <w:tcMar>
              <w:left w:w="68" w:type="dxa"/>
              <w:right w:w="68" w:type="dxa"/>
            </w:tcMar>
            <w:vAlign w:val="bottom"/>
          </w:tcPr>
          <w:p w:rsidR="00000000" w:rsidRDefault="00000000">
            <w:pPr>
              <w:tabs>
                <w:tab w:val="decimal" w:pos="695"/>
              </w:tabs>
              <w:rPr>
                <w:sz w:val="22"/>
                <w:szCs w:val="22"/>
              </w:rPr>
            </w:pPr>
            <w:r>
              <w:rPr>
                <w:sz w:val="22"/>
                <w:szCs w:val="22"/>
              </w:rPr>
              <w:t>0,4</w:t>
            </w:r>
          </w:p>
        </w:tc>
      </w:tr>
      <w:tr w:rsidR="00000000">
        <w:tc>
          <w:tcPr>
            <w:tcW w:w="1522" w:type="dxa"/>
            <w:tcMar>
              <w:left w:w="68" w:type="dxa"/>
              <w:right w:w="68" w:type="dxa"/>
            </w:tcMar>
          </w:tcPr>
          <w:p w:rsidR="00000000" w:rsidRDefault="00000000">
            <w:pPr>
              <w:ind w:left="224"/>
              <w:rPr>
                <w:b/>
                <w:sz w:val="22"/>
                <w:szCs w:val="22"/>
              </w:rPr>
            </w:pPr>
            <w:r>
              <w:rPr>
                <w:b/>
                <w:sz w:val="22"/>
                <w:szCs w:val="22"/>
              </w:rPr>
              <w:t>Total</w:t>
            </w:r>
          </w:p>
        </w:tc>
        <w:tc>
          <w:tcPr>
            <w:tcW w:w="1328" w:type="dxa"/>
            <w:tcMar>
              <w:left w:w="68" w:type="dxa"/>
              <w:right w:w="68" w:type="dxa"/>
            </w:tcMar>
            <w:vAlign w:val="bottom"/>
          </w:tcPr>
          <w:p w:rsidR="00000000" w:rsidRDefault="00000000">
            <w:pPr>
              <w:tabs>
                <w:tab w:val="decimal" w:pos="1054"/>
              </w:tabs>
              <w:rPr>
                <w:b/>
                <w:bCs/>
                <w:sz w:val="22"/>
                <w:szCs w:val="22"/>
              </w:rPr>
            </w:pPr>
            <w:r>
              <w:rPr>
                <w:b/>
                <w:bCs/>
                <w:sz w:val="22"/>
                <w:szCs w:val="22"/>
              </w:rPr>
              <w:t>3.001.371</w:t>
            </w:r>
          </w:p>
        </w:tc>
        <w:tc>
          <w:tcPr>
            <w:tcW w:w="1328" w:type="dxa"/>
            <w:tcMar>
              <w:left w:w="68" w:type="dxa"/>
              <w:right w:w="68" w:type="dxa"/>
            </w:tcMar>
            <w:vAlign w:val="bottom"/>
          </w:tcPr>
          <w:p w:rsidR="00000000" w:rsidRDefault="00000000">
            <w:pPr>
              <w:tabs>
                <w:tab w:val="decimal" w:pos="1054"/>
              </w:tabs>
              <w:rPr>
                <w:b/>
                <w:bCs/>
                <w:sz w:val="22"/>
                <w:szCs w:val="22"/>
              </w:rPr>
            </w:pPr>
            <w:r>
              <w:rPr>
                <w:b/>
                <w:bCs/>
                <w:sz w:val="22"/>
                <w:szCs w:val="22"/>
              </w:rPr>
              <w:t>3.192.167</w:t>
            </w:r>
          </w:p>
        </w:tc>
        <w:tc>
          <w:tcPr>
            <w:tcW w:w="1328" w:type="dxa"/>
            <w:gridSpan w:val="2"/>
            <w:tcMar>
              <w:left w:w="68" w:type="dxa"/>
              <w:right w:w="68" w:type="dxa"/>
            </w:tcMar>
            <w:vAlign w:val="bottom"/>
          </w:tcPr>
          <w:p w:rsidR="00000000" w:rsidRDefault="00000000">
            <w:pPr>
              <w:tabs>
                <w:tab w:val="decimal" w:pos="1054"/>
              </w:tabs>
              <w:rPr>
                <w:b/>
                <w:bCs/>
                <w:sz w:val="22"/>
                <w:szCs w:val="22"/>
              </w:rPr>
            </w:pPr>
            <w:r>
              <w:rPr>
                <w:b/>
                <w:bCs/>
                <w:sz w:val="22"/>
                <w:szCs w:val="22"/>
              </w:rPr>
              <w:t>6.193.538</w:t>
            </w:r>
          </w:p>
        </w:tc>
        <w:tc>
          <w:tcPr>
            <w:tcW w:w="1328" w:type="dxa"/>
            <w:tcMar>
              <w:left w:w="68" w:type="dxa"/>
              <w:right w:w="68" w:type="dxa"/>
            </w:tcMar>
            <w:vAlign w:val="bottom"/>
          </w:tcPr>
          <w:p w:rsidR="00000000" w:rsidRDefault="00000000">
            <w:pPr>
              <w:tabs>
                <w:tab w:val="decimal" w:pos="695"/>
              </w:tabs>
              <w:rPr>
                <w:b/>
                <w:bCs/>
                <w:sz w:val="22"/>
                <w:szCs w:val="22"/>
              </w:rPr>
            </w:pPr>
            <w:r>
              <w:rPr>
                <w:b/>
                <w:bCs/>
                <w:sz w:val="22"/>
                <w:szCs w:val="22"/>
              </w:rPr>
              <w:t>100,0</w:t>
            </w:r>
          </w:p>
        </w:tc>
        <w:tc>
          <w:tcPr>
            <w:tcW w:w="1328" w:type="dxa"/>
            <w:tcMar>
              <w:left w:w="68" w:type="dxa"/>
              <w:right w:w="68" w:type="dxa"/>
            </w:tcMar>
            <w:vAlign w:val="bottom"/>
          </w:tcPr>
          <w:p w:rsidR="00000000" w:rsidRDefault="00000000">
            <w:pPr>
              <w:tabs>
                <w:tab w:val="decimal" w:pos="695"/>
              </w:tabs>
              <w:rPr>
                <w:b/>
                <w:bCs/>
                <w:sz w:val="22"/>
                <w:szCs w:val="22"/>
              </w:rPr>
            </w:pPr>
            <w:r>
              <w:rPr>
                <w:b/>
                <w:bCs/>
                <w:sz w:val="22"/>
                <w:szCs w:val="22"/>
              </w:rPr>
              <w:t>100,0</w:t>
            </w:r>
          </w:p>
        </w:tc>
        <w:tc>
          <w:tcPr>
            <w:tcW w:w="1329" w:type="dxa"/>
            <w:tcMar>
              <w:left w:w="68" w:type="dxa"/>
              <w:right w:w="68" w:type="dxa"/>
            </w:tcMar>
            <w:vAlign w:val="bottom"/>
          </w:tcPr>
          <w:p w:rsidR="00000000" w:rsidRDefault="00000000">
            <w:pPr>
              <w:tabs>
                <w:tab w:val="decimal" w:pos="695"/>
              </w:tabs>
              <w:rPr>
                <w:b/>
                <w:bCs/>
                <w:sz w:val="22"/>
                <w:szCs w:val="22"/>
              </w:rPr>
            </w:pPr>
            <w:r>
              <w:rPr>
                <w:b/>
                <w:bCs/>
                <w:sz w:val="22"/>
                <w:szCs w:val="22"/>
              </w:rPr>
              <w:t>100,0</w:t>
            </w:r>
          </w:p>
        </w:tc>
      </w:tr>
    </w:tbl>
    <w:p w:rsidR="00000000" w:rsidRDefault="00000000">
      <w:pPr>
        <w:spacing w:before="220" w:after="400"/>
        <w:rPr>
          <w:sz w:val="22"/>
          <w:szCs w:val="22"/>
        </w:rPr>
      </w:pPr>
      <w:r>
        <w:rPr>
          <w:i/>
          <w:sz w:val="22"/>
          <w:szCs w:val="22"/>
        </w:rPr>
        <w:t>Fuente:</w:t>
      </w:r>
      <w:r>
        <w:rPr>
          <w:sz w:val="22"/>
          <w:szCs w:val="22"/>
        </w:rPr>
        <w:t xml:space="preserve">  RGPH de 1993.</w:t>
      </w:r>
    </w:p>
    <w:p w:rsidR="00000000" w:rsidRDefault="00000000">
      <w:pPr>
        <w:spacing w:after="200"/>
      </w:pPr>
      <w:r>
        <w:t>40.</w:t>
      </w:r>
      <w:r>
        <w:tab/>
        <w:t>Excluidas las categorías "ninguna" y "otra" religión, las mujeres predominan en todas las religiones, como demuestran las relaciones de masculinidad observadas en todos los casos.  Esta superioridad de las mujeres se puede atribuir a su peso demográfico en la población total.</w:t>
      </w:r>
    </w:p>
    <w:p w:rsidR="00000000" w:rsidRDefault="00000000">
      <w:pPr>
        <w:spacing w:after="200"/>
        <w:jc w:val="center"/>
        <w:rPr>
          <w:b/>
        </w:rPr>
      </w:pPr>
      <w:r>
        <w:rPr>
          <w:b/>
        </w:rPr>
        <w:t>Cuadro 8</w:t>
      </w:r>
    </w:p>
    <w:p w:rsidR="00000000" w:rsidRDefault="00000000">
      <w:pPr>
        <w:spacing w:after="240"/>
        <w:jc w:val="center"/>
        <w:rPr>
          <w:b/>
        </w:rPr>
      </w:pPr>
      <w:r>
        <w:rPr>
          <w:b/>
        </w:rPr>
        <w:t>Distribución de la población residente por sexo y relación</w:t>
      </w:r>
      <w:r>
        <w:rPr>
          <w:b/>
        </w:rPr>
        <w:br/>
        <w:t>de masculinidad según la religión</w:t>
      </w:r>
    </w:p>
    <w:p w:rsidR="00000000" w:rsidRDefault="00000000">
      <w:pPr>
        <w:spacing w:after="200"/>
        <w:jc w:val="center"/>
      </w:pPr>
      <w:r>
        <w:t>(En porcentaje)</w:t>
      </w:r>
    </w:p>
    <w:tbl>
      <w:tblPr>
        <w:tblW w:w="0" w:type="auto"/>
        <w:jc w:val="center"/>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1836"/>
        <w:gridCol w:w="1409"/>
        <w:gridCol w:w="1409"/>
        <w:gridCol w:w="1409"/>
        <w:gridCol w:w="1783"/>
      </w:tblGrid>
      <w:tr w:rsidR="00000000">
        <w:trPr>
          <w:cantSplit/>
          <w:jc w:val="center"/>
        </w:trPr>
        <w:tc>
          <w:tcPr>
            <w:tcW w:w="1836" w:type="dxa"/>
            <w:vMerge w:val="restart"/>
            <w:tcMar>
              <w:left w:w="68" w:type="dxa"/>
              <w:right w:w="68" w:type="dxa"/>
            </w:tcMar>
            <w:vAlign w:val="center"/>
          </w:tcPr>
          <w:p w:rsidR="00000000" w:rsidRDefault="00000000">
            <w:pPr>
              <w:jc w:val="center"/>
              <w:rPr>
                <w:b/>
              </w:rPr>
            </w:pPr>
            <w:r>
              <w:rPr>
                <w:b/>
              </w:rPr>
              <w:t>Religión</w:t>
            </w:r>
          </w:p>
        </w:tc>
        <w:tc>
          <w:tcPr>
            <w:tcW w:w="4227" w:type="dxa"/>
            <w:gridSpan w:val="3"/>
            <w:tcMar>
              <w:left w:w="68" w:type="dxa"/>
              <w:right w:w="68" w:type="dxa"/>
            </w:tcMar>
          </w:tcPr>
          <w:p w:rsidR="00000000" w:rsidRDefault="00000000">
            <w:pPr>
              <w:jc w:val="center"/>
              <w:rPr>
                <w:b/>
              </w:rPr>
            </w:pPr>
            <w:r>
              <w:rPr>
                <w:b/>
              </w:rPr>
              <w:t>Población</w:t>
            </w:r>
          </w:p>
        </w:tc>
        <w:tc>
          <w:tcPr>
            <w:tcW w:w="1783" w:type="dxa"/>
            <w:vMerge w:val="restart"/>
            <w:tcMar>
              <w:left w:w="68" w:type="dxa"/>
              <w:right w:w="68" w:type="dxa"/>
            </w:tcMar>
            <w:vAlign w:val="center"/>
          </w:tcPr>
          <w:p w:rsidR="00000000" w:rsidRDefault="00000000">
            <w:pPr>
              <w:jc w:val="center"/>
              <w:rPr>
                <w:b/>
              </w:rPr>
            </w:pPr>
            <w:r>
              <w:rPr>
                <w:b/>
              </w:rPr>
              <w:t>Relación de masculinidad</w:t>
            </w:r>
          </w:p>
        </w:tc>
      </w:tr>
      <w:tr w:rsidR="00000000">
        <w:trPr>
          <w:cantSplit/>
          <w:jc w:val="center"/>
        </w:trPr>
        <w:tc>
          <w:tcPr>
            <w:tcW w:w="1836" w:type="dxa"/>
            <w:vMerge/>
            <w:tcMar>
              <w:left w:w="68" w:type="dxa"/>
              <w:right w:w="68" w:type="dxa"/>
            </w:tcMar>
          </w:tcPr>
          <w:p w:rsidR="00000000" w:rsidRDefault="00000000">
            <w:pPr>
              <w:rPr>
                <w:b/>
              </w:rPr>
            </w:pPr>
          </w:p>
        </w:tc>
        <w:tc>
          <w:tcPr>
            <w:tcW w:w="1409" w:type="dxa"/>
            <w:tcMar>
              <w:left w:w="68" w:type="dxa"/>
              <w:right w:w="68" w:type="dxa"/>
            </w:tcMar>
          </w:tcPr>
          <w:p w:rsidR="00000000" w:rsidRDefault="00000000">
            <w:pPr>
              <w:jc w:val="center"/>
              <w:rPr>
                <w:b/>
              </w:rPr>
            </w:pPr>
            <w:r>
              <w:rPr>
                <w:b/>
              </w:rPr>
              <w:t>Hombres</w:t>
            </w:r>
          </w:p>
        </w:tc>
        <w:tc>
          <w:tcPr>
            <w:tcW w:w="1409" w:type="dxa"/>
            <w:tcMar>
              <w:left w:w="68" w:type="dxa"/>
              <w:right w:w="68" w:type="dxa"/>
            </w:tcMar>
          </w:tcPr>
          <w:p w:rsidR="00000000" w:rsidRDefault="00000000">
            <w:pPr>
              <w:jc w:val="center"/>
              <w:rPr>
                <w:b/>
              </w:rPr>
            </w:pPr>
            <w:r>
              <w:rPr>
                <w:b/>
              </w:rPr>
              <w:t>Mujeres</w:t>
            </w:r>
          </w:p>
        </w:tc>
        <w:tc>
          <w:tcPr>
            <w:tcW w:w="1409" w:type="dxa"/>
            <w:tcMar>
              <w:left w:w="68" w:type="dxa"/>
              <w:right w:w="68" w:type="dxa"/>
            </w:tcMar>
          </w:tcPr>
          <w:p w:rsidR="00000000" w:rsidRDefault="00000000">
            <w:pPr>
              <w:jc w:val="center"/>
              <w:rPr>
                <w:b/>
              </w:rPr>
            </w:pPr>
            <w:r>
              <w:rPr>
                <w:b/>
              </w:rPr>
              <w:t>Total</w:t>
            </w:r>
          </w:p>
        </w:tc>
        <w:tc>
          <w:tcPr>
            <w:tcW w:w="1783" w:type="dxa"/>
            <w:vMerge/>
            <w:tcMar>
              <w:left w:w="68" w:type="dxa"/>
              <w:right w:w="68" w:type="dxa"/>
            </w:tcMar>
          </w:tcPr>
          <w:p w:rsidR="00000000" w:rsidRDefault="00000000">
            <w:pPr>
              <w:rPr>
                <w:b/>
              </w:rPr>
            </w:pPr>
          </w:p>
        </w:tc>
      </w:tr>
      <w:tr w:rsidR="00000000">
        <w:trPr>
          <w:jc w:val="center"/>
        </w:trPr>
        <w:tc>
          <w:tcPr>
            <w:tcW w:w="1836" w:type="dxa"/>
            <w:tcMar>
              <w:left w:w="68" w:type="dxa"/>
              <w:right w:w="68" w:type="dxa"/>
            </w:tcMar>
          </w:tcPr>
          <w:p w:rsidR="00000000" w:rsidRDefault="00000000">
            <w:r>
              <w:t>Animista</w:t>
            </w:r>
          </w:p>
        </w:tc>
        <w:tc>
          <w:tcPr>
            <w:tcW w:w="1409" w:type="dxa"/>
            <w:tcMar>
              <w:left w:w="68" w:type="dxa"/>
              <w:right w:w="68" w:type="dxa"/>
            </w:tcMar>
            <w:vAlign w:val="bottom"/>
          </w:tcPr>
          <w:p w:rsidR="00000000" w:rsidRDefault="00000000">
            <w:pPr>
              <w:tabs>
                <w:tab w:val="decimal" w:pos="646"/>
              </w:tabs>
            </w:pPr>
            <w:r>
              <w:t>48,3</w:t>
            </w:r>
          </w:p>
        </w:tc>
        <w:tc>
          <w:tcPr>
            <w:tcW w:w="1409" w:type="dxa"/>
            <w:tcMar>
              <w:left w:w="68" w:type="dxa"/>
              <w:right w:w="68" w:type="dxa"/>
            </w:tcMar>
            <w:vAlign w:val="bottom"/>
          </w:tcPr>
          <w:p w:rsidR="00000000" w:rsidRDefault="00000000">
            <w:pPr>
              <w:tabs>
                <w:tab w:val="decimal" w:pos="637"/>
              </w:tabs>
            </w:pPr>
            <w:r>
              <w:t>51,7</w:t>
            </w:r>
          </w:p>
        </w:tc>
        <w:tc>
          <w:tcPr>
            <w:tcW w:w="1409" w:type="dxa"/>
            <w:tcMar>
              <w:left w:w="68" w:type="dxa"/>
              <w:right w:w="68" w:type="dxa"/>
            </w:tcMar>
            <w:vAlign w:val="bottom"/>
          </w:tcPr>
          <w:p w:rsidR="00000000" w:rsidRDefault="00000000">
            <w:pPr>
              <w:tabs>
                <w:tab w:val="decimal" w:pos="697"/>
              </w:tabs>
            </w:pPr>
            <w:r>
              <w:t>100,0</w:t>
            </w:r>
          </w:p>
        </w:tc>
        <w:tc>
          <w:tcPr>
            <w:tcW w:w="1783" w:type="dxa"/>
            <w:tcMar>
              <w:left w:w="68" w:type="dxa"/>
              <w:right w:w="68" w:type="dxa"/>
            </w:tcMar>
            <w:vAlign w:val="bottom"/>
          </w:tcPr>
          <w:p w:rsidR="00000000" w:rsidRDefault="00000000">
            <w:pPr>
              <w:tabs>
                <w:tab w:val="decimal" w:pos="870"/>
              </w:tabs>
            </w:pPr>
            <w:r>
              <w:t>93,4</w:t>
            </w:r>
          </w:p>
        </w:tc>
      </w:tr>
      <w:tr w:rsidR="00000000">
        <w:trPr>
          <w:jc w:val="center"/>
        </w:trPr>
        <w:tc>
          <w:tcPr>
            <w:tcW w:w="1836" w:type="dxa"/>
            <w:tcMar>
              <w:left w:w="68" w:type="dxa"/>
              <w:right w:w="68" w:type="dxa"/>
            </w:tcMar>
          </w:tcPr>
          <w:p w:rsidR="00000000" w:rsidRDefault="00000000">
            <w:r>
              <w:t>Católica</w:t>
            </w:r>
          </w:p>
        </w:tc>
        <w:tc>
          <w:tcPr>
            <w:tcW w:w="1409" w:type="dxa"/>
            <w:tcMar>
              <w:left w:w="68" w:type="dxa"/>
              <w:right w:w="68" w:type="dxa"/>
            </w:tcMar>
            <w:vAlign w:val="bottom"/>
          </w:tcPr>
          <w:p w:rsidR="00000000" w:rsidRDefault="00000000">
            <w:pPr>
              <w:tabs>
                <w:tab w:val="decimal" w:pos="646"/>
              </w:tabs>
            </w:pPr>
            <w:r>
              <w:t>47,1</w:t>
            </w:r>
          </w:p>
        </w:tc>
        <w:tc>
          <w:tcPr>
            <w:tcW w:w="1409" w:type="dxa"/>
            <w:tcMar>
              <w:left w:w="68" w:type="dxa"/>
              <w:right w:w="68" w:type="dxa"/>
            </w:tcMar>
            <w:vAlign w:val="bottom"/>
          </w:tcPr>
          <w:p w:rsidR="00000000" w:rsidRDefault="00000000">
            <w:pPr>
              <w:tabs>
                <w:tab w:val="decimal" w:pos="637"/>
              </w:tabs>
            </w:pPr>
            <w:r>
              <w:t>52,9</w:t>
            </w:r>
          </w:p>
        </w:tc>
        <w:tc>
          <w:tcPr>
            <w:tcW w:w="1409" w:type="dxa"/>
            <w:tcMar>
              <w:left w:w="68" w:type="dxa"/>
              <w:right w:w="68" w:type="dxa"/>
            </w:tcMar>
            <w:vAlign w:val="bottom"/>
          </w:tcPr>
          <w:p w:rsidR="00000000" w:rsidRDefault="00000000">
            <w:pPr>
              <w:tabs>
                <w:tab w:val="decimal" w:pos="697"/>
              </w:tabs>
            </w:pPr>
            <w:r>
              <w:t>100,0</w:t>
            </w:r>
          </w:p>
        </w:tc>
        <w:tc>
          <w:tcPr>
            <w:tcW w:w="1783" w:type="dxa"/>
            <w:tcMar>
              <w:left w:w="68" w:type="dxa"/>
              <w:right w:w="68" w:type="dxa"/>
            </w:tcMar>
            <w:vAlign w:val="bottom"/>
          </w:tcPr>
          <w:p w:rsidR="00000000" w:rsidRDefault="00000000">
            <w:pPr>
              <w:tabs>
                <w:tab w:val="decimal" w:pos="870"/>
              </w:tabs>
            </w:pPr>
            <w:r>
              <w:t>88,9</w:t>
            </w:r>
          </w:p>
        </w:tc>
      </w:tr>
      <w:tr w:rsidR="00000000">
        <w:trPr>
          <w:jc w:val="center"/>
        </w:trPr>
        <w:tc>
          <w:tcPr>
            <w:tcW w:w="1836" w:type="dxa"/>
            <w:tcMar>
              <w:left w:w="68" w:type="dxa"/>
              <w:right w:w="68" w:type="dxa"/>
            </w:tcMar>
          </w:tcPr>
          <w:p w:rsidR="00000000" w:rsidRDefault="00000000">
            <w:r>
              <w:t>Musulmana</w:t>
            </w:r>
          </w:p>
        </w:tc>
        <w:tc>
          <w:tcPr>
            <w:tcW w:w="1409" w:type="dxa"/>
            <w:tcMar>
              <w:left w:w="68" w:type="dxa"/>
              <w:right w:w="68" w:type="dxa"/>
            </w:tcMar>
            <w:vAlign w:val="bottom"/>
          </w:tcPr>
          <w:p w:rsidR="00000000" w:rsidRDefault="00000000">
            <w:pPr>
              <w:tabs>
                <w:tab w:val="decimal" w:pos="646"/>
              </w:tabs>
            </w:pPr>
            <w:r>
              <w:t>48,7</w:t>
            </w:r>
          </w:p>
        </w:tc>
        <w:tc>
          <w:tcPr>
            <w:tcW w:w="1409" w:type="dxa"/>
            <w:tcMar>
              <w:left w:w="68" w:type="dxa"/>
              <w:right w:w="68" w:type="dxa"/>
            </w:tcMar>
            <w:vAlign w:val="bottom"/>
          </w:tcPr>
          <w:p w:rsidR="00000000" w:rsidRDefault="00000000">
            <w:pPr>
              <w:tabs>
                <w:tab w:val="decimal" w:pos="637"/>
              </w:tabs>
            </w:pPr>
            <w:r>
              <w:t>51,3</w:t>
            </w:r>
          </w:p>
        </w:tc>
        <w:tc>
          <w:tcPr>
            <w:tcW w:w="1409" w:type="dxa"/>
            <w:tcMar>
              <w:left w:w="68" w:type="dxa"/>
              <w:right w:w="68" w:type="dxa"/>
            </w:tcMar>
            <w:vAlign w:val="bottom"/>
          </w:tcPr>
          <w:p w:rsidR="00000000" w:rsidRDefault="00000000">
            <w:pPr>
              <w:tabs>
                <w:tab w:val="decimal" w:pos="697"/>
              </w:tabs>
            </w:pPr>
            <w:r>
              <w:t>100,0</w:t>
            </w:r>
          </w:p>
        </w:tc>
        <w:tc>
          <w:tcPr>
            <w:tcW w:w="1783" w:type="dxa"/>
            <w:tcMar>
              <w:left w:w="68" w:type="dxa"/>
              <w:right w:w="68" w:type="dxa"/>
            </w:tcMar>
            <w:vAlign w:val="bottom"/>
          </w:tcPr>
          <w:p w:rsidR="00000000" w:rsidRDefault="00000000">
            <w:pPr>
              <w:tabs>
                <w:tab w:val="decimal" w:pos="870"/>
              </w:tabs>
            </w:pPr>
            <w:r>
              <w:t>95,1</w:t>
            </w:r>
          </w:p>
        </w:tc>
      </w:tr>
      <w:tr w:rsidR="00000000">
        <w:trPr>
          <w:jc w:val="center"/>
        </w:trPr>
        <w:tc>
          <w:tcPr>
            <w:tcW w:w="1836" w:type="dxa"/>
            <w:tcMar>
              <w:left w:w="68" w:type="dxa"/>
              <w:right w:w="68" w:type="dxa"/>
            </w:tcMar>
          </w:tcPr>
          <w:p w:rsidR="00000000" w:rsidRDefault="00000000">
            <w:r>
              <w:t>Protestante</w:t>
            </w:r>
          </w:p>
        </w:tc>
        <w:tc>
          <w:tcPr>
            <w:tcW w:w="1409" w:type="dxa"/>
            <w:tcMar>
              <w:left w:w="68" w:type="dxa"/>
              <w:right w:w="68" w:type="dxa"/>
            </w:tcMar>
            <w:vAlign w:val="bottom"/>
          </w:tcPr>
          <w:p w:rsidR="00000000" w:rsidRDefault="00000000">
            <w:pPr>
              <w:tabs>
                <w:tab w:val="decimal" w:pos="646"/>
              </w:tabs>
            </w:pPr>
            <w:r>
              <w:t>48,6</w:t>
            </w:r>
          </w:p>
        </w:tc>
        <w:tc>
          <w:tcPr>
            <w:tcW w:w="1409" w:type="dxa"/>
            <w:tcMar>
              <w:left w:w="68" w:type="dxa"/>
              <w:right w:w="68" w:type="dxa"/>
            </w:tcMar>
            <w:vAlign w:val="bottom"/>
          </w:tcPr>
          <w:p w:rsidR="00000000" w:rsidRDefault="00000000">
            <w:pPr>
              <w:tabs>
                <w:tab w:val="decimal" w:pos="637"/>
              </w:tabs>
            </w:pPr>
            <w:r>
              <w:t>51,4</w:t>
            </w:r>
          </w:p>
        </w:tc>
        <w:tc>
          <w:tcPr>
            <w:tcW w:w="1409" w:type="dxa"/>
            <w:tcMar>
              <w:left w:w="68" w:type="dxa"/>
              <w:right w:w="68" w:type="dxa"/>
            </w:tcMar>
            <w:vAlign w:val="bottom"/>
          </w:tcPr>
          <w:p w:rsidR="00000000" w:rsidRDefault="00000000">
            <w:pPr>
              <w:tabs>
                <w:tab w:val="decimal" w:pos="697"/>
              </w:tabs>
            </w:pPr>
            <w:r>
              <w:t>100,0</w:t>
            </w:r>
          </w:p>
        </w:tc>
        <w:tc>
          <w:tcPr>
            <w:tcW w:w="1783" w:type="dxa"/>
            <w:tcMar>
              <w:left w:w="68" w:type="dxa"/>
              <w:right w:w="68" w:type="dxa"/>
            </w:tcMar>
            <w:vAlign w:val="bottom"/>
          </w:tcPr>
          <w:p w:rsidR="00000000" w:rsidRDefault="00000000">
            <w:pPr>
              <w:tabs>
                <w:tab w:val="decimal" w:pos="870"/>
              </w:tabs>
            </w:pPr>
            <w:r>
              <w:t>94,5</w:t>
            </w:r>
          </w:p>
        </w:tc>
      </w:tr>
      <w:tr w:rsidR="00000000">
        <w:trPr>
          <w:jc w:val="center"/>
        </w:trPr>
        <w:tc>
          <w:tcPr>
            <w:tcW w:w="1836" w:type="dxa"/>
            <w:tcMar>
              <w:left w:w="68" w:type="dxa"/>
              <w:right w:w="68" w:type="dxa"/>
            </w:tcMar>
          </w:tcPr>
          <w:p w:rsidR="00000000" w:rsidRDefault="00000000">
            <w:r>
              <w:t>Otra</w:t>
            </w:r>
          </w:p>
        </w:tc>
        <w:tc>
          <w:tcPr>
            <w:tcW w:w="1409" w:type="dxa"/>
            <w:tcMar>
              <w:left w:w="68" w:type="dxa"/>
              <w:right w:w="68" w:type="dxa"/>
            </w:tcMar>
            <w:vAlign w:val="bottom"/>
          </w:tcPr>
          <w:p w:rsidR="00000000" w:rsidRDefault="00000000">
            <w:pPr>
              <w:tabs>
                <w:tab w:val="decimal" w:pos="646"/>
              </w:tabs>
            </w:pPr>
            <w:r>
              <w:t>53,3</w:t>
            </w:r>
          </w:p>
        </w:tc>
        <w:tc>
          <w:tcPr>
            <w:tcW w:w="1409" w:type="dxa"/>
            <w:tcMar>
              <w:left w:w="68" w:type="dxa"/>
              <w:right w:w="68" w:type="dxa"/>
            </w:tcMar>
            <w:vAlign w:val="bottom"/>
          </w:tcPr>
          <w:p w:rsidR="00000000" w:rsidRDefault="00000000">
            <w:pPr>
              <w:tabs>
                <w:tab w:val="decimal" w:pos="637"/>
              </w:tabs>
            </w:pPr>
            <w:r>
              <w:t>46,7</w:t>
            </w:r>
          </w:p>
        </w:tc>
        <w:tc>
          <w:tcPr>
            <w:tcW w:w="1409" w:type="dxa"/>
            <w:tcMar>
              <w:left w:w="68" w:type="dxa"/>
              <w:right w:w="68" w:type="dxa"/>
            </w:tcMar>
            <w:vAlign w:val="bottom"/>
          </w:tcPr>
          <w:p w:rsidR="00000000" w:rsidRDefault="00000000">
            <w:pPr>
              <w:tabs>
                <w:tab w:val="decimal" w:pos="697"/>
              </w:tabs>
            </w:pPr>
            <w:r>
              <w:t>100,0</w:t>
            </w:r>
          </w:p>
        </w:tc>
        <w:tc>
          <w:tcPr>
            <w:tcW w:w="1783" w:type="dxa"/>
            <w:tcMar>
              <w:left w:w="68" w:type="dxa"/>
              <w:right w:w="68" w:type="dxa"/>
            </w:tcMar>
            <w:vAlign w:val="bottom"/>
          </w:tcPr>
          <w:p w:rsidR="00000000" w:rsidRDefault="00000000">
            <w:pPr>
              <w:tabs>
                <w:tab w:val="decimal" w:pos="870"/>
              </w:tabs>
            </w:pPr>
            <w:r>
              <w:t>114,3</w:t>
            </w:r>
          </w:p>
        </w:tc>
      </w:tr>
      <w:tr w:rsidR="00000000">
        <w:trPr>
          <w:jc w:val="center"/>
        </w:trPr>
        <w:tc>
          <w:tcPr>
            <w:tcW w:w="1836" w:type="dxa"/>
            <w:tcMar>
              <w:left w:w="68" w:type="dxa"/>
              <w:right w:w="68" w:type="dxa"/>
            </w:tcMar>
          </w:tcPr>
          <w:p w:rsidR="00000000" w:rsidRDefault="00000000">
            <w:r>
              <w:t>Ninguna</w:t>
            </w:r>
          </w:p>
        </w:tc>
        <w:tc>
          <w:tcPr>
            <w:tcW w:w="1409" w:type="dxa"/>
            <w:tcMar>
              <w:left w:w="68" w:type="dxa"/>
              <w:right w:w="68" w:type="dxa"/>
            </w:tcMar>
            <w:vAlign w:val="bottom"/>
          </w:tcPr>
          <w:p w:rsidR="00000000" w:rsidRDefault="00000000">
            <w:pPr>
              <w:tabs>
                <w:tab w:val="decimal" w:pos="646"/>
              </w:tabs>
            </w:pPr>
            <w:r>
              <w:t>52,1</w:t>
            </w:r>
          </w:p>
        </w:tc>
        <w:tc>
          <w:tcPr>
            <w:tcW w:w="1409" w:type="dxa"/>
            <w:tcMar>
              <w:left w:w="68" w:type="dxa"/>
              <w:right w:w="68" w:type="dxa"/>
            </w:tcMar>
            <w:vAlign w:val="bottom"/>
          </w:tcPr>
          <w:p w:rsidR="00000000" w:rsidRDefault="00000000">
            <w:pPr>
              <w:tabs>
                <w:tab w:val="decimal" w:pos="637"/>
              </w:tabs>
            </w:pPr>
            <w:r>
              <w:t>47,9</w:t>
            </w:r>
          </w:p>
        </w:tc>
        <w:tc>
          <w:tcPr>
            <w:tcW w:w="1409" w:type="dxa"/>
            <w:tcMar>
              <w:left w:w="68" w:type="dxa"/>
              <w:right w:w="68" w:type="dxa"/>
            </w:tcMar>
            <w:vAlign w:val="bottom"/>
          </w:tcPr>
          <w:p w:rsidR="00000000" w:rsidRDefault="00000000">
            <w:pPr>
              <w:tabs>
                <w:tab w:val="decimal" w:pos="697"/>
              </w:tabs>
            </w:pPr>
            <w:r>
              <w:t>100,0</w:t>
            </w:r>
          </w:p>
        </w:tc>
        <w:tc>
          <w:tcPr>
            <w:tcW w:w="1783" w:type="dxa"/>
            <w:tcMar>
              <w:left w:w="68" w:type="dxa"/>
              <w:right w:w="68" w:type="dxa"/>
            </w:tcMar>
            <w:vAlign w:val="bottom"/>
          </w:tcPr>
          <w:p w:rsidR="00000000" w:rsidRDefault="00000000">
            <w:pPr>
              <w:tabs>
                <w:tab w:val="decimal" w:pos="870"/>
              </w:tabs>
            </w:pPr>
            <w:r>
              <w:t>108,6</w:t>
            </w:r>
          </w:p>
        </w:tc>
      </w:tr>
      <w:tr w:rsidR="00000000">
        <w:trPr>
          <w:jc w:val="center"/>
        </w:trPr>
        <w:tc>
          <w:tcPr>
            <w:tcW w:w="1836" w:type="dxa"/>
            <w:tcMar>
              <w:left w:w="68" w:type="dxa"/>
              <w:right w:w="68" w:type="dxa"/>
            </w:tcMar>
          </w:tcPr>
          <w:p w:rsidR="00000000" w:rsidRDefault="00000000">
            <w:r>
              <w:t>Indeterminada</w:t>
            </w:r>
          </w:p>
        </w:tc>
        <w:tc>
          <w:tcPr>
            <w:tcW w:w="1409" w:type="dxa"/>
            <w:tcMar>
              <w:left w:w="68" w:type="dxa"/>
              <w:right w:w="68" w:type="dxa"/>
            </w:tcMar>
            <w:vAlign w:val="bottom"/>
          </w:tcPr>
          <w:p w:rsidR="00000000" w:rsidRDefault="00000000">
            <w:pPr>
              <w:tabs>
                <w:tab w:val="decimal" w:pos="646"/>
              </w:tabs>
            </w:pPr>
            <w:r>
              <w:t>45,7</w:t>
            </w:r>
          </w:p>
        </w:tc>
        <w:tc>
          <w:tcPr>
            <w:tcW w:w="1409" w:type="dxa"/>
            <w:tcMar>
              <w:left w:w="68" w:type="dxa"/>
              <w:right w:w="68" w:type="dxa"/>
            </w:tcMar>
            <w:vAlign w:val="bottom"/>
          </w:tcPr>
          <w:p w:rsidR="00000000" w:rsidRDefault="00000000">
            <w:pPr>
              <w:tabs>
                <w:tab w:val="decimal" w:pos="637"/>
              </w:tabs>
            </w:pPr>
            <w:r>
              <w:t>54,3</w:t>
            </w:r>
          </w:p>
        </w:tc>
        <w:tc>
          <w:tcPr>
            <w:tcW w:w="1409" w:type="dxa"/>
            <w:tcMar>
              <w:left w:w="68" w:type="dxa"/>
              <w:right w:w="68" w:type="dxa"/>
            </w:tcMar>
            <w:vAlign w:val="bottom"/>
          </w:tcPr>
          <w:p w:rsidR="00000000" w:rsidRDefault="00000000">
            <w:pPr>
              <w:tabs>
                <w:tab w:val="decimal" w:pos="697"/>
              </w:tabs>
            </w:pPr>
            <w:r>
              <w:t>100,0</w:t>
            </w:r>
          </w:p>
        </w:tc>
        <w:tc>
          <w:tcPr>
            <w:tcW w:w="1783" w:type="dxa"/>
            <w:tcMar>
              <w:left w:w="68" w:type="dxa"/>
              <w:right w:w="68" w:type="dxa"/>
            </w:tcMar>
            <w:vAlign w:val="bottom"/>
          </w:tcPr>
          <w:p w:rsidR="00000000" w:rsidRDefault="00000000">
            <w:pPr>
              <w:tabs>
                <w:tab w:val="decimal" w:pos="870"/>
              </w:tabs>
            </w:pPr>
            <w:r>
              <w:t>84,2</w:t>
            </w:r>
          </w:p>
        </w:tc>
      </w:tr>
      <w:tr w:rsidR="00000000">
        <w:trPr>
          <w:jc w:val="center"/>
        </w:trPr>
        <w:tc>
          <w:tcPr>
            <w:tcW w:w="1836" w:type="dxa"/>
            <w:tcMar>
              <w:left w:w="68" w:type="dxa"/>
              <w:right w:w="68" w:type="dxa"/>
            </w:tcMar>
          </w:tcPr>
          <w:p w:rsidR="00000000" w:rsidRDefault="00000000">
            <w:pPr>
              <w:ind w:left="224"/>
              <w:rPr>
                <w:b/>
              </w:rPr>
            </w:pPr>
            <w:r>
              <w:rPr>
                <w:b/>
              </w:rPr>
              <w:t>Total</w:t>
            </w:r>
          </w:p>
        </w:tc>
        <w:tc>
          <w:tcPr>
            <w:tcW w:w="1409" w:type="dxa"/>
            <w:tcMar>
              <w:left w:w="68" w:type="dxa"/>
              <w:right w:w="68" w:type="dxa"/>
            </w:tcMar>
            <w:vAlign w:val="bottom"/>
          </w:tcPr>
          <w:p w:rsidR="00000000" w:rsidRDefault="00000000">
            <w:pPr>
              <w:tabs>
                <w:tab w:val="decimal" w:pos="646"/>
              </w:tabs>
              <w:rPr>
                <w:b/>
                <w:bCs/>
              </w:rPr>
            </w:pPr>
            <w:r>
              <w:rPr>
                <w:b/>
                <w:bCs/>
              </w:rPr>
              <w:t>48,5</w:t>
            </w:r>
          </w:p>
        </w:tc>
        <w:tc>
          <w:tcPr>
            <w:tcW w:w="1409" w:type="dxa"/>
            <w:tcMar>
              <w:left w:w="68" w:type="dxa"/>
              <w:right w:w="68" w:type="dxa"/>
            </w:tcMar>
            <w:vAlign w:val="bottom"/>
          </w:tcPr>
          <w:p w:rsidR="00000000" w:rsidRDefault="00000000">
            <w:pPr>
              <w:tabs>
                <w:tab w:val="decimal" w:pos="637"/>
              </w:tabs>
              <w:rPr>
                <w:b/>
                <w:bCs/>
              </w:rPr>
            </w:pPr>
            <w:r>
              <w:rPr>
                <w:b/>
                <w:bCs/>
              </w:rPr>
              <w:t>51,5</w:t>
            </w:r>
          </w:p>
        </w:tc>
        <w:tc>
          <w:tcPr>
            <w:tcW w:w="1409" w:type="dxa"/>
            <w:tcMar>
              <w:left w:w="68" w:type="dxa"/>
              <w:right w:w="68" w:type="dxa"/>
            </w:tcMar>
            <w:vAlign w:val="bottom"/>
          </w:tcPr>
          <w:p w:rsidR="00000000" w:rsidRDefault="00000000">
            <w:pPr>
              <w:tabs>
                <w:tab w:val="decimal" w:pos="697"/>
              </w:tabs>
              <w:rPr>
                <w:b/>
                <w:bCs/>
              </w:rPr>
            </w:pPr>
            <w:r>
              <w:rPr>
                <w:b/>
                <w:bCs/>
              </w:rPr>
              <w:t>100,0</w:t>
            </w:r>
          </w:p>
        </w:tc>
        <w:tc>
          <w:tcPr>
            <w:tcW w:w="1783" w:type="dxa"/>
            <w:tcMar>
              <w:left w:w="68" w:type="dxa"/>
              <w:right w:w="68" w:type="dxa"/>
            </w:tcMar>
            <w:vAlign w:val="bottom"/>
          </w:tcPr>
          <w:p w:rsidR="00000000" w:rsidRDefault="00000000">
            <w:pPr>
              <w:tabs>
                <w:tab w:val="decimal" w:pos="870"/>
              </w:tabs>
              <w:rPr>
                <w:b/>
                <w:bCs/>
              </w:rPr>
            </w:pPr>
            <w:r>
              <w:rPr>
                <w:b/>
                <w:bCs/>
              </w:rPr>
              <w:t>94,4</w:t>
            </w:r>
          </w:p>
        </w:tc>
      </w:tr>
    </w:tbl>
    <w:p w:rsidR="00000000" w:rsidRDefault="00000000">
      <w:pPr>
        <w:spacing w:before="220" w:after="480"/>
        <w:ind w:left="756"/>
      </w:pPr>
      <w:r>
        <w:rPr>
          <w:i/>
        </w:rPr>
        <w:t>Fuente:</w:t>
      </w:r>
      <w:r>
        <w:t xml:space="preserve">  RGPH de 1993.</w:t>
      </w:r>
    </w:p>
    <w:p w:rsidR="00000000" w:rsidRDefault="00000000">
      <w:pPr>
        <w:spacing w:after="200"/>
        <w:rPr>
          <w:b/>
        </w:rPr>
      </w:pPr>
      <w:r>
        <w:rPr>
          <w:b/>
        </w:rPr>
        <w:t>5.</w:t>
      </w:r>
      <w:r>
        <w:rPr>
          <w:b/>
        </w:rPr>
        <w:tab/>
        <w:t>Religión y zona de residencia</w:t>
      </w:r>
    </w:p>
    <w:p w:rsidR="00000000" w:rsidRDefault="00000000">
      <w:pPr>
        <w:spacing w:after="200"/>
      </w:pPr>
      <w:r>
        <w:t>41.</w:t>
      </w:r>
      <w:r>
        <w:tab/>
        <w:t>Cualquiera que sea la zona de residencia, las religiones importadas predominan.  Los musulmanes son mayoritarios, tanto en las ciudades (59,7%) como en el campo (52,3%).  Los cristianos constituyen el 35,6 y el 34,5% respectivamente de la población total urbana y rural.</w:t>
      </w:r>
    </w:p>
    <w:p w:rsidR="00000000" w:rsidRDefault="00000000">
      <w:pPr>
        <w:spacing w:after="220"/>
        <w:jc w:val="center"/>
        <w:rPr>
          <w:b/>
          <w:sz w:val="22"/>
          <w:szCs w:val="22"/>
        </w:rPr>
      </w:pPr>
      <w:r>
        <w:rPr>
          <w:b/>
          <w:sz w:val="22"/>
          <w:szCs w:val="22"/>
        </w:rPr>
        <w:t>Cuadro 9</w:t>
      </w:r>
    </w:p>
    <w:p w:rsidR="00000000" w:rsidRDefault="00000000">
      <w:pPr>
        <w:spacing w:after="220"/>
        <w:jc w:val="center"/>
        <w:rPr>
          <w:b/>
          <w:sz w:val="22"/>
          <w:szCs w:val="22"/>
        </w:rPr>
      </w:pPr>
      <w:r>
        <w:rPr>
          <w:b/>
          <w:sz w:val="22"/>
          <w:szCs w:val="22"/>
        </w:rPr>
        <w:t>Distribución de la población residente por zonas de residencia según la religión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Pr>
      <w:tblGrid>
        <w:gridCol w:w="1522"/>
        <w:gridCol w:w="1328"/>
        <w:gridCol w:w="1328"/>
        <w:gridCol w:w="1328"/>
        <w:gridCol w:w="1328"/>
        <w:gridCol w:w="1328"/>
        <w:gridCol w:w="1329"/>
      </w:tblGrid>
      <w:tr w:rsidR="00000000">
        <w:trPr>
          <w:cantSplit/>
        </w:trPr>
        <w:tc>
          <w:tcPr>
            <w:tcW w:w="1522" w:type="dxa"/>
            <w:vMerge w:val="restart"/>
            <w:tcMar>
              <w:left w:w="68" w:type="dxa"/>
              <w:right w:w="68" w:type="dxa"/>
            </w:tcMar>
            <w:vAlign w:val="center"/>
          </w:tcPr>
          <w:p w:rsidR="00000000" w:rsidRDefault="00000000">
            <w:pPr>
              <w:jc w:val="center"/>
              <w:rPr>
                <w:b/>
                <w:sz w:val="22"/>
                <w:szCs w:val="22"/>
              </w:rPr>
            </w:pPr>
            <w:r>
              <w:rPr>
                <w:b/>
                <w:sz w:val="22"/>
                <w:szCs w:val="22"/>
              </w:rPr>
              <w:t>Religión</w:t>
            </w:r>
          </w:p>
        </w:tc>
        <w:tc>
          <w:tcPr>
            <w:tcW w:w="3984" w:type="dxa"/>
            <w:gridSpan w:val="3"/>
            <w:tcMar>
              <w:left w:w="68" w:type="dxa"/>
              <w:right w:w="68" w:type="dxa"/>
            </w:tcMar>
          </w:tcPr>
          <w:p w:rsidR="00000000" w:rsidRDefault="00000000">
            <w:pPr>
              <w:jc w:val="center"/>
              <w:rPr>
                <w:b/>
                <w:sz w:val="22"/>
                <w:szCs w:val="22"/>
              </w:rPr>
            </w:pPr>
            <w:r>
              <w:rPr>
                <w:b/>
                <w:sz w:val="22"/>
                <w:szCs w:val="22"/>
              </w:rPr>
              <w:t>Número</w:t>
            </w:r>
          </w:p>
        </w:tc>
        <w:tc>
          <w:tcPr>
            <w:tcW w:w="3985" w:type="dxa"/>
            <w:gridSpan w:val="3"/>
            <w:tcMar>
              <w:left w:w="68" w:type="dxa"/>
              <w:right w:w="68" w:type="dxa"/>
            </w:tcMar>
          </w:tcPr>
          <w:p w:rsidR="00000000" w:rsidRDefault="00000000">
            <w:pPr>
              <w:jc w:val="center"/>
              <w:rPr>
                <w:b/>
                <w:sz w:val="22"/>
                <w:szCs w:val="22"/>
              </w:rPr>
            </w:pPr>
            <w:r>
              <w:rPr>
                <w:b/>
                <w:sz w:val="22"/>
                <w:szCs w:val="22"/>
              </w:rPr>
              <w:t>Proporción</w:t>
            </w:r>
          </w:p>
        </w:tc>
      </w:tr>
      <w:tr w:rsidR="00000000">
        <w:trPr>
          <w:cantSplit/>
        </w:trPr>
        <w:tc>
          <w:tcPr>
            <w:tcW w:w="1522" w:type="dxa"/>
            <w:vMerge/>
            <w:tcMar>
              <w:left w:w="68" w:type="dxa"/>
              <w:right w:w="68" w:type="dxa"/>
            </w:tcMar>
          </w:tcPr>
          <w:p w:rsidR="00000000" w:rsidRDefault="00000000">
            <w:pPr>
              <w:rPr>
                <w:b/>
                <w:sz w:val="22"/>
                <w:szCs w:val="22"/>
              </w:rPr>
            </w:pPr>
          </w:p>
        </w:tc>
        <w:tc>
          <w:tcPr>
            <w:tcW w:w="1328" w:type="dxa"/>
            <w:tcMar>
              <w:left w:w="68" w:type="dxa"/>
              <w:right w:w="68" w:type="dxa"/>
            </w:tcMar>
          </w:tcPr>
          <w:p w:rsidR="00000000" w:rsidRDefault="00000000">
            <w:pPr>
              <w:jc w:val="center"/>
              <w:rPr>
                <w:b/>
                <w:sz w:val="22"/>
                <w:szCs w:val="22"/>
              </w:rPr>
            </w:pPr>
            <w:r>
              <w:rPr>
                <w:b/>
                <w:sz w:val="22"/>
                <w:szCs w:val="22"/>
              </w:rPr>
              <w:t>Urbana</w:t>
            </w:r>
          </w:p>
        </w:tc>
        <w:tc>
          <w:tcPr>
            <w:tcW w:w="1328" w:type="dxa"/>
            <w:tcMar>
              <w:left w:w="68" w:type="dxa"/>
              <w:right w:w="68" w:type="dxa"/>
            </w:tcMar>
          </w:tcPr>
          <w:p w:rsidR="00000000" w:rsidRDefault="00000000">
            <w:pPr>
              <w:jc w:val="center"/>
              <w:rPr>
                <w:b/>
                <w:sz w:val="22"/>
                <w:szCs w:val="22"/>
              </w:rPr>
            </w:pPr>
            <w:r>
              <w:rPr>
                <w:b/>
                <w:sz w:val="22"/>
                <w:szCs w:val="22"/>
              </w:rPr>
              <w:t>Rural</w:t>
            </w:r>
          </w:p>
        </w:tc>
        <w:tc>
          <w:tcPr>
            <w:tcW w:w="1328" w:type="dxa"/>
            <w:tcMar>
              <w:left w:w="68" w:type="dxa"/>
              <w:right w:w="68" w:type="dxa"/>
            </w:tcMar>
          </w:tcPr>
          <w:p w:rsidR="00000000" w:rsidRDefault="00000000">
            <w:pPr>
              <w:jc w:val="center"/>
              <w:rPr>
                <w:b/>
                <w:sz w:val="22"/>
                <w:szCs w:val="22"/>
              </w:rPr>
            </w:pPr>
            <w:r>
              <w:rPr>
                <w:b/>
                <w:sz w:val="22"/>
                <w:szCs w:val="22"/>
              </w:rPr>
              <w:t>General</w:t>
            </w:r>
          </w:p>
        </w:tc>
        <w:tc>
          <w:tcPr>
            <w:tcW w:w="1328" w:type="dxa"/>
            <w:tcMar>
              <w:left w:w="68" w:type="dxa"/>
              <w:right w:w="68" w:type="dxa"/>
            </w:tcMar>
          </w:tcPr>
          <w:p w:rsidR="00000000" w:rsidRDefault="00000000">
            <w:pPr>
              <w:jc w:val="center"/>
              <w:rPr>
                <w:b/>
                <w:sz w:val="22"/>
                <w:szCs w:val="22"/>
              </w:rPr>
            </w:pPr>
            <w:r>
              <w:rPr>
                <w:b/>
                <w:sz w:val="22"/>
                <w:szCs w:val="22"/>
              </w:rPr>
              <w:t>Urbana</w:t>
            </w:r>
          </w:p>
        </w:tc>
        <w:tc>
          <w:tcPr>
            <w:tcW w:w="1328" w:type="dxa"/>
            <w:tcMar>
              <w:left w:w="68" w:type="dxa"/>
              <w:right w:w="68" w:type="dxa"/>
            </w:tcMar>
          </w:tcPr>
          <w:p w:rsidR="00000000" w:rsidRDefault="00000000">
            <w:pPr>
              <w:jc w:val="center"/>
              <w:rPr>
                <w:b/>
                <w:sz w:val="22"/>
                <w:szCs w:val="22"/>
              </w:rPr>
            </w:pPr>
            <w:r>
              <w:rPr>
                <w:b/>
                <w:sz w:val="22"/>
                <w:szCs w:val="22"/>
              </w:rPr>
              <w:t>Rural</w:t>
            </w:r>
          </w:p>
        </w:tc>
        <w:tc>
          <w:tcPr>
            <w:tcW w:w="1329" w:type="dxa"/>
            <w:tcMar>
              <w:left w:w="68" w:type="dxa"/>
              <w:right w:w="68" w:type="dxa"/>
            </w:tcMar>
          </w:tcPr>
          <w:p w:rsidR="00000000" w:rsidRDefault="00000000">
            <w:pPr>
              <w:jc w:val="center"/>
              <w:rPr>
                <w:b/>
                <w:sz w:val="22"/>
                <w:szCs w:val="22"/>
              </w:rPr>
            </w:pPr>
            <w:r>
              <w:rPr>
                <w:b/>
                <w:sz w:val="22"/>
                <w:szCs w:val="22"/>
              </w:rPr>
              <w:t>General</w:t>
            </w:r>
          </w:p>
        </w:tc>
      </w:tr>
      <w:tr w:rsidR="00000000">
        <w:tc>
          <w:tcPr>
            <w:tcW w:w="1522" w:type="dxa"/>
            <w:tcMar>
              <w:left w:w="68" w:type="dxa"/>
              <w:right w:w="68" w:type="dxa"/>
            </w:tcMar>
          </w:tcPr>
          <w:p w:rsidR="00000000" w:rsidRDefault="00000000">
            <w:pPr>
              <w:rPr>
                <w:sz w:val="22"/>
                <w:szCs w:val="22"/>
              </w:rPr>
            </w:pPr>
            <w:r>
              <w:rPr>
                <w:sz w:val="22"/>
                <w:szCs w:val="22"/>
              </w:rPr>
              <w:t>Animista</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25.098</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430.966</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456.064</w:t>
            </w:r>
          </w:p>
        </w:tc>
        <w:tc>
          <w:tcPr>
            <w:tcW w:w="1328" w:type="dxa"/>
            <w:tcMar>
              <w:left w:w="68" w:type="dxa"/>
              <w:right w:w="68" w:type="dxa"/>
            </w:tcMar>
            <w:vAlign w:val="bottom"/>
          </w:tcPr>
          <w:p w:rsidR="00000000" w:rsidRDefault="00000000">
            <w:pPr>
              <w:tabs>
                <w:tab w:val="decimal" w:pos="709"/>
              </w:tabs>
              <w:rPr>
                <w:sz w:val="22"/>
                <w:szCs w:val="22"/>
              </w:rPr>
            </w:pPr>
            <w:r>
              <w:rPr>
                <w:sz w:val="22"/>
                <w:szCs w:val="22"/>
              </w:rPr>
              <w:t>1,9</w:t>
            </w:r>
          </w:p>
        </w:tc>
        <w:tc>
          <w:tcPr>
            <w:tcW w:w="1328" w:type="dxa"/>
            <w:tcMar>
              <w:left w:w="68" w:type="dxa"/>
              <w:right w:w="68" w:type="dxa"/>
            </w:tcMar>
            <w:vAlign w:val="bottom"/>
          </w:tcPr>
          <w:p w:rsidR="00000000" w:rsidRDefault="00000000">
            <w:pPr>
              <w:tabs>
                <w:tab w:val="decimal" w:pos="709"/>
              </w:tabs>
              <w:rPr>
                <w:sz w:val="22"/>
                <w:szCs w:val="22"/>
              </w:rPr>
            </w:pPr>
            <w:r>
              <w:rPr>
                <w:sz w:val="22"/>
                <w:szCs w:val="22"/>
              </w:rPr>
              <w:t>8,9</w:t>
            </w:r>
          </w:p>
        </w:tc>
        <w:tc>
          <w:tcPr>
            <w:tcW w:w="1329" w:type="dxa"/>
            <w:tcMar>
              <w:left w:w="68" w:type="dxa"/>
              <w:right w:w="68" w:type="dxa"/>
            </w:tcMar>
            <w:vAlign w:val="bottom"/>
          </w:tcPr>
          <w:p w:rsidR="00000000" w:rsidRDefault="00000000">
            <w:pPr>
              <w:tabs>
                <w:tab w:val="decimal" w:pos="709"/>
              </w:tabs>
              <w:rPr>
                <w:sz w:val="22"/>
                <w:szCs w:val="22"/>
              </w:rPr>
            </w:pPr>
            <w:r>
              <w:rPr>
                <w:sz w:val="22"/>
                <w:szCs w:val="22"/>
              </w:rPr>
              <w:t>7,4</w:t>
            </w:r>
          </w:p>
        </w:tc>
      </w:tr>
      <w:tr w:rsidR="00000000">
        <w:tc>
          <w:tcPr>
            <w:tcW w:w="1522" w:type="dxa"/>
            <w:tcMar>
              <w:left w:w="68" w:type="dxa"/>
              <w:right w:w="68" w:type="dxa"/>
            </w:tcMar>
          </w:tcPr>
          <w:p w:rsidR="00000000" w:rsidRDefault="00000000">
            <w:pPr>
              <w:rPr>
                <w:sz w:val="22"/>
                <w:szCs w:val="22"/>
              </w:rPr>
            </w:pPr>
            <w:r>
              <w:rPr>
                <w:sz w:val="22"/>
                <w:szCs w:val="22"/>
              </w:rPr>
              <w:t>Católica</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245.788</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1.014.724</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1.260.512</w:t>
            </w:r>
          </w:p>
        </w:tc>
        <w:tc>
          <w:tcPr>
            <w:tcW w:w="1328" w:type="dxa"/>
            <w:tcMar>
              <w:left w:w="68" w:type="dxa"/>
              <w:right w:w="68" w:type="dxa"/>
            </w:tcMar>
            <w:vAlign w:val="bottom"/>
          </w:tcPr>
          <w:p w:rsidR="00000000" w:rsidRDefault="00000000">
            <w:pPr>
              <w:tabs>
                <w:tab w:val="decimal" w:pos="709"/>
              </w:tabs>
              <w:rPr>
                <w:sz w:val="22"/>
                <w:szCs w:val="22"/>
              </w:rPr>
            </w:pPr>
            <w:r>
              <w:rPr>
                <w:sz w:val="22"/>
                <w:szCs w:val="22"/>
              </w:rPr>
              <w:t>18,6</w:t>
            </w:r>
          </w:p>
        </w:tc>
        <w:tc>
          <w:tcPr>
            <w:tcW w:w="1328" w:type="dxa"/>
            <w:tcMar>
              <w:left w:w="68" w:type="dxa"/>
              <w:right w:w="68" w:type="dxa"/>
            </w:tcMar>
            <w:vAlign w:val="bottom"/>
          </w:tcPr>
          <w:p w:rsidR="00000000" w:rsidRDefault="00000000">
            <w:pPr>
              <w:tabs>
                <w:tab w:val="decimal" w:pos="709"/>
              </w:tabs>
              <w:rPr>
                <w:sz w:val="22"/>
                <w:szCs w:val="22"/>
              </w:rPr>
            </w:pPr>
            <w:r>
              <w:rPr>
                <w:sz w:val="22"/>
                <w:szCs w:val="22"/>
              </w:rPr>
              <w:t>20,8</w:t>
            </w:r>
          </w:p>
        </w:tc>
        <w:tc>
          <w:tcPr>
            <w:tcW w:w="1329" w:type="dxa"/>
            <w:tcMar>
              <w:left w:w="68" w:type="dxa"/>
              <w:right w:w="68" w:type="dxa"/>
            </w:tcMar>
            <w:vAlign w:val="bottom"/>
          </w:tcPr>
          <w:p w:rsidR="00000000" w:rsidRDefault="00000000">
            <w:pPr>
              <w:tabs>
                <w:tab w:val="decimal" w:pos="709"/>
              </w:tabs>
              <w:rPr>
                <w:sz w:val="22"/>
                <w:szCs w:val="22"/>
              </w:rPr>
            </w:pPr>
            <w:r>
              <w:rPr>
                <w:sz w:val="22"/>
                <w:szCs w:val="22"/>
              </w:rPr>
              <w:t>20,4</w:t>
            </w:r>
          </w:p>
        </w:tc>
      </w:tr>
      <w:tr w:rsidR="00000000">
        <w:tc>
          <w:tcPr>
            <w:tcW w:w="1522" w:type="dxa"/>
            <w:tcMar>
              <w:left w:w="68" w:type="dxa"/>
              <w:right w:w="68" w:type="dxa"/>
            </w:tcMar>
          </w:tcPr>
          <w:p w:rsidR="00000000" w:rsidRDefault="00000000">
            <w:pPr>
              <w:rPr>
                <w:sz w:val="22"/>
                <w:szCs w:val="22"/>
              </w:rPr>
            </w:pPr>
            <w:r>
              <w:rPr>
                <w:sz w:val="22"/>
                <w:szCs w:val="22"/>
              </w:rPr>
              <w:t>Musulmana</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790.544</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3.335.869</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3.335.869</w:t>
            </w:r>
          </w:p>
        </w:tc>
        <w:tc>
          <w:tcPr>
            <w:tcW w:w="1328" w:type="dxa"/>
            <w:tcMar>
              <w:left w:w="68" w:type="dxa"/>
              <w:right w:w="68" w:type="dxa"/>
            </w:tcMar>
            <w:vAlign w:val="bottom"/>
          </w:tcPr>
          <w:p w:rsidR="00000000" w:rsidRDefault="00000000">
            <w:pPr>
              <w:tabs>
                <w:tab w:val="decimal" w:pos="709"/>
              </w:tabs>
              <w:rPr>
                <w:sz w:val="22"/>
                <w:szCs w:val="22"/>
              </w:rPr>
            </w:pPr>
            <w:r>
              <w:rPr>
                <w:sz w:val="22"/>
                <w:szCs w:val="22"/>
              </w:rPr>
              <w:t>59,7</w:t>
            </w:r>
          </w:p>
        </w:tc>
        <w:tc>
          <w:tcPr>
            <w:tcW w:w="1328" w:type="dxa"/>
            <w:tcMar>
              <w:left w:w="68" w:type="dxa"/>
              <w:right w:w="68" w:type="dxa"/>
            </w:tcMar>
            <w:vAlign w:val="bottom"/>
          </w:tcPr>
          <w:p w:rsidR="00000000" w:rsidRDefault="00000000">
            <w:pPr>
              <w:tabs>
                <w:tab w:val="decimal" w:pos="709"/>
              </w:tabs>
              <w:rPr>
                <w:sz w:val="22"/>
                <w:szCs w:val="22"/>
              </w:rPr>
            </w:pPr>
            <w:r>
              <w:rPr>
                <w:sz w:val="22"/>
                <w:szCs w:val="22"/>
              </w:rPr>
              <w:t>52,3</w:t>
            </w:r>
          </w:p>
        </w:tc>
        <w:tc>
          <w:tcPr>
            <w:tcW w:w="1329" w:type="dxa"/>
            <w:tcMar>
              <w:left w:w="68" w:type="dxa"/>
              <w:right w:w="68" w:type="dxa"/>
            </w:tcMar>
            <w:vAlign w:val="bottom"/>
          </w:tcPr>
          <w:p w:rsidR="00000000" w:rsidRDefault="00000000">
            <w:pPr>
              <w:tabs>
                <w:tab w:val="decimal" w:pos="709"/>
              </w:tabs>
              <w:rPr>
                <w:sz w:val="22"/>
                <w:szCs w:val="22"/>
              </w:rPr>
            </w:pPr>
            <w:r>
              <w:rPr>
                <w:sz w:val="22"/>
                <w:szCs w:val="22"/>
              </w:rPr>
              <w:t>53,9</w:t>
            </w:r>
          </w:p>
        </w:tc>
      </w:tr>
      <w:tr w:rsidR="00000000">
        <w:tc>
          <w:tcPr>
            <w:tcW w:w="1522" w:type="dxa"/>
            <w:tcMar>
              <w:left w:w="68" w:type="dxa"/>
              <w:right w:w="68" w:type="dxa"/>
            </w:tcMar>
          </w:tcPr>
          <w:p w:rsidR="00000000" w:rsidRDefault="00000000">
            <w:pPr>
              <w:rPr>
                <w:sz w:val="22"/>
                <w:szCs w:val="22"/>
              </w:rPr>
            </w:pPr>
            <w:r>
              <w:rPr>
                <w:sz w:val="22"/>
                <w:szCs w:val="22"/>
              </w:rPr>
              <w:t>Protestante</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224.793</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891.484</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891.484</w:t>
            </w:r>
          </w:p>
        </w:tc>
        <w:tc>
          <w:tcPr>
            <w:tcW w:w="1328" w:type="dxa"/>
            <w:tcMar>
              <w:left w:w="68" w:type="dxa"/>
              <w:right w:w="68" w:type="dxa"/>
            </w:tcMar>
            <w:vAlign w:val="bottom"/>
          </w:tcPr>
          <w:p w:rsidR="00000000" w:rsidRDefault="00000000">
            <w:pPr>
              <w:tabs>
                <w:tab w:val="decimal" w:pos="709"/>
              </w:tabs>
              <w:rPr>
                <w:sz w:val="22"/>
                <w:szCs w:val="22"/>
              </w:rPr>
            </w:pPr>
            <w:r>
              <w:rPr>
                <w:sz w:val="22"/>
                <w:szCs w:val="22"/>
              </w:rPr>
              <w:t>17,0</w:t>
            </w:r>
          </w:p>
        </w:tc>
        <w:tc>
          <w:tcPr>
            <w:tcW w:w="1328" w:type="dxa"/>
            <w:tcMar>
              <w:left w:w="68" w:type="dxa"/>
              <w:right w:w="68" w:type="dxa"/>
            </w:tcMar>
            <w:vAlign w:val="bottom"/>
          </w:tcPr>
          <w:p w:rsidR="00000000" w:rsidRDefault="00000000">
            <w:pPr>
              <w:tabs>
                <w:tab w:val="decimal" w:pos="709"/>
              </w:tabs>
              <w:rPr>
                <w:sz w:val="22"/>
                <w:szCs w:val="22"/>
              </w:rPr>
            </w:pPr>
            <w:r>
              <w:rPr>
                <w:sz w:val="22"/>
                <w:szCs w:val="22"/>
              </w:rPr>
              <w:t>13,7</w:t>
            </w:r>
          </w:p>
        </w:tc>
        <w:tc>
          <w:tcPr>
            <w:tcW w:w="1329" w:type="dxa"/>
            <w:tcMar>
              <w:left w:w="68" w:type="dxa"/>
              <w:right w:w="68" w:type="dxa"/>
            </w:tcMar>
            <w:vAlign w:val="bottom"/>
          </w:tcPr>
          <w:p w:rsidR="00000000" w:rsidRDefault="00000000">
            <w:pPr>
              <w:tabs>
                <w:tab w:val="decimal" w:pos="709"/>
              </w:tabs>
              <w:rPr>
                <w:sz w:val="22"/>
                <w:szCs w:val="22"/>
              </w:rPr>
            </w:pPr>
            <w:r>
              <w:rPr>
                <w:sz w:val="22"/>
                <w:szCs w:val="22"/>
              </w:rPr>
              <w:t>14,4</w:t>
            </w:r>
          </w:p>
        </w:tc>
      </w:tr>
      <w:tr w:rsidR="00000000">
        <w:tc>
          <w:tcPr>
            <w:tcW w:w="1522" w:type="dxa"/>
            <w:tcMar>
              <w:left w:w="68" w:type="dxa"/>
              <w:right w:w="68" w:type="dxa"/>
            </w:tcMar>
          </w:tcPr>
          <w:p w:rsidR="00000000" w:rsidRDefault="00000000">
            <w:pPr>
              <w:rPr>
                <w:sz w:val="22"/>
                <w:szCs w:val="22"/>
              </w:rPr>
            </w:pPr>
            <w:r>
              <w:rPr>
                <w:sz w:val="22"/>
                <w:szCs w:val="22"/>
              </w:rPr>
              <w:t>Otra</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5.467</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33.442</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33.442</w:t>
            </w:r>
          </w:p>
        </w:tc>
        <w:tc>
          <w:tcPr>
            <w:tcW w:w="1328" w:type="dxa"/>
            <w:tcMar>
              <w:left w:w="68" w:type="dxa"/>
              <w:right w:w="68" w:type="dxa"/>
            </w:tcMar>
            <w:vAlign w:val="bottom"/>
          </w:tcPr>
          <w:p w:rsidR="00000000" w:rsidRDefault="00000000">
            <w:pPr>
              <w:tabs>
                <w:tab w:val="decimal" w:pos="709"/>
              </w:tabs>
              <w:rPr>
                <w:sz w:val="22"/>
                <w:szCs w:val="22"/>
              </w:rPr>
            </w:pPr>
            <w:r>
              <w:rPr>
                <w:sz w:val="22"/>
                <w:szCs w:val="22"/>
              </w:rPr>
              <w:t>0,4</w:t>
            </w:r>
          </w:p>
        </w:tc>
        <w:tc>
          <w:tcPr>
            <w:tcW w:w="1328" w:type="dxa"/>
            <w:tcMar>
              <w:left w:w="68" w:type="dxa"/>
              <w:right w:w="68" w:type="dxa"/>
            </w:tcMar>
            <w:vAlign w:val="bottom"/>
          </w:tcPr>
          <w:p w:rsidR="00000000" w:rsidRDefault="00000000">
            <w:pPr>
              <w:tabs>
                <w:tab w:val="decimal" w:pos="709"/>
              </w:tabs>
              <w:rPr>
                <w:sz w:val="22"/>
                <w:szCs w:val="22"/>
              </w:rPr>
            </w:pPr>
            <w:r>
              <w:rPr>
                <w:sz w:val="22"/>
                <w:szCs w:val="22"/>
              </w:rPr>
              <w:t>0,6</w:t>
            </w:r>
          </w:p>
        </w:tc>
        <w:tc>
          <w:tcPr>
            <w:tcW w:w="1329" w:type="dxa"/>
            <w:tcMar>
              <w:left w:w="68" w:type="dxa"/>
              <w:right w:w="68" w:type="dxa"/>
            </w:tcMar>
            <w:vAlign w:val="bottom"/>
          </w:tcPr>
          <w:p w:rsidR="00000000" w:rsidRDefault="00000000">
            <w:pPr>
              <w:tabs>
                <w:tab w:val="decimal" w:pos="709"/>
              </w:tabs>
              <w:rPr>
                <w:sz w:val="22"/>
                <w:szCs w:val="22"/>
              </w:rPr>
            </w:pPr>
            <w:r>
              <w:rPr>
                <w:sz w:val="22"/>
                <w:szCs w:val="22"/>
              </w:rPr>
              <w:t>0,5</w:t>
            </w:r>
          </w:p>
        </w:tc>
      </w:tr>
      <w:tr w:rsidR="00000000">
        <w:tc>
          <w:tcPr>
            <w:tcW w:w="1522" w:type="dxa"/>
            <w:tcMar>
              <w:left w:w="68" w:type="dxa"/>
              <w:right w:w="68" w:type="dxa"/>
            </w:tcMar>
          </w:tcPr>
          <w:p w:rsidR="00000000" w:rsidRDefault="00000000">
            <w:pPr>
              <w:rPr>
                <w:sz w:val="22"/>
                <w:szCs w:val="22"/>
              </w:rPr>
            </w:pPr>
            <w:r>
              <w:rPr>
                <w:sz w:val="22"/>
                <w:szCs w:val="22"/>
              </w:rPr>
              <w:t>Ninguna</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26.807</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193.109</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193.109</w:t>
            </w:r>
          </w:p>
        </w:tc>
        <w:tc>
          <w:tcPr>
            <w:tcW w:w="1328" w:type="dxa"/>
            <w:tcMar>
              <w:left w:w="68" w:type="dxa"/>
              <w:right w:w="68" w:type="dxa"/>
            </w:tcMar>
            <w:vAlign w:val="bottom"/>
          </w:tcPr>
          <w:p w:rsidR="00000000" w:rsidRDefault="00000000">
            <w:pPr>
              <w:tabs>
                <w:tab w:val="decimal" w:pos="709"/>
              </w:tabs>
              <w:rPr>
                <w:sz w:val="22"/>
                <w:szCs w:val="22"/>
              </w:rPr>
            </w:pPr>
            <w:r>
              <w:rPr>
                <w:sz w:val="22"/>
                <w:szCs w:val="22"/>
              </w:rPr>
              <w:t>2,0</w:t>
            </w:r>
          </w:p>
        </w:tc>
        <w:tc>
          <w:tcPr>
            <w:tcW w:w="1328" w:type="dxa"/>
            <w:tcMar>
              <w:left w:w="68" w:type="dxa"/>
              <w:right w:w="68" w:type="dxa"/>
            </w:tcMar>
            <w:vAlign w:val="bottom"/>
          </w:tcPr>
          <w:p w:rsidR="00000000" w:rsidRDefault="00000000">
            <w:pPr>
              <w:tabs>
                <w:tab w:val="decimal" w:pos="709"/>
              </w:tabs>
              <w:rPr>
                <w:sz w:val="22"/>
                <w:szCs w:val="22"/>
              </w:rPr>
            </w:pPr>
            <w:r>
              <w:rPr>
                <w:sz w:val="22"/>
                <w:szCs w:val="22"/>
              </w:rPr>
              <w:t>3,4</w:t>
            </w:r>
          </w:p>
        </w:tc>
        <w:tc>
          <w:tcPr>
            <w:tcW w:w="1329" w:type="dxa"/>
            <w:tcMar>
              <w:left w:w="68" w:type="dxa"/>
              <w:right w:w="68" w:type="dxa"/>
            </w:tcMar>
            <w:vAlign w:val="bottom"/>
          </w:tcPr>
          <w:p w:rsidR="00000000" w:rsidRDefault="00000000">
            <w:pPr>
              <w:tabs>
                <w:tab w:val="decimal" w:pos="709"/>
              </w:tabs>
              <w:rPr>
                <w:sz w:val="22"/>
                <w:szCs w:val="22"/>
              </w:rPr>
            </w:pPr>
            <w:r>
              <w:rPr>
                <w:sz w:val="22"/>
                <w:szCs w:val="22"/>
              </w:rPr>
              <w:t>3,1</w:t>
            </w:r>
          </w:p>
        </w:tc>
      </w:tr>
      <w:tr w:rsidR="00000000">
        <w:tc>
          <w:tcPr>
            <w:tcW w:w="1522" w:type="dxa"/>
            <w:tcMar>
              <w:left w:w="68" w:type="dxa"/>
              <w:right w:w="68" w:type="dxa"/>
            </w:tcMar>
          </w:tcPr>
          <w:p w:rsidR="00000000" w:rsidRDefault="00000000">
            <w:pPr>
              <w:rPr>
                <w:sz w:val="22"/>
                <w:szCs w:val="22"/>
              </w:rPr>
            </w:pPr>
            <w:r>
              <w:rPr>
                <w:sz w:val="22"/>
                <w:szCs w:val="22"/>
              </w:rPr>
              <w:t>Indeterminada</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6.027</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23.058</w:t>
            </w:r>
          </w:p>
        </w:tc>
        <w:tc>
          <w:tcPr>
            <w:tcW w:w="1328" w:type="dxa"/>
            <w:tcMar>
              <w:left w:w="68" w:type="dxa"/>
              <w:right w:w="68" w:type="dxa"/>
            </w:tcMar>
            <w:vAlign w:val="bottom"/>
          </w:tcPr>
          <w:p w:rsidR="00000000" w:rsidRDefault="00000000">
            <w:pPr>
              <w:tabs>
                <w:tab w:val="decimal" w:pos="1096"/>
              </w:tabs>
              <w:rPr>
                <w:sz w:val="22"/>
                <w:szCs w:val="22"/>
              </w:rPr>
            </w:pPr>
            <w:r>
              <w:rPr>
                <w:sz w:val="22"/>
                <w:szCs w:val="22"/>
              </w:rPr>
              <w:t>23.058</w:t>
            </w:r>
          </w:p>
        </w:tc>
        <w:tc>
          <w:tcPr>
            <w:tcW w:w="1328" w:type="dxa"/>
            <w:tcMar>
              <w:left w:w="68" w:type="dxa"/>
              <w:right w:w="68" w:type="dxa"/>
            </w:tcMar>
            <w:vAlign w:val="bottom"/>
          </w:tcPr>
          <w:p w:rsidR="00000000" w:rsidRDefault="00000000">
            <w:pPr>
              <w:tabs>
                <w:tab w:val="decimal" w:pos="709"/>
              </w:tabs>
              <w:rPr>
                <w:sz w:val="22"/>
                <w:szCs w:val="22"/>
              </w:rPr>
            </w:pPr>
            <w:r>
              <w:rPr>
                <w:sz w:val="22"/>
                <w:szCs w:val="22"/>
              </w:rPr>
              <w:t>0,4</w:t>
            </w:r>
          </w:p>
        </w:tc>
        <w:tc>
          <w:tcPr>
            <w:tcW w:w="1328" w:type="dxa"/>
            <w:tcMar>
              <w:left w:w="68" w:type="dxa"/>
              <w:right w:w="68" w:type="dxa"/>
            </w:tcMar>
            <w:vAlign w:val="bottom"/>
          </w:tcPr>
          <w:p w:rsidR="00000000" w:rsidRDefault="00000000">
            <w:pPr>
              <w:tabs>
                <w:tab w:val="decimal" w:pos="709"/>
              </w:tabs>
              <w:rPr>
                <w:sz w:val="22"/>
                <w:szCs w:val="22"/>
              </w:rPr>
            </w:pPr>
            <w:r>
              <w:rPr>
                <w:sz w:val="22"/>
                <w:szCs w:val="22"/>
              </w:rPr>
              <w:t>0,3</w:t>
            </w:r>
          </w:p>
        </w:tc>
        <w:tc>
          <w:tcPr>
            <w:tcW w:w="1329" w:type="dxa"/>
            <w:tcMar>
              <w:left w:w="68" w:type="dxa"/>
              <w:right w:w="68" w:type="dxa"/>
            </w:tcMar>
            <w:vAlign w:val="bottom"/>
          </w:tcPr>
          <w:p w:rsidR="00000000" w:rsidRDefault="00000000">
            <w:pPr>
              <w:tabs>
                <w:tab w:val="decimal" w:pos="709"/>
              </w:tabs>
              <w:rPr>
                <w:sz w:val="22"/>
                <w:szCs w:val="22"/>
              </w:rPr>
            </w:pPr>
            <w:r>
              <w:rPr>
                <w:sz w:val="22"/>
                <w:szCs w:val="22"/>
              </w:rPr>
              <w:t>0,3</w:t>
            </w:r>
          </w:p>
        </w:tc>
      </w:tr>
      <w:tr w:rsidR="00000000">
        <w:tc>
          <w:tcPr>
            <w:tcW w:w="1522" w:type="dxa"/>
            <w:tcMar>
              <w:left w:w="68" w:type="dxa"/>
              <w:right w:w="68" w:type="dxa"/>
            </w:tcMar>
          </w:tcPr>
          <w:p w:rsidR="00000000" w:rsidRDefault="00000000">
            <w:pPr>
              <w:ind w:left="224"/>
              <w:rPr>
                <w:b/>
                <w:sz w:val="22"/>
                <w:szCs w:val="22"/>
              </w:rPr>
            </w:pPr>
            <w:r>
              <w:rPr>
                <w:b/>
                <w:sz w:val="22"/>
                <w:szCs w:val="22"/>
              </w:rPr>
              <w:t>Total</w:t>
            </w:r>
          </w:p>
        </w:tc>
        <w:tc>
          <w:tcPr>
            <w:tcW w:w="1328" w:type="dxa"/>
            <w:tcMar>
              <w:left w:w="68" w:type="dxa"/>
              <w:right w:w="68" w:type="dxa"/>
            </w:tcMar>
            <w:vAlign w:val="bottom"/>
          </w:tcPr>
          <w:p w:rsidR="00000000" w:rsidRDefault="00000000">
            <w:pPr>
              <w:tabs>
                <w:tab w:val="decimal" w:pos="1096"/>
              </w:tabs>
              <w:rPr>
                <w:b/>
                <w:bCs/>
                <w:sz w:val="22"/>
                <w:szCs w:val="22"/>
              </w:rPr>
            </w:pPr>
            <w:r>
              <w:rPr>
                <w:b/>
                <w:bCs/>
                <w:sz w:val="22"/>
                <w:szCs w:val="22"/>
              </w:rPr>
              <w:t>1.324.524</w:t>
            </w:r>
          </w:p>
        </w:tc>
        <w:tc>
          <w:tcPr>
            <w:tcW w:w="1328" w:type="dxa"/>
            <w:tcMar>
              <w:left w:w="68" w:type="dxa"/>
              <w:right w:w="68" w:type="dxa"/>
            </w:tcMar>
            <w:vAlign w:val="bottom"/>
          </w:tcPr>
          <w:p w:rsidR="00000000" w:rsidRDefault="00000000">
            <w:pPr>
              <w:tabs>
                <w:tab w:val="decimal" w:pos="1096"/>
              </w:tabs>
              <w:rPr>
                <w:b/>
                <w:bCs/>
                <w:sz w:val="22"/>
                <w:szCs w:val="22"/>
              </w:rPr>
            </w:pPr>
            <w:r>
              <w:rPr>
                <w:b/>
                <w:bCs/>
                <w:sz w:val="22"/>
                <w:szCs w:val="22"/>
              </w:rPr>
              <w:t>4.869.014</w:t>
            </w:r>
          </w:p>
        </w:tc>
        <w:tc>
          <w:tcPr>
            <w:tcW w:w="1328" w:type="dxa"/>
            <w:tcMar>
              <w:left w:w="68" w:type="dxa"/>
              <w:right w:w="68" w:type="dxa"/>
            </w:tcMar>
            <w:vAlign w:val="bottom"/>
          </w:tcPr>
          <w:p w:rsidR="00000000" w:rsidRDefault="00000000">
            <w:pPr>
              <w:tabs>
                <w:tab w:val="decimal" w:pos="1096"/>
              </w:tabs>
              <w:rPr>
                <w:b/>
                <w:bCs/>
                <w:sz w:val="22"/>
                <w:szCs w:val="22"/>
              </w:rPr>
            </w:pPr>
            <w:r>
              <w:rPr>
                <w:b/>
                <w:bCs/>
                <w:sz w:val="22"/>
                <w:szCs w:val="22"/>
              </w:rPr>
              <w:t>6.193.538</w:t>
            </w:r>
          </w:p>
        </w:tc>
        <w:tc>
          <w:tcPr>
            <w:tcW w:w="1328" w:type="dxa"/>
            <w:tcMar>
              <w:left w:w="68" w:type="dxa"/>
              <w:right w:w="68" w:type="dxa"/>
            </w:tcMar>
            <w:vAlign w:val="bottom"/>
          </w:tcPr>
          <w:p w:rsidR="00000000" w:rsidRDefault="00000000">
            <w:pPr>
              <w:tabs>
                <w:tab w:val="decimal" w:pos="709"/>
              </w:tabs>
              <w:rPr>
                <w:b/>
                <w:bCs/>
                <w:sz w:val="22"/>
                <w:szCs w:val="22"/>
              </w:rPr>
            </w:pPr>
            <w:r>
              <w:rPr>
                <w:b/>
                <w:bCs/>
                <w:sz w:val="22"/>
                <w:szCs w:val="22"/>
              </w:rPr>
              <w:t>100,0</w:t>
            </w:r>
          </w:p>
        </w:tc>
        <w:tc>
          <w:tcPr>
            <w:tcW w:w="1328" w:type="dxa"/>
            <w:tcMar>
              <w:left w:w="68" w:type="dxa"/>
              <w:right w:w="68" w:type="dxa"/>
            </w:tcMar>
            <w:vAlign w:val="bottom"/>
          </w:tcPr>
          <w:p w:rsidR="00000000" w:rsidRDefault="00000000">
            <w:pPr>
              <w:tabs>
                <w:tab w:val="decimal" w:pos="709"/>
              </w:tabs>
              <w:rPr>
                <w:b/>
                <w:bCs/>
                <w:sz w:val="22"/>
                <w:szCs w:val="22"/>
              </w:rPr>
            </w:pPr>
            <w:r>
              <w:rPr>
                <w:b/>
                <w:bCs/>
                <w:sz w:val="22"/>
                <w:szCs w:val="22"/>
              </w:rPr>
              <w:t>100,0</w:t>
            </w:r>
          </w:p>
        </w:tc>
        <w:tc>
          <w:tcPr>
            <w:tcW w:w="1329" w:type="dxa"/>
            <w:tcMar>
              <w:left w:w="68" w:type="dxa"/>
              <w:right w:w="68" w:type="dxa"/>
            </w:tcMar>
            <w:vAlign w:val="bottom"/>
          </w:tcPr>
          <w:p w:rsidR="00000000" w:rsidRDefault="00000000">
            <w:pPr>
              <w:tabs>
                <w:tab w:val="decimal" w:pos="709"/>
              </w:tabs>
              <w:rPr>
                <w:b/>
                <w:bCs/>
                <w:sz w:val="22"/>
                <w:szCs w:val="22"/>
              </w:rPr>
            </w:pPr>
            <w:r>
              <w:rPr>
                <w:b/>
                <w:bCs/>
                <w:sz w:val="22"/>
                <w:szCs w:val="22"/>
              </w:rPr>
              <w:t>100,0</w:t>
            </w:r>
          </w:p>
        </w:tc>
      </w:tr>
    </w:tbl>
    <w:p w:rsidR="00000000" w:rsidRDefault="00000000">
      <w:pPr>
        <w:spacing w:before="220" w:after="400"/>
        <w:rPr>
          <w:sz w:val="22"/>
          <w:szCs w:val="22"/>
        </w:rPr>
      </w:pPr>
      <w:r>
        <w:rPr>
          <w:i/>
          <w:sz w:val="22"/>
          <w:szCs w:val="22"/>
        </w:rPr>
        <w:t>Fuente:</w:t>
      </w:r>
      <w:r>
        <w:rPr>
          <w:sz w:val="22"/>
          <w:szCs w:val="22"/>
        </w:rPr>
        <w:t xml:space="preserve">  RGPH de 1993.</w:t>
      </w:r>
    </w:p>
    <w:p w:rsidR="00000000" w:rsidRDefault="00000000">
      <w:pPr>
        <w:spacing w:after="200"/>
      </w:pPr>
      <w:r>
        <w:t>42.</w:t>
      </w:r>
      <w:r>
        <w:tab/>
        <w:t>Se observa además que, en cada religión declarada, el número de fieles es mayor en las zonas rurales que en las zonas urbanas.</w:t>
      </w:r>
    </w:p>
    <w:p w:rsidR="00000000" w:rsidRDefault="00000000">
      <w:pPr>
        <w:spacing w:after="200"/>
      </w:pPr>
      <w:r>
        <w:t>43.</w:t>
      </w:r>
      <w:r>
        <w:tab/>
        <w:t>De un modo general, se observa que las religiones importadas se practican más en las ciudades, aunque más del 70% de los fieles de cada una de ellas habita en zonas rurales.  Esta concentración de los fieles en zonas rurales obedece al peso demográfico de la población rural en la población total.  El animismo, que reúne las religiones tradicionales dependientes en gran parte de los usos y costumbres, se practica menos en las ciudades que en el campo, donde las sociedades parecen conservar sus hábitos tradicionales:  5,5 frente a 94,5%.</w:t>
      </w:r>
    </w:p>
    <w:p w:rsidR="00000000" w:rsidRDefault="00000000">
      <w:pPr>
        <w:spacing w:after="200"/>
        <w:jc w:val="center"/>
        <w:rPr>
          <w:b/>
        </w:rPr>
      </w:pPr>
      <w:r>
        <w:rPr>
          <w:b/>
        </w:rPr>
        <w:t>Cuadro 10</w:t>
      </w:r>
    </w:p>
    <w:p w:rsidR="00000000" w:rsidRDefault="00000000">
      <w:pPr>
        <w:spacing w:after="200"/>
        <w:jc w:val="center"/>
        <w:rPr>
          <w:b/>
        </w:rPr>
      </w:pPr>
      <w:r>
        <w:rPr>
          <w:b/>
        </w:rPr>
        <w:t>Distribución de la población residente por zona</w:t>
      </w:r>
      <w:r>
        <w:rPr>
          <w:b/>
        </w:rPr>
        <w:br/>
        <w:t>de residencia según la religión</w:t>
      </w:r>
    </w:p>
    <w:tbl>
      <w:tblPr>
        <w:tblW w:w="0" w:type="auto"/>
        <w:jc w:val="center"/>
        <w:tblInd w:w="-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Pr>
      <w:tblGrid>
        <w:gridCol w:w="2382"/>
        <w:gridCol w:w="1189"/>
        <w:gridCol w:w="1189"/>
        <w:gridCol w:w="1279"/>
      </w:tblGrid>
      <w:tr w:rsidR="00000000">
        <w:trPr>
          <w:jc w:val="center"/>
        </w:trPr>
        <w:tc>
          <w:tcPr>
            <w:tcW w:w="2382" w:type="dxa"/>
            <w:tcMar>
              <w:left w:w="68" w:type="dxa"/>
              <w:right w:w="68" w:type="dxa"/>
            </w:tcMar>
          </w:tcPr>
          <w:p w:rsidR="00000000" w:rsidRDefault="00000000">
            <w:pPr>
              <w:jc w:val="center"/>
              <w:rPr>
                <w:b/>
              </w:rPr>
            </w:pPr>
            <w:r>
              <w:rPr>
                <w:b/>
              </w:rPr>
              <w:t>Religión</w:t>
            </w:r>
          </w:p>
        </w:tc>
        <w:tc>
          <w:tcPr>
            <w:tcW w:w="1189" w:type="dxa"/>
            <w:tcMar>
              <w:left w:w="68" w:type="dxa"/>
              <w:right w:w="68" w:type="dxa"/>
            </w:tcMar>
          </w:tcPr>
          <w:p w:rsidR="00000000" w:rsidRDefault="00000000">
            <w:pPr>
              <w:jc w:val="center"/>
              <w:rPr>
                <w:b/>
              </w:rPr>
            </w:pPr>
            <w:r>
              <w:rPr>
                <w:b/>
              </w:rPr>
              <w:t>Urbana</w:t>
            </w:r>
          </w:p>
        </w:tc>
        <w:tc>
          <w:tcPr>
            <w:tcW w:w="1189" w:type="dxa"/>
            <w:tcMar>
              <w:left w:w="68" w:type="dxa"/>
              <w:right w:w="68" w:type="dxa"/>
            </w:tcMar>
          </w:tcPr>
          <w:p w:rsidR="00000000" w:rsidRDefault="00000000">
            <w:pPr>
              <w:jc w:val="center"/>
              <w:rPr>
                <w:b/>
              </w:rPr>
            </w:pPr>
            <w:r>
              <w:rPr>
                <w:b/>
              </w:rPr>
              <w:t>Rural</w:t>
            </w:r>
          </w:p>
        </w:tc>
        <w:tc>
          <w:tcPr>
            <w:tcW w:w="1279" w:type="dxa"/>
            <w:tcMar>
              <w:left w:w="68" w:type="dxa"/>
              <w:right w:w="68" w:type="dxa"/>
            </w:tcMar>
          </w:tcPr>
          <w:p w:rsidR="00000000" w:rsidRDefault="00000000">
            <w:pPr>
              <w:jc w:val="center"/>
              <w:rPr>
                <w:b/>
              </w:rPr>
            </w:pPr>
            <w:r>
              <w:rPr>
                <w:b/>
              </w:rPr>
              <w:t>Total</w:t>
            </w:r>
          </w:p>
        </w:tc>
      </w:tr>
      <w:tr w:rsidR="00000000">
        <w:trPr>
          <w:jc w:val="center"/>
        </w:trPr>
        <w:tc>
          <w:tcPr>
            <w:tcW w:w="2382" w:type="dxa"/>
            <w:tcMar>
              <w:left w:w="68" w:type="dxa"/>
              <w:right w:w="68" w:type="dxa"/>
            </w:tcMar>
          </w:tcPr>
          <w:p w:rsidR="00000000" w:rsidRDefault="00000000">
            <w:r>
              <w:t>Animista</w:t>
            </w:r>
          </w:p>
        </w:tc>
        <w:tc>
          <w:tcPr>
            <w:tcW w:w="1189" w:type="dxa"/>
            <w:tcMar>
              <w:left w:w="68" w:type="dxa"/>
              <w:right w:w="68" w:type="dxa"/>
            </w:tcMar>
            <w:vAlign w:val="bottom"/>
          </w:tcPr>
          <w:p w:rsidR="00000000" w:rsidRDefault="00000000">
            <w:pPr>
              <w:tabs>
                <w:tab w:val="decimal" w:pos="526"/>
              </w:tabs>
            </w:pPr>
            <w:r>
              <w:t>5,5</w:t>
            </w:r>
          </w:p>
        </w:tc>
        <w:tc>
          <w:tcPr>
            <w:tcW w:w="1189" w:type="dxa"/>
            <w:tcMar>
              <w:left w:w="68" w:type="dxa"/>
              <w:right w:w="68" w:type="dxa"/>
            </w:tcMar>
            <w:vAlign w:val="bottom"/>
          </w:tcPr>
          <w:p w:rsidR="00000000" w:rsidRDefault="00000000">
            <w:pPr>
              <w:tabs>
                <w:tab w:val="decimal" w:pos="512"/>
              </w:tabs>
            </w:pPr>
            <w:r>
              <w:t>94,5</w:t>
            </w:r>
          </w:p>
        </w:tc>
        <w:tc>
          <w:tcPr>
            <w:tcW w:w="1279" w:type="dxa"/>
            <w:tcMar>
              <w:left w:w="68" w:type="dxa"/>
              <w:right w:w="68" w:type="dxa"/>
            </w:tcMar>
            <w:vAlign w:val="bottom"/>
          </w:tcPr>
          <w:p w:rsidR="00000000" w:rsidRDefault="00000000">
            <w:pPr>
              <w:tabs>
                <w:tab w:val="decimal" w:pos="667"/>
              </w:tabs>
            </w:pPr>
            <w:r>
              <w:t>100,0</w:t>
            </w:r>
          </w:p>
        </w:tc>
      </w:tr>
      <w:tr w:rsidR="00000000">
        <w:trPr>
          <w:jc w:val="center"/>
        </w:trPr>
        <w:tc>
          <w:tcPr>
            <w:tcW w:w="2382" w:type="dxa"/>
            <w:tcMar>
              <w:left w:w="68" w:type="dxa"/>
              <w:right w:w="68" w:type="dxa"/>
            </w:tcMar>
          </w:tcPr>
          <w:p w:rsidR="00000000" w:rsidRDefault="00000000">
            <w:r>
              <w:t>Católica</w:t>
            </w:r>
          </w:p>
        </w:tc>
        <w:tc>
          <w:tcPr>
            <w:tcW w:w="1189" w:type="dxa"/>
            <w:tcMar>
              <w:left w:w="68" w:type="dxa"/>
              <w:right w:w="68" w:type="dxa"/>
            </w:tcMar>
            <w:vAlign w:val="bottom"/>
          </w:tcPr>
          <w:p w:rsidR="00000000" w:rsidRDefault="00000000">
            <w:pPr>
              <w:tabs>
                <w:tab w:val="decimal" w:pos="526"/>
              </w:tabs>
            </w:pPr>
            <w:r>
              <w:t>19,5</w:t>
            </w:r>
          </w:p>
        </w:tc>
        <w:tc>
          <w:tcPr>
            <w:tcW w:w="1189" w:type="dxa"/>
            <w:tcMar>
              <w:left w:w="68" w:type="dxa"/>
              <w:right w:w="68" w:type="dxa"/>
            </w:tcMar>
            <w:vAlign w:val="bottom"/>
          </w:tcPr>
          <w:p w:rsidR="00000000" w:rsidRDefault="00000000">
            <w:pPr>
              <w:tabs>
                <w:tab w:val="decimal" w:pos="512"/>
              </w:tabs>
            </w:pPr>
            <w:r>
              <w:t>80,5</w:t>
            </w:r>
          </w:p>
        </w:tc>
        <w:tc>
          <w:tcPr>
            <w:tcW w:w="1279" w:type="dxa"/>
            <w:tcMar>
              <w:left w:w="68" w:type="dxa"/>
              <w:right w:w="68" w:type="dxa"/>
            </w:tcMar>
            <w:vAlign w:val="bottom"/>
          </w:tcPr>
          <w:p w:rsidR="00000000" w:rsidRDefault="00000000">
            <w:pPr>
              <w:tabs>
                <w:tab w:val="decimal" w:pos="667"/>
              </w:tabs>
            </w:pPr>
            <w:r>
              <w:t>100,0</w:t>
            </w:r>
          </w:p>
        </w:tc>
      </w:tr>
      <w:tr w:rsidR="00000000">
        <w:trPr>
          <w:jc w:val="center"/>
        </w:trPr>
        <w:tc>
          <w:tcPr>
            <w:tcW w:w="2382" w:type="dxa"/>
            <w:tcMar>
              <w:left w:w="68" w:type="dxa"/>
              <w:right w:w="68" w:type="dxa"/>
            </w:tcMar>
          </w:tcPr>
          <w:p w:rsidR="00000000" w:rsidRDefault="00000000">
            <w:r>
              <w:t>Musulmana</w:t>
            </w:r>
          </w:p>
        </w:tc>
        <w:tc>
          <w:tcPr>
            <w:tcW w:w="1189" w:type="dxa"/>
            <w:tcMar>
              <w:left w:w="68" w:type="dxa"/>
              <w:right w:w="68" w:type="dxa"/>
            </w:tcMar>
            <w:vAlign w:val="bottom"/>
          </w:tcPr>
          <w:p w:rsidR="00000000" w:rsidRDefault="00000000">
            <w:pPr>
              <w:tabs>
                <w:tab w:val="decimal" w:pos="526"/>
              </w:tabs>
            </w:pPr>
            <w:r>
              <w:t>23,7</w:t>
            </w:r>
          </w:p>
        </w:tc>
        <w:tc>
          <w:tcPr>
            <w:tcW w:w="1189" w:type="dxa"/>
            <w:tcMar>
              <w:left w:w="68" w:type="dxa"/>
              <w:right w:w="68" w:type="dxa"/>
            </w:tcMar>
            <w:vAlign w:val="bottom"/>
          </w:tcPr>
          <w:p w:rsidR="00000000" w:rsidRDefault="00000000">
            <w:pPr>
              <w:tabs>
                <w:tab w:val="decimal" w:pos="512"/>
              </w:tabs>
            </w:pPr>
            <w:r>
              <w:t>76,3</w:t>
            </w:r>
          </w:p>
        </w:tc>
        <w:tc>
          <w:tcPr>
            <w:tcW w:w="1279" w:type="dxa"/>
            <w:tcMar>
              <w:left w:w="68" w:type="dxa"/>
              <w:right w:w="68" w:type="dxa"/>
            </w:tcMar>
            <w:vAlign w:val="bottom"/>
          </w:tcPr>
          <w:p w:rsidR="00000000" w:rsidRDefault="00000000">
            <w:pPr>
              <w:tabs>
                <w:tab w:val="decimal" w:pos="667"/>
              </w:tabs>
            </w:pPr>
            <w:r>
              <w:t>100,0</w:t>
            </w:r>
          </w:p>
        </w:tc>
      </w:tr>
      <w:tr w:rsidR="00000000">
        <w:trPr>
          <w:jc w:val="center"/>
        </w:trPr>
        <w:tc>
          <w:tcPr>
            <w:tcW w:w="2382" w:type="dxa"/>
            <w:tcMar>
              <w:left w:w="68" w:type="dxa"/>
              <w:right w:w="68" w:type="dxa"/>
            </w:tcMar>
          </w:tcPr>
          <w:p w:rsidR="00000000" w:rsidRDefault="00000000">
            <w:r>
              <w:t>Protestante</w:t>
            </w:r>
          </w:p>
        </w:tc>
        <w:tc>
          <w:tcPr>
            <w:tcW w:w="1189" w:type="dxa"/>
            <w:tcMar>
              <w:left w:w="68" w:type="dxa"/>
              <w:right w:w="68" w:type="dxa"/>
            </w:tcMar>
            <w:vAlign w:val="bottom"/>
          </w:tcPr>
          <w:p w:rsidR="00000000" w:rsidRDefault="00000000">
            <w:pPr>
              <w:tabs>
                <w:tab w:val="decimal" w:pos="526"/>
              </w:tabs>
            </w:pPr>
            <w:r>
              <w:t>25,2</w:t>
            </w:r>
          </w:p>
        </w:tc>
        <w:tc>
          <w:tcPr>
            <w:tcW w:w="1189" w:type="dxa"/>
            <w:tcMar>
              <w:left w:w="68" w:type="dxa"/>
              <w:right w:w="68" w:type="dxa"/>
            </w:tcMar>
            <w:vAlign w:val="bottom"/>
          </w:tcPr>
          <w:p w:rsidR="00000000" w:rsidRDefault="00000000">
            <w:pPr>
              <w:tabs>
                <w:tab w:val="decimal" w:pos="512"/>
              </w:tabs>
            </w:pPr>
            <w:r>
              <w:t>74,8</w:t>
            </w:r>
          </w:p>
        </w:tc>
        <w:tc>
          <w:tcPr>
            <w:tcW w:w="1279" w:type="dxa"/>
            <w:tcMar>
              <w:left w:w="68" w:type="dxa"/>
              <w:right w:w="68" w:type="dxa"/>
            </w:tcMar>
            <w:vAlign w:val="bottom"/>
          </w:tcPr>
          <w:p w:rsidR="00000000" w:rsidRDefault="00000000">
            <w:pPr>
              <w:tabs>
                <w:tab w:val="decimal" w:pos="667"/>
              </w:tabs>
            </w:pPr>
            <w:r>
              <w:t>100,0</w:t>
            </w:r>
          </w:p>
        </w:tc>
      </w:tr>
      <w:tr w:rsidR="00000000">
        <w:trPr>
          <w:jc w:val="center"/>
        </w:trPr>
        <w:tc>
          <w:tcPr>
            <w:tcW w:w="2382" w:type="dxa"/>
            <w:tcMar>
              <w:left w:w="68" w:type="dxa"/>
              <w:right w:w="68" w:type="dxa"/>
            </w:tcMar>
          </w:tcPr>
          <w:p w:rsidR="00000000" w:rsidRDefault="00000000">
            <w:r>
              <w:t>Otra</w:t>
            </w:r>
          </w:p>
        </w:tc>
        <w:tc>
          <w:tcPr>
            <w:tcW w:w="1189" w:type="dxa"/>
            <w:tcMar>
              <w:left w:w="68" w:type="dxa"/>
              <w:right w:w="68" w:type="dxa"/>
            </w:tcMar>
            <w:vAlign w:val="bottom"/>
          </w:tcPr>
          <w:p w:rsidR="00000000" w:rsidRDefault="00000000">
            <w:pPr>
              <w:tabs>
                <w:tab w:val="decimal" w:pos="526"/>
              </w:tabs>
            </w:pPr>
            <w:r>
              <w:t>16,3</w:t>
            </w:r>
          </w:p>
        </w:tc>
        <w:tc>
          <w:tcPr>
            <w:tcW w:w="1189" w:type="dxa"/>
            <w:tcMar>
              <w:left w:w="68" w:type="dxa"/>
              <w:right w:w="68" w:type="dxa"/>
            </w:tcMar>
            <w:vAlign w:val="bottom"/>
          </w:tcPr>
          <w:p w:rsidR="00000000" w:rsidRDefault="00000000">
            <w:pPr>
              <w:tabs>
                <w:tab w:val="decimal" w:pos="512"/>
              </w:tabs>
            </w:pPr>
            <w:r>
              <w:t>83,7</w:t>
            </w:r>
          </w:p>
        </w:tc>
        <w:tc>
          <w:tcPr>
            <w:tcW w:w="1279" w:type="dxa"/>
            <w:tcMar>
              <w:left w:w="68" w:type="dxa"/>
              <w:right w:w="68" w:type="dxa"/>
            </w:tcMar>
            <w:vAlign w:val="bottom"/>
          </w:tcPr>
          <w:p w:rsidR="00000000" w:rsidRDefault="00000000">
            <w:pPr>
              <w:tabs>
                <w:tab w:val="decimal" w:pos="667"/>
              </w:tabs>
            </w:pPr>
            <w:r>
              <w:t>100,0</w:t>
            </w:r>
          </w:p>
        </w:tc>
      </w:tr>
      <w:tr w:rsidR="00000000">
        <w:trPr>
          <w:jc w:val="center"/>
        </w:trPr>
        <w:tc>
          <w:tcPr>
            <w:tcW w:w="2382" w:type="dxa"/>
            <w:tcMar>
              <w:left w:w="68" w:type="dxa"/>
              <w:right w:w="68" w:type="dxa"/>
            </w:tcMar>
          </w:tcPr>
          <w:p w:rsidR="00000000" w:rsidRDefault="00000000">
            <w:r>
              <w:t>Ninguna</w:t>
            </w:r>
          </w:p>
        </w:tc>
        <w:tc>
          <w:tcPr>
            <w:tcW w:w="1189" w:type="dxa"/>
            <w:tcMar>
              <w:left w:w="68" w:type="dxa"/>
              <w:right w:w="68" w:type="dxa"/>
            </w:tcMar>
            <w:vAlign w:val="bottom"/>
          </w:tcPr>
          <w:p w:rsidR="00000000" w:rsidRDefault="00000000">
            <w:pPr>
              <w:tabs>
                <w:tab w:val="decimal" w:pos="526"/>
              </w:tabs>
            </w:pPr>
            <w:r>
              <w:t>13,9</w:t>
            </w:r>
          </w:p>
        </w:tc>
        <w:tc>
          <w:tcPr>
            <w:tcW w:w="1189" w:type="dxa"/>
            <w:tcMar>
              <w:left w:w="68" w:type="dxa"/>
              <w:right w:w="68" w:type="dxa"/>
            </w:tcMar>
            <w:vAlign w:val="bottom"/>
          </w:tcPr>
          <w:p w:rsidR="00000000" w:rsidRDefault="00000000">
            <w:pPr>
              <w:tabs>
                <w:tab w:val="decimal" w:pos="512"/>
              </w:tabs>
            </w:pPr>
            <w:r>
              <w:t>86,1</w:t>
            </w:r>
          </w:p>
        </w:tc>
        <w:tc>
          <w:tcPr>
            <w:tcW w:w="1279" w:type="dxa"/>
            <w:tcMar>
              <w:left w:w="68" w:type="dxa"/>
              <w:right w:w="68" w:type="dxa"/>
            </w:tcMar>
            <w:vAlign w:val="bottom"/>
          </w:tcPr>
          <w:p w:rsidR="00000000" w:rsidRDefault="00000000">
            <w:pPr>
              <w:tabs>
                <w:tab w:val="decimal" w:pos="667"/>
              </w:tabs>
            </w:pPr>
            <w:r>
              <w:t>100,0</w:t>
            </w:r>
          </w:p>
        </w:tc>
      </w:tr>
      <w:tr w:rsidR="00000000">
        <w:trPr>
          <w:jc w:val="center"/>
        </w:trPr>
        <w:tc>
          <w:tcPr>
            <w:tcW w:w="2382" w:type="dxa"/>
            <w:tcMar>
              <w:left w:w="68" w:type="dxa"/>
              <w:right w:w="68" w:type="dxa"/>
            </w:tcMar>
          </w:tcPr>
          <w:p w:rsidR="00000000" w:rsidRDefault="00000000">
            <w:r>
              <w:t>Indeterminada</w:t>
            </w:r>
          </w:p>
        </w:tc>
        <w:tc>
          <w:tcPr>
            <w:tcW w:w="1189" w:type="dxa"/>
            <w:tcMar>
              <w:left w:w="68" w:type="dxa"/>
              <w:right w:w="68" w:type="dxa"/>
            </w:tcMar>
            <w:vAlign w:val="bottom"/>
          </w:tcPr>
          <w:p w:rsidR="00000000" w:rsidRDefault="00000000">
            <w:pPr>
              <w:tabs>
                <w:tab w:val="decimal" w:pos="526"/>
              </w:tabs>
            </w:pPr>
            <w:r>
              <w:t>26,1</w:t>
            </w:r>
          </w:p>
        </w:tc>
        <w:tc>
          <w:tcPr>
            <w:tcW w:w="1189" w:type="dxa"/>
            <w:tcMar>
              <w:left w:w="68" w:type="dxa"/>
              <w:right w:w="68" w:type="dxa"/>
            </w:tcMar>
            <w:vAlign w:val="bottom"/>
          </w:tcPr>
          <w:p w:rsidR="00000000" w:rsidRDefault="00000000">
            <w:pPr>
              <w:tabs>
                <w:tab w:val="decimal" w:pos="512"/>
              </w:tabs>
            </w:pPr>
            <w:r>
              <w:t>73,9</w:t>
            </w:r>
          </w:p>
        </w:tc>
        <w:tc>
          <w:tcPr>
            <w:tcW w:w="1279" w:type="dxa"/>
            <w:tcMar>
              <w:left w:w="68" w:type="dxa"/>
              <w:right w:w="68" w:type="dxa"/>
            </w:tcMar>
            <w:vAlign w:val="bottom"/>
          </w:tcPr>
          <w:p w:rsidR="00000000" w:rsidRDefault="00000000">
            <w:pPr>
              <w:tabs>
                <w:tab w:val="decimal" w:pos="667"/>
              </w:tabs>
            </w:pPr>
            <w:r>
              <w:t>100,0</w:t>
            </w:r>
          </w:p>
        </w:tc>
      </w:tr>
      <w:tr w:rsidR="00000000">
        <w:trPr>
          <w:jc w:val="center"/>
        </w:trPr>
        <w:tc>
          <w:tcPr>
            <w:tcW w:w="2382" w:type="dxa"/>
            <w:tcMar>
              <w:left w:w="68" w:type="dxa"/>
              <w:right w:w="68" w:type="dxa"/>
            </w:tcMar>
          </w:tcPr>
          <w:p w:rsidR="00000000" w:rsidRDefault="00000000">
            <w:pPr>
              <w:ind w:left="224"/>
              <w:rPr>
                <w:b/>
              </w:rPr>
            </w:pPr>
            <w:r>
              <w:rPr>
                <w:b/>
              </w:rPr>
              <w:t>Total</w:t>
            </w:r>
          </w:p>
        </w:tc>
        <w:tc>
          <w:tcPr>
            <w:tcW w:w="1189" w:type="dxa"/>
            <w:tcMar>
              <w:left w:w="68" w:type="dxa"/>
              <w:right w:w="68" w:type="dxa"/>
            </w:tcMar>
            <w:vAlign w:val="bottom"/>
          </w:tcPr>
          <w:p w:rsidR="00000000" w:rsidRDefault="00000000">
            <w:pPr>
              <w:tabs>
                <w:tab w:val="decimal" w:pos="526"/>
              </w:tabs>
              <w:rPr>
                <w:b/>
              </w:rPr>
            </w:pPr>
            <w:r>
              <w:rPr>
                <w:b/>
              </w:rPr>
              <w:t>21,4</w:t>
            </w:r>
          </w:p>
        </w:tc>
        <w:tc>
          <w:tcPr>
            <w:tcW w:w="1189" w:type="dxa"/>
            <w:tcMar>
              <w:left w:w="68" w:type="dxa"/>
              <w:right w:w="68" w:type="dxa"/>
            </w:tcMar>
            <w:vAlign w:val="bottom"/>
          </w:tcPr>
          <w:p w:rsidR="00000000" w:rsidRDefault="00000000">
            <w:pPr>
              <w:tabs>
                <w:tab w:val="decimal" w:pos="512"/>
              </w:tabs>
              <w:rPr>
                <w:b/>
              </w:rPr>
            </w:pPr>
            <w:r>
              <w:rPr>
                <w:b/>
              </w:rPr>
              <w:t>78,6</w:t>
            </w:r>
          </w:p>
        </w:tc>
        <w:tc>
          <w:tcPr>
            <w:tcW w:w="1279" w:type="dxa"/>
            <w:tcMar>
              <w:left w:w="68" w:type="dxa"/>
              <w:right w:w="68" w:type="dxa"/>
            </w:tcMar>
            <w:vAlign w:val="bottom"/>
          </w:tcPr>
          <w:p w:rsidR="00000000" w:rsidRDefault="00000000">
            <w:pPr>
              <w:tabs>
                <w:tab w:val="decimal" w:pos="667"/>
              </w:tabs>
              <w:rPr>
                <w:b/>
              </w:rPr>
            </w:pPr>
            <w:r>
              <w:rPr>
                <w:b/>
              </w:rPr>
              <w:t>100,0</w:t>
            </w:r>
          </w:p>
        </w:tc>
      </w:tr>
    </w:tbl>
    <w:p w:rsidR="00000000" w:rsidRDefault="00000000">
      <w:pPr>
        <w:spacing w:before="180" w:after="480"/>
        <w:ind w:left="1667"/>
      </w:pPr>
      <w:r>
        <w:rPr>
          <w:i/>
        </w:rPr>
        <w:t xml:space="preserve">Fuente:  </w:t>
      </w:r>
      <w:r>
        <w:t>RGPH de 1993.</w:t>
      </w:r>
    </w:p>
    <w:p w:rsidR="00000000" w:rsidRDefault="00000000">
      <w:pPr>
        <w:spacing w:after="240"/>
        <w:rPr>
          <w:b/>
        </w:rPr>
      </w:pPr>
      <w:r>
        <w:rPr>
          <w:b/>
        </w:rPr>
        <w:t>6.</w:t>
      </w:r>
      <w:r>
        <w:rPr>
          <w:b/>
        </w:rPr>
        <w:tab/>
        <w:t>Religión y etnia</w:t>
      </w:r>
    </w:p>
    <w:p w:rsidR="00000000" w:rsidRDefault="00000000">
      <w:pPr>
        <w:spacing w:after="240"/>
      </w:pPr>
      <w:r>
        <w:t>44.</w:t>
      </w:r>
      <w:r>
        <w:tab/>
        <w:t>La pertenencia religiosa de la población es variable según la etnia.  Según la religión declarada, las etnias se pueden subdividir en tres grupos:</w:t>
      </w:r>
    </w:p>
    <w:p w:rsidR="00000000" w:rsidRDefault="00000000">
      <w:pPr>
        <w:spacing w:after="240"/>
        <w:ind w:left="924" w:hanging="357"/>
      </w:pPr>
      <w:r>
        <w:t>-</w:t>
      </w:r>
      <w:r>
        <w:tab/>
        <w:t>Etnias predominantemente cristianas;</w:t>
      </w:r>
    </w:p>
    <w:p w:rsidR="00000000" w:rsidRDefault="00000000">
      <w:pPr>
        <w:spacing w:after="240"/>
        <w:ind w:left="924" w:hanging="357"/>
      </w:pPr>
      <w:r>
        <w:t>-</w:t>
      </w:r>
      <w:r>
        <w:tab/>
        <w:t>Etnias predominantemente musulmanas;</w:t>
      </w:r>
    </w:p>
    <w:p w:rsidR="00000000" w:rsidRDefault="00000000">
      <w:pPr>
        <w:spacing w:after="240"/>
        <w:ind w:left="924" w:hanging="357"/>
      </w:pPr>
      <w:r>
        <w:t>-</w:t>
      </w:r>
      <w:r>
        <w:tab/>
        <w:t>Etnias que practican religiones tradicionales.</w:t>
      </w:r>
    </w:p>
    <w:p w:rsidR="00000000" w:rsidRDefault="00000000">
      <w:pPr>
        <w:spacing w:after="220"/>
        <w:jc w:val="center"/>
        <w:rPr>
          <w:b/>
          <w:sz w:val="22"/>
          <w:szCs w:val="22"/>
        </w:rPr>
      </w:pPr>
      <w:r>
        <w:rPr>
          <w:b/>
          <w:sz w:val="22"/>
          <w:szCs w:val="22"/>
        </w:rPr>
        <w:t>Cuadro 11</w:t>
      </w:r>
    </w:p>
    <w:p w:rsidR="00000000" w:rsidRDefault="00000000">
      <w:pPr>
        <w:spacing w:after="220"/>
        <w:jc w:val="center"/>
        <w:rPr>
          <w:b/>
          <w:sz w:val="22"/>
          <w:szCs w:val="22"/>
        </w:rPr>
      </w:pPr>
      <w:r>
        <w:rPr>
          <w:b/>
          <w:sz w:val="22"/>
          <w:szCs w:val="22"/>
        </w:rPr>
        <w:t>Distribución de la población residente de los grandes grupos étnicos, por religión</w:t>
      </w:r>
    </w:p>
    <w:p w:rsidR="00000000" w:rsidRDefault="00000000">
      <w:pPr>
        <w:spacing w:after="220"/>
        <w:jc w:val="center"/>
        <w:rPr>
          <w:sz w:val="22"/>
          <w:szCs w:val="22"/>
        </w:rPr>
      </w:pPr>
      <w:r>
        <w:rPr>
          <w:sz w:val="22"/>
          <w:szCs w:val="22"/>
        </w:rPr>
        <w:t>(En porcentaje)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Pr>
      <w:tblGrid>
        <w:gridCol w:w="1474"/>
        <w:gridCol w:w="967"/>
        <w:gridCol w:w="895"/>
        <w:gridCol w:w="1235"/>
        <w:gridCol w:w="1186"/>
        <w:gridCol w:w="651"/>
        <w:gridCol w:w="919"/>
        <w:gridCol w:w="1515"/>
        <w:gridCol w:w="615"/>
      </w:tblGrid>
      <w:tr w:rsidR="00000000">
        <w:trPr>
          <w:cantSplit/>
        </w:trPr>
        <w:tc>
          <w:tcPr>
            <w:tcW w:w="1474" w:type="dxa"/>
            <w:vMerge w:val="restart"/>
            <w:tcMar>
              <w:left w:w="51" w:type="dxa"/>
              <w:right w:w="51" w:type="dxa"/>
            </w:tcMar>
            <w:vAlign w:val="center"/>
          </w:tcPr>
          <w:p w:rsidR="00000000" w:rsidRDefault="00000000">
            <w:pPr>
              <w:jc w:val="center"/>
              <w:rPr>
                <w:b/>
                <w:sz w:val="21"/>
                <w:szCs w:val="21"/>
              </w:rPr>
            </w:pPr>
            <w:r>
              <w:rPr>
                <w:b/>
                <w:sz w:val="21"/>
                <w:szCs w:val="21"/>
              </w:rPr>
              <w:t>Gran grupo étnico</w:t>
            </w:r>
          </w:p>
        </w:tc>
        <w:tc>
          <w:tcPr>
            <w:tcW w:w="7983" w:type="dxa"/>
            <w:gridSpan w:val="8"/>
            <w:tcMar>
              <w:left w:w="51" w:type="dxa"/>
              <w:right w:w="51" w:type="dxa"/>
            </w:tcMar>
            <w:vAlign w:val="center"/>
          </w:tcPr>
          <w:p w:rsidR="00000000" w:rsidRDefault="00000000">
            <w:pPr>
              <w:jc w:val="center"/>
              <w:rPr>
                <w:b/>
                <w:sz w:val="21"/>
                <w:szCs w:val="21"/>
              </w:rPr>
            </w:pPr>
            <w:r>
              <w:rPr>
                <w:b/>
                <w:sz w:val="21"/>
                <w:szCs w:val="21"/>
              </w:rPr>
              <w:t>Religión</w:t>
            </w:r>
          </w:p>
        </w:tc>
      </w:tr>
      <w:tr w:rsidR="00000000">
        <w:trPr>
          <w:cantSplit/>
        </w:trPr>
        <w:tc>
          <w:tcPr>
            <w:tcW w:w="1474" w:type="dxa"/>
            <w:vMerge/>
            <w:tcMar>
              <w:left w:w="51" w:type="dxa"/>
              <w:right w:w="51" w:type="dxa"/>
            </w:tcMar>
            <w:vAlign w:val="center"/>
          </w:tcPr>
          <w:p w:rsidR="00000000" w:rsidRDefault="00000000">
            <w:pPr>
              <w:jc w:val="center"/>
              <w:rPr>
                <w:i/>
                <w:sz w:val="21"/>
                <w:szCs w:val="21"/>
              </w:rPr>
            </w:pPr>
          </w:p>
        </w:tc>
        <w:tc>
          <w:tcPr>
            <w:tcW w:w="967" w:type="dxa"/>
            <w:tcMar>
              <w:left w:w="51" w:type="dxa"/>
              <w:right w:w="51" w:type="dxa"/>
            </w:tcMar>
            <w:vAlign w:val="center"/>
          </w:tcPr>
          <w:p w:rsidR="00000000" w:rsidRDefault="00000000">
            <w:pPr>
              <w:jc w:val="center"/>
              <w:rPr>
                <w:b/>
                <w:sz w:val="21"/>
                <w:szCs w:val="21"/>
              </w:rPr>
            </w:pPr>
            <w:r>
              <w:rPr>
                <w:b/>
                <w:sz w:val="21"/>
                <w:szCs w:val="21"/>
              </w:rPr>
              <w:t>Animista</w:t>
            </w:r>
          </w:p>
        </w:tc>
        <w:tc>
          <w:tcPr>
            <w:tcW w:w="895" w:type="dxa"/>
            <w:tcMar>
              <w:left w:w="51" w:type="dxa"/>
              <w:right w:w="51" w:type="dxa"/>
            </w:tcMar>
            <w:vAlign w:val="center"/>
          </w:tcPr>
          <w:p w:rsidR="00000000" w:rsidRDefault="00000000">
            <w:pPr>
              <w:jc w:val="center"/>
              <w:rPr>
                <w:b/>
                <w:sz w:val="21"/>
                <w:szCs w:val="21"/>
              </w:rPr>
            </w:pPr>
            <w:r>
              <w:rPr>
                <w:b/>
                <w:sz w:val="21"/>
                <w:szCs w:val="21"/>
              </w:rPr>
              <w:t>Católica</w:t>
            </w:r>
          </w:p>
        </w:tc>
        <w:tc>
          <w:tcPr>
            <w:tcW w:w="1235" w:type="dxa"/>
            <w:tcMar>
              <w:left w:w="51" w:type="dxa"/>
              <w:right w:w="51" w:type="dxa"/>
            </w:tcMar>
            <w:vAlign w:val="center"/>
          </w:tcPr>
          <w:p w:rsidR="00000000" w:rsidRDefault="00000000">
            <w:pPr>
              <w:jc w:val="center"/>
              <w:rPr>
                <w:b/>
                <w:sz w:val="21"/>
                <w:szCs w:val="21"/>
              </w:rPr>
            </w:pPr>
            <w:r>
              <w:rPr>
                <w:b/>
                <w:sz w:val="21"/>
                <w:szCs w:val="21"/>
              </w:rPr>
              <w:t>Musulmana</w:t>
            </w:r>
          </w:p>
        </w:tc>
        <w:tc>
          <w:tcPr>
            <w:tcW w:w="1186" w:type="dxa"/>
            <w:tcMar>
              <w:left w:w="51" w:type="dxa"/>
              <w:right w:w="51" w:type="dxa"/>
            </w:tcMar>
            <w:vAlign w:val="center"/>
          </w:tcPr>
          <w:p w:rsidR="00000000" w:rsidRDefault="00000000">
            <w:pPr>
              <w:jc w:val="center"/>
              <w:rPr>
                <w:b/>
                <w:sz w:val="21"/>
                <w:szCs w:val="21"/>
              </w:rPr>
            </w:pPr>
            <w:r>
              <w:rPr>
                <w:b/>
                <w:sz w:val="21"/>
                <w:szCs w:val="21"/>
              </w:rPr>
              <w:t>Protestante</w:t>
            </w:r>
          </w:p>
        </w:tc>
        <w:tc>
          <w:tcPr>
            <w:tcW w:w="651" w:type="dxa"/>
            <w:tcMar>
              <w:left w:w="51" w:type="dxa"/>
              <w:right w:w="51" w:type="dxa"/>
            </w:tcMar>
            <w:vAlign w:val="center"/>
          </w:tcPr>
          <w:p w:rsidR="00000000" w:rsidRDefault="00000000">
            <w:pPr>
              <w:jc w:val="center"/>
              <w:rPr>
                <w:b/>
                <w:sz w:val="21"/>
                <w:szCs w:val="21"/>
              </w:rPr>
            </w:pPr>
            <w:r>
              <w:rPr>
                <w:b/>
                <w:sz w:val="21"/>
                <w:szCs w:val="21"/>
              </w:rPr>
              <w:t>Otras</w:t>
            </w:r>
          </w:p>
        </w:tc>
        <w:tc>
          <w:tcPr>
            <w:tcW w:w="919" w:type="dxa"/>
            <w:tcMar>
              <w:left w:w="51" w:type="dxa"/>
              <w:right w:w="51" w:type="dxa"/>
            </w:tcMar>
            <w:vAlign w:val="center"/>
          </w:tcPr>
          <w:p w:rsidR="00000000" w:rsidRDefault="00000000">
            <w:pPr>
              <w:jc w:val="center"/>
              <w:rPr>
                <w:b/>
                <w:sz w:val="21"/>
                <w:szCs w:val="21"/>
              </w:rPr>
            </w:pPr>
            <w:r>
              <w:rPr>
                <w:b/>
                <w:sz w:val="21"/>
                <w:szCs w:val="21"/>
              </w:rPr>
              <w:t>Ninguna</w:t>
            </w:r>
          </w:p>
        </w:tc>
        <w:tc>
          <w:tcPr>
            <w:tcW w:w="1515" w:type="dxa"/>
            <w:tcMar>
              <w:left w:w="51" w:type="dxa"/>
              <w:right w:w="51" w:type="dxa"/>
            </w:tcMar>
            <w:vAlign w:val="center"/>
          </w:tcPr>
          <w:p w:rsidR="00000000" w:rsidRDefault="00000000">
            <w:pPr>
              <w:jc w:val="center"/>
              <w:rPr>
                <w:b/>
                <w:sz w:val="21"/>
                <w:szCs w:val="21"/>
              </w:rPr>
            </w:pPr>
            <w:r>
              <w:rPr>
                <w:b/>
                <w:sz w:val="21"/>
                <w:szCs w:val="21"/>
              </w:rPr>
              <w:t>Indeterminada</w:t>
            </w:r>
          </w:p>
        </w:tc>
        <w:tc>
          <w:tcPr>
            <w:tcW w:w="615" w:type="dxa"/>
            <w:tcMar>
              <w:left w:w="51" w:type="dxa"/>
              <w:right w:w="51" w:type="dxa"/>
            </w:tcMar>
            <w:vAlign w:val="center"/>
          </w:tcPr>
          <w:p w:rsidR="00000000" w:rsidRDefault="00000000">
            <w:pPr>
              <w:jc w:val="center"/>
              <w:rPr>
                <w:b/>
                <w:sz w:val="21"/>
                <w:szCs w:val="21"/>
              </w:rPr>
            </w:pPr>
            <w:r>
              <w:rPr>
                <w:b/>
                <w:sz w:val="21"/>
                <w:szCs w:val="21"/>
              </w:rPr>
              <w:t>Total</w:t>
            </w:r>
          </w:p>
        </w:tc>
      </w:tr>
      <w:tr w:rsidR="00000000">
        <w:tc>
          <w:tcPr>
            <w:tcW w:w="1474" w:type="dxa"/>
            <w:tcMar>
              <w:left w:w="51" w:type="dxa"/>
              <w:right w:w="51" w:type="dxa"/>
            </w:tcMar>
          </w:tcPr>
          <w:p w:rsidR="00000000" w:rsidRDefault="00000000">
            <w:pPr>
              <w:rPr>
                <w:sz w:val="21"/>
                <w:szCs w:val="21"/>
              </w:rPr>
            </w:pPr>
            <w:r>
              <w:rPr>
                <w:sz w:val="21"/>
                <w:szCs w:val="21"/>
              </w:rPr>
              <w:t>Árabe</w:t>
            </w:r>
          </w:p>
        </w:tc>
        <w:tc>
          <w:tcPr>
            <w:tcW w:w="967" w:type="dxa"/>
            <w:tcMar>
              <w:left w:w="51" w:type="dxa"/>
              <w:right w:w="51" w:type="dxa"/>
            </w:tcMar>
            <w:vAlign w:val="bottom"/>
          </w:tcPr>
          <w:p w:rsidR="00000000" w:rsidRDefault="00000000">
            <w:pPr>
              <w:tabs>
                <w:tab w:val="decimal" w:pos="458"/>
              </w:tabs>
              <w:rPr>
                <w:sz w:val="21"/>
                <w:szCs w:val="21"/>
              </w:rPr>
            </w:pPr>
            <w:r>
              <w:rPr>
                <w:sz w:val="21"/>
                <w:szCs w:val="21"/>
              </w:rPr>
              <w:t>0,3</w:t>
            </w:r>
          </w:p>
        </w:tc>
        <w:tc>
          <w:tcPr>
            <w:tcW w:w="895" w:type="dxa"/>
            <w:tcMar>
              <w:left w:w="51" w:type="dxa"/>
              <w:right w:w="51" w:type="dxa"/>
            </w:tcMar>
            <w:vAlign w:val="bottom"/>
          </w:tcPr>
          <w:p w:rsidR="00000000" w:rsidRDefault="00000000">
            <w:pPr>
              <w:tabs>
                <w:tab w:val="decimal" w:pos="485"/>
              </w:tabs>
              <w:rPr>
                <w:sz w:val="21"/>
                <w:szCs w:val="21"/>
              </w:rPr>
            </w:pPr>
            <w:r>
              <w:rPr>
                <w:sz w:val="21"/>
                <w:szCs w:val="21"/>
              </w:rPr>
              <w:t>0,1</w:t>
            </w:r>
          </w:p>
        </w:tc>
        <w:tc>
          <w:tcPr>
            <w:tcW w:w="1235" w:type="dxa"/>
            <w:tcMar>
              <w:left w:w="51" w:type="dxa"/>
              <w:right w:w="51" w:type="dxa"/>
            </w:tcMar>
            <w:vAlign w:val="bottom"/>
          </w:tcPr>
          <w:p w:rsidR="00000000" w:rsidRDefault="00000000">
            <w:pPr>
              <w:tabs>
                <w:tab w:val="decimal" w:pos="612"/>
              </w:tabs>
              <w:rPr>
                <w:sz w:val="21"/>
                <w:szCs w:val="21"/>
              </w:rPr>
            </w:pPr>
            <w:r>
              <w:rPr>
                <w:sz w:val="21"/>
                <w:szCs w:val="21"/>
              </w:rPr>
              <w:t>22,6</w:t>
            </w:r>
          </w:p>
        </w:tc>
        <w:tc>
          <w:tcPr>
            <w:tcW w:w="1186" w:type="dxa"/>
            <w:tcMar>
              <w:left w:w="51" w:type="dxa"/>
              <w:right w:w="51" w:type="dxa"/>
            </w:tcMar>
            <w:vAlign w:val="bottom"/>
          </w:tcPr>
          <w:p w:rsidR="00000000" w:rsidRDefault="00000000">
            <w:pPr>
              <w:tabs>
                <w:tab w:val="decimal" w:pos="623"/>
              </w:tabs>
              <w:rPr>
                <w:sz w:val="21"/>
                <w:szCs w:val="21"/>
              </w:rPr>
            </w:pPr>
            <w:r>
              <w:rPr>
                <w:sz w:val="21"/>
                <w:szCs w:val="21"/>
              </w:rPr>
              <w:t>0,0</w:t>
            </w:r>
          </w:p>
        </w:tc>
        <w:tc>
          <w:tcPr>
            <w:tcW w:w="651" w:type="dxa"/>
            <w:tcMar>
              <w:left w:w="51" w:type="dxa"/>
              <w:right w:w="51" w:type="dxa"/>
            </w:tcMar>
            <w:vAlign w:val="bottom"/>
          </w:tcPr>
          <w:p w:rsidR="00000000" w:rsidRDefault="00000000">
            <w:pPr>
              <w:tabs>
                <w:tab w:val="decimal" w:pos="360"/>
              </w:tabs>
              <w:rPr>
                <w:sz w:val="21"/>
                <w:szCs w:val="21"/>
              </w:rPr>
            </w:pPr>
            <w:r>
              <w:rPr>
                <w:sz w:val="21"/>
                <w:szCs w:val="21"/>
              </w:rPr>
              <w:t>0,3</w:t>
            </w:r>
          </w:p>
        </w:tc>
        <w:tc>
          <w:tcPr>
            <w:tcW w:w="919" w:type="dxa"/>
            <w:tcMar>
              <w:left w:w="51" w:type="dxa"/>
              <w:right w:w="51" w:type="dxa"/>
            </w:tcMar>
            <w:vAlign w:val="bottom"/>
          </w:tcPr>
          <w:p w:rsidR="00000000" w:rsidRDefault="00000000">
            <w:pPr>
              <w:tabs>
                <w:tab w:val="decimal" w:pos="504"/>
              </w:tabs>
              <w:rPr>
                <w:sz w:val="21"/>
                <w:szCs w:val="21"/>
              </w:rPr>
            </w:pPr>
            <w:r>
              <w:rPr>
                <w:sz w:val="21"/>
                <w:szCs w:val="21"/>
              </w:rPr>
              <w:t>0,4</w:t>
            </w:r>
          </w:p>
        </w:tc>
        <w:tc>
          <w:tcPr>
            <w:tcW w:w="1515" w:type="dxa"/>
            <w:tcMar>
              <w:left w:w="51" w:type="dxa"/>
              <w:right w:w="51" w:type="dxa"/>
            </w:tcMar>
            <w:vAlign w:val="bottom"/>
          </w:tcPr>
          <w:p w:rsidR="00000000" w:rsidRDefault="00000000">
            <w:pPr>
              <w:tabs>
                <w:tab w:val="decimal" w:pos="792"/>
              </w:tabs>
              <w:rPr>
                <w:sz w:val="21"/>
                <w:szCs w:val="21"/>
              </w:rPr>
            </w:pPr>
            <w:r>
              <w:rPr>
                <w:sz w:val="21"/>
                <w:szCs w:val="21"/>
              </w:rPr>
              <w:t>13,6</w:t>
            </w:r>
          </w:p>
        </w:tc>
        <w:tc>
          <w:tcPr>
            <w:tcW w:w="615" w:type="dxa"/>
            <w:tcMar>
              <w:left w:w="51" w:type="dxa"/>
              <w:right w:w="51" w:type="dxa"/>
            </w:tcMar>
            <w:vAlign w:val="bottom"/>
          </w:tcPr>
          <w:p w:rsidR="00000000" w:rsidRDefault="00000000">
            <w:pPr>
              <w:tabs>
                <w:tab w:val="decimal" w:pos="355"/>
              </w:tabs>
              <w:rPr>
                <w:sz w:val="21"/>
                <w:szCs w:val="21"/>
              </w:rPr>
            </w:pPr>
            <w:r>
              <w:rPr>
                <w:sz w:val="21"/>
                <w:szCs w:val="21"/>
              </w:rPr>
              <w:t>12,3</w:t>
            </w:r>
          </w:p>
        </w:tc>
      </w:tr>
      <w:tr w:rsidR="00000000">
        <w:tc>
          <w:tcPr>
            <w:tcW w:w="1474" w:type="dxa"/>
            <w:tcMar>
              <w:left w:w="51" w:type="dxa"/>
              <w:right w:w="51" w:type="dxa"/>
            </w:tcMar>
          </w:tcPr>
          <w:p w:rsidR="00000000" w:rsidRDefault="00000000">
            <w:pPr>
              <w:rPr>
                <w:sz w:val="21"/>
                <w:szCs w:val="21"/>
              </w:rPr>
            </w:pPr>
            <w:r>
              <w:rPr>
                <w:sz w:val="21"/>
                <w:szCs w:val="21"/>
              </w:rPr>
              <w:t>Baguirmien</w:t>
            </w:r>
          </w:p>
        </w:tc>
        <w:tc>
          <w:tcPr>
            <w:tcW w:w="967" w:type="dxa"/>
            <w:tcMar>
              <w:left w:w="51" w:type="dxa"/>
              <w:right w:w="51" w:type="dxa"/>
            </w:tcMar>
            <w:vAlign w:val="bottom"/>
          </w:tcPr>
          <w:p w:rsidR="00000000" w:rsidRDefault="00000000">
            <w:pPr>
              <w:tabs>
                <w:tab w:val="decimal" w:pos="458"/>
              </w:tabs>
              <w:rPr>
                <w:sz w:val="21"/>
                <w:szCs w:val="21"/>
              </w:rPr>
            </w:pPr>
            <w:r>
              <w:rPr>
                <w:sz w:val="21"/>
                <w:szCs w:val="21"/>
              </w:rPr>
              <w:t>2,3</w:t>
            </w:r>
          </w:p>
        </w:tc>
        <w:tc>
          <w:tcPr>
            <w:tcW w:w="895" w:type="dxa"/>
            <w:tcMar>
              <w:left w:w="51" w:type="dxa"/>
              <w:right w:w="51" w:type="dxa"/>
            </w:tcMar>
            <w:vAlign w:val="bottom"/>
          </w:tcPr>
          <w:p w:rsidR="00000000" w:rsidRDefault="00000000">
            <w:pPr>
              <w:tabs>
                <w:tab w:val="decimal" w:pos="485"/>
              </w:tabs>
              <w:rPr>
                <w:sz w:val="21"/>
                <w:szCs w:val="21"/>
              </w:rPr>
            </w:pPr>
            <w:r>
              <w:rPr>
                <w:sz w:val="21"/>
                <w:szCs w:val="21"/>
              </w:rPr>
              <w:t>0,5</w:t>
            </w:r>
          </w:p>
        </w:tc>
        <w:tc>
          <w:tcPr>
            <w:tcW w:w="1235" w:type="dxa"/>
            <w:tcMar>
              <w:left w:w="51" w:type="dxa"/>
              <w:right w:w="51" w:type="dxa"/>
            </w:tcMar>
            <w:vAlign w:val="bottom"/>
          </w:tcPr>
          <w:p w:rsidR="00000000" w:rsidRDefault="00000000">
            <w:pPr>
              <w:tabs>
                <w:tab w:val="decimal" w:pos="612"/>
              </w:tabs>
              <w:rPr>
                <w:sz w:val="21"/>
                <w:szCs w:val="21"/>
              </w:rPr>
            </w:pPr>
            <w:r>
              <w:rPr>
                <w:sz w:val="21"/>
                <w:szCs w:val="21"/>
              </w:rPr>
              <w:t>2,0</w:t>
            </w:r>
          </w:p>
        </w:tc>
        <w:tc>
          <w:tcPr>
            <w:tcW w:w="1186" w:type="dxa"/>
            <w:tcMar>
              <w:left w:w="51" w:type="dxa"/>
              <w:right w:w="51" w:type="dxa"/>
            </w:tcMar>
            <w:vAlign w:val="bottom"/>
          </w:tcPr>
          <w:p w:rsidR="00000000" w:rsidRDefault="00000000">
            <w:pPr>
              <w:tabs>
                <w:tab w:val="decimal" w:pos="623"/>
              </w:tabs>
              <w:rPr>
                <w:sz w:val="21"/>
                <w:szCs w:val="21"/>
              </w:rPr>
            </w:pPr>
            <w:r>
              <w:rPr>
                <w:sz w:val="21"/>
                <w:szCs w:val="21"/>
              </w:rPr>
              <w:t>0,2</w:t>
            </w:r>
          </w:p>
        </w:tc>
        <w:tc>
          <w:tcPr>
            <w:tcW w:w="651" w:type="dxa"/>
            <w:tcMar>
              <w:left w:w="51" w:type="dxa"/>
              <w:right w:w="51" w:type="dxa"/>
            </w:tcMar>
            <w:vAlign w:val="bottom"/>
          </w:tcPr>
          <w:p w:rsidR="00000000" w:rsidRDefault="00000000">
            <w:pPr>
              <w:tabs>
                <w:tab w:val="decimal" w:pos="360"/>
              </w:tabs>
              <w:rPr>
                <w:sz w:val="21"/>
                <w:szCs w:val="21"/>
              </w:rPr>
            </w:pPr>
            <w:r>
              <w:rPr>
                <w:sz w:val="21"/>
                <w:szCs w:val="21"/>
              </w:rPr>
              <w:t>1,0</w:t>
            </w:r>
          </w:p>
        </w:tc>
        <w:tc>
          <w:tcPr>
            <w:tcW w:w="919" w:type="dxa"/>
            <w:tcMar>
              <w:left w:w="51" w:type="dxa"/>
              <w:right w:w="51" w:type="dxa"/>
            </w:tcMar>
            <w:vAlign w:val="bottom"/>
          </w:tcPr>
          <w:p w:rsidR="00000000" w:rsidRDefault="00000000">
            <w:pPr>
              <w:tabs>
                <w:tab w:val="decimal" w:pos="504"/>
              </w:tabs>
              <w:rPr>
                <w:sz w:val="21"/>
                <w:szCs w:val="21"/>
              </w:rPr>
            </w:pPr>
            <w:r>
              <w:rPr>
                <w:sz w:val="21"/>
                <w:szCs w:val="21"/>
              </w:rPr>
              <w:t>3,3</w:t>
            </w:r>
          </w:p>
        </w:tc>
        <w:tc>
          <w:tcPr>
            <w:tcW w:w="1515" w:type="dxa"/>
            <w:tcMar>
              <w:left w:w="51" w:type="dxa"/>
              <w:right w:w="51" w:type="dxa"/>
            </w:tcMar>
            <w:vAlign w:val="bottom"/>
          </w:tcPr>
          <w:p w:rsidR="00000000" w:rsidRDefault="00000000">
            <w:pPr>
              <w:tabs>
                <w:tab w:val="decimal" w:pos="792"/>
              </w:tabs>
              <w:rPr>
                <w:sz w:val="21"/>
                <w:szCs w:val="21"/>
              </w:rPr>
            </w:pPr>
            <w:r>
              <w:rPr>
                <w:sz w:val="21"/>
                <w:szCs w:val="21"/>
              </w:rPr>
              <w:t>1,6</w:t>
            </w:r>
          </w:p>
        </w:tc>
        <w:tc>
          <w:tcPr>
            <w:tcW w:w="615" w:type="dxa"/>
            <w:tcMar>
              <w:left w:w="51" w:type="dxa"/>
              <w:right w:w="51" w:type="dxa"/>
            </w:tcMar>
            <w:vAlign w:val="bottom"/>
          </w:tcPr>
          <w:p w:rsidR="00000000" w:rsidRDefault="00000000">
            <w:pPr>
              <w:tabs>
                <w:tab w:val="decimal" w:pos="355"/>
              </w:tabs>
              <w:rPr>
                <w:sz w:val="21"/>
                <w:szCs w:val="21"/>
              </w:rPr>
            </w:pPr>
            <w:r>
              <w:rPr>
                <w:sz w:val="21"/>
                <w:szCs w:val="21"/>
              </w:rPr>
              <w:t>1,5</w:t>
            </w:r>
          </w:p>
        </w:tc>
      </w:tr>
      <w:tr w:rsidR="00000000">
        <w:tc>
          <w:tcPr>
            <w:tcW w:w="1474" w:type="dxa"/>
            <w:tcMar>
              <w:left w:w="51" w:type="dxa"/>
              <w:right w:w="51" w:type="dxa"/>
            </w:tcMar>
          </w:tcPr>
          <w:p w:rsidR="00000000" w:rsidRDefault="00000000">
            <w:pPr>
              <w:rPr>
                <w:sz w:val="21"/>
                <w:szCs w:val="21"/>
              </w:rPr>
            </w:pPr>
            <w:r>
              <w:rPr>
                <w:sz w:val="21"/>
                <w:szCs w:val="21"/>
              </w:rPr>
              <w:t>Fitri Batha</w:t>
            </w:r>
          </w:p>
        </w:tc>
        <w:tc>
          <w:tcPr>
            <w:tcW w:w="967" w:type="dxa"/>
            <w:tcMar>
              <w:left w:w="51" w:type="dxa"/>
              <w:right w:w="51" w:type="dxa"/>
            </w:tcMar>
            <w:vAlign w:val="bottom"/>
          </w:tcPr>
          <w:p w:rsidR="00000000" w:rsidRDefault="00000000">
            <w:pPr>
              <w:tabs>
                <w:tab w:val="decimal" w:pos="458"/>
              </w:tabs>
              <w:rPr>
                <w:sz w:val="21"/>
                <w:szCs w:val="21"/>
              </w:rPr>
            </w:pPr>
            <w:r>
              <w:rPr>
                <w:sz w:val="21"/>
                <w:szCs w:val="21"/>
              </w:rPr>
              <w:t>0,1</w:t>
            </w:r>
          </w:p>
        </w:tc>
        <w:tc>
          <w:tcPr>
            <w:tcW w:w="895" w:type="dxa"/>
            <w:tcMar>
              <w:left w:w="51" w:type="dxa"/>
              <w:right w:w="51" w:type="dxa"/>
            </w:tcMar>
            <w:vAlign w:val="bottom"/>
          </w:tcPr>
          <w:p w:rsidR="00000000" w:rsidRDefault="00000000">
            <w:pPr>
              <w:tabs>
                <w:tab w:val="decimal" w:pos="485"/>
              </w:tabs>
              <w:rPr>
                <w:sz w:val="21"/>
                <w:szCs w:val="21"/>
              </w:rPr>
            </w:pPr>
            <w:r>
              <w:rPr>
                <w:sz w:val="21"/>
                <w:szCs w:val="21"/>
              </w:rPr>
              <w:t>0,0</w:t>
            </w:r>
          </w:p>
        </w:tc>
        <w:tc>
          <w:tcPr>
            <w:tcW w:w="1235" w:type="dxa"/>
            <w:tcMar>
              <w:left w:w="51" w:type="dxa"/>
              <w:right w:w="51" w:type="dxa"/>
            </w:tcMar>
            <w:vAlign w:val="bottom"/>
          </w:tcPr>
          <w:p w:rsidR="00000000" w:rsidRDefault="00000000">
            <w:pPr>
              <w:tabs>
                <w:tab w:val="decimal" w:pos="612"/>
              </w:tabs>
              <w:rPr>
                <w:sz w:val="21"/>
                <w:szCs w:val="21"/>
              </w:rPr>
            </w:pPr>
            <w:r>
              <w:rPr>
                <w:sz w:val="21"/>
                <w:szCs w:val="21"/>
              </w:rPr>
              <w:t>8,6</w:t>
            </w:r>
          </w:p>
        </w:tc>
        <w:tc>
          <w:tcPr>
            <w:tcW w:w="1186" w:type="dxa"/>
            <w:tcMar>
              <w:left w:w="51" w:type="dxa"/>
              <w:right w:w="51" w:type="dxa"/>
            </w:tcMar>
            <w:vAlign w:val="bottom"/>
          </w:tcPr>
          <w:p w:rsidR="00000000" w:rsidRDefault="00000000">
            <w:pPr>
              <w:tabs>
                <w:tab w:val="decimal" w:pos="623"/>
              </w:tabs>
              <w:rPr>
                <w:sz w:val="21"/>
                <w:szCs w:val="21"/>
              </w:rPr>
            </w:pPr>
            <w:r>
              <w:rPr>
                <w:sz w:val="21"/>
                <w:szCs w:val="21"/>
              </w:rPr>
              <w:t>0,0</w:t>
            </w:r>
          </w:p>
        </w:tc>
        <w:tc>
          <w:tcPr>
            <w:tcW w:w="651" w:type="dxa"/>
            <w:tcMar>
              <w:left w:w="51" w:type="dxa"/>
              <w:right w:w="51" w:type="dxa"/>
            </w:tcMar>
            <w:vAlign w:val="bottom"/>
          </w:tcPr>
          <w:p w:rsidR="00000000" w:rsidRDefault="00000000">
            <w:pPr>
              <w:tabs>
                <w:tab w:val="decimal" w:pos="360"/>
              </w:tabs>
              <w:rPr>
                <w:sz w:val="21"/>
                <w:szCs w:val="21"/>
              </w:rPr>
            </w:pPr>
            <w:r>
              <w:rPr>
                <w:sz w:val="21"/>
                <w:szCs w:val="21"/>
              </w:rPr>
              <w:t>0,0</w:t>
            </w:r>
          </w:p>
        </w:tc>
        <w:tc>
          <w:tcPr>
            <w:tcW w:w="919" w:type="dxa"/>
            <w:tcMar>
              <w:left w:w="51" w:type="dxa"/>
              <w:right w:w="51" w:type="dxa"/>
            </w:tcMar>
            <w:vAlign w:val="bottom"/>
          </w:tcPr>
          <w:p w:rsidR="00000000" w:rsidRDefault="00000000">
            <w:pPr>
              <w:tabs>
                <w:tab w:val="decimal" w:pos="504"/>
              </w:tabs>
              <w:rPr>
                <w:sz w:val="21"/>
                <w:szCs w:val="21"/>
              </w:rPr>
            </w:pPr>
            <w:r>
              <w:rPr>
                <w:sz w:val="21"/>
                <w:szCs w:val="21"/>
              </w:rPr>
              <w:t>0,1</w:t>
            </w:r>
          </w:p>
        </w:tc>
        <w:tc>
          <w:tcPr>
            <w:tcW w:w="1515" w:type="dxa"/>
            <w:tcMar>
              <w:left w:w="51" w:type="dxa"/>
              <w:right w:w="51" w:type="dxa"/>
            </w:tcMar>
            <w:vAlign w:val="bottom"/>
          </w:tcPr>
          <w:p w:rsidR="00000000" w:rsidRDefault="00000000">
            <w:pPr>
              <w:tabs>
                <w:tab w:val="decimal" w:pos="792"/>
              </w:tabs>
              <w:rPr>
                <w:sz w:val="21"/>
                <w:szCs w:val="21"/>
              </w:rPr>
            </w:pPr>
            <w:r>
              <w:rPr>
                <w:sz w:val="21"/>
                <w:szCs w:val="21"/>
              </w:rPr>
              <w:t>5,9</w:t>
            </w:r>
          </w:p>
        </w:tc>
        <w:tc>
          <w:tcPr>
            <w:tcW w:w="615" w:type="dxa"/>
            <w:tcMar>
              <w:left w:w="51" w:type="dxa"/>
              <w:right w:w="51" w:type="dxa"/>
            </w:tcMar>
            <w:vAlign w:val="bottom"/>
          </w:tcPr>
          <w:p w:rsidR="00000000" w:rsidRDefault="00000000">
            <w:pPr>
              <w:tabs>
                <w:tab w:val="decimal" w:pos="355"/>
              </w:tabs>
              <w:rPr>
                <w:sz w:val="21"/>
                <w:szCs w:val="21"/>
              </w:rPr>
            </w:pPr>
            <w:r>
              <w:rPr>
                <w:sz w:val="21"/>
                <w:szCs w:val="21"/>
              </w:rPr>
              <w:t>4,7</w:t>
            </w:r>
          </w:p>
        </w:tc>
      </w:tr>
      <w:tr w:rsidR="00000000">
        <w:tc>
          <w:tcPr>
            <w:tcW w:w="1474" w:type="dxa"/>
            <w:tcMar>
              <w:left w:w="51" w:type="dxa"/>
              <w:right w:w="51" w:type="dxa"/>
            </w:tcMar>
          </w:tcPr>
          <w:p w:rsidR="00000000" w:rsidRDefault="00000000">
            <w:pPr>
              <w:rPr>
                <w:sz w:val="21"/>
                <w:szCs w:val="21"/>
              </w:rPr>
            </w:pPr>
            <w:r>
              <w:rPr>
                <w:sz w:val="21"/>
                <w:szCs w:val="21"/>
              </w:rPr>
              <w:t>Gorane</w:t>
            </w:r>
          </w:p>
        </w:tc>
        <w:tc>
          <w:tcPr>
            <w:tcW w:w="967" w:type="dxa"/>
            <w:tcMar>
              <w:left w:w="51" w:type="dxa"/>
              <w:right w:w="51" w:type="dxa"/>
            </w:tcMar>
            <w:vAlign w:val="bottom"/>
          </w:tcPr>
          <w:p w:rsidR="00000000" w:rsidRDefault="00000000">
            <w:pPr>
              <w:tabs>
                <w:tab w:val="decimal" w:pos="458"/>
              </w:tabs>
              <w:rPr>
                <w:sz w:val="21"/>
                <w:szCs w:val="21"/>
              </w:rPr>
            </w:pPr>
            <w:r>
              <w:rPr>
                <w:sz w:val="21"/>
                <w:szCs w:val="21"/>
              </w:rPr>
              <w:t>0,2</w:t>
            </w:r>
          </w:p>
        </w:tc>
        <w:tc>
          <w:tcPr>
            <w:tcW w:w="895" w:type="dxa"/>
            <w:tcMar>
              <w:left w:w="51" w:type="dxa"/>
              <w:right w:w="51" w:type="dxa"/>
            </w:tcMar>
            <w:vAlign w:val="bottom"/>
          </w:tcPr>
          <w:p w:rsidR="00000000" w:rsidRDefault="00000000">
            <w:pPr>
              <w:tabs>
                <w:tab w:val="decimal" w:pos="485"/>
              </w:tabs>
              <w:rPr>
                <w:sz w:val="21"/>
                <w:szCs w:val="21"/>
              </w:rPr>
            </w:pPr>
            <w:r>
              <w:rPr>
                <w:sz w:val="21"/>
                <w:szCs w:val="21"/>
              </w:rPr>
              <w:t>0,0</w:t>
            </w:r>
          </w:p>
        </w:tc>
        <w:tc>
          <w:tcPr>
            <w:tcW w:w="1235" w:type="dxa"/>
            <w:tcMar>
              <w:left w:w="51" w:type="dxa"/>
              <w:right w:w="51" w:type="dxa"/>
            </w:tcMar>
            <w:vAlign w:val="bottom"/>
          </w:tcPr>
          <w:p w:rsidR="00000000" w:rsidRDefault="00000000">
            <w:pPr>
              <w:tabs>
                <w:tab w:val="decimal" w:pos="612"/>
              </w:tabs>
              <w:rPr>
                <w:sz w:val="21"/>
                <w:szCs w:val="21"/>
              </w:rPr>
            </w:pPr>
            <w:r>
              <w:rPr>
                <w:sz w:val="21"/>
                <w:szCs w:val="21"/>
              </w:rPr>
              <w:t>11,6</w:t>
            </w:r>
          </w:p>
        </w:tc>
        <w:tc>
          <w:tcPr>
            <w:tcW w:w="1186" w:type="dxa"/>
            <w:tcMar>
              <w:left w:w="51" w:type="dxa"/>
              <w:right w:w="51" w:type="dxa"/>
            </w:tcMar>
            <w:vAlign w:val="bottom"/>
          </w:tcPr>
          <w:p w:rsidR="00000000" w:rsidRDefault="00000000">
            <w:pPr>
              <w:tabs>
                <w:tab w:val="decimal" w:pos="623"/>
              </w:tabs>
              <w:rPr>
                <w:sz w:val="21"/>
                <w:szCs w:val="21"/>
              </w:rPr>
            </w:pPr>
            <w:r>
              <w:rPr>
                <w:sz w:val="21"/>
                <w:szCs w:val="21"/>
              </w:rPr>
              <w:t>0,0</w:t>
            </w:r>
          </w:p>
        </w:tc>
        <w:tc>
          <w:tcPr>
            <w:tcW w:w="651" w:type="dxa"/>
            <w:tcMar>
              <w:left w:w="51" w:type="dxa"/>
              <w:right w:w="51" w:type="dxa"/>
            </w:tcMar>
            <w:vAlign w:val="bottom"/>
          </w:tcPr>
          <w:p w:rsidR="00000000" w:rsidRDefault="00000000">
            <w:pPr>
              <w:tabs>
                <w:tab w:val="decimal" w:pos="360"/>
              </w:tabs>
              <w:rPr>
                <w:sz w:val="21"/>
                <w:szCs w:val="21"/>
              </w:rPr>
            </w:pPr>
            <w:r>
              <w:rPr>
                <w:sz w:val="21"/>
                <w:szCs w:val="21"/>
              </w:rPr>
              <w:t>0,3</w:t>
            </w:r>
          </w:p>
        </w:tc>
        <w:tc>
          <w:tcPr>
            <w:tcW w:w="919" w:type="dxa"/>
            <w:tcMar>
              <w:left w:w="51" w:type="dxa"/>
              <w:right w:w="51" w:type="dxa"/>
            </w:tcMar>
            <w:vAlign w:val="bottom"/>
          </w:tcPr>
          <w:p w:rsidR="00000000" w:rsidRDefault="00000000">
            <w:pPr>
              <w:tabs>
                <w:tab w:val="decimal" w:pos="504"/>
              </w:tabs>
              <w:rPr>
                <w:sz w:val="21"/>
                <w:szCs w:val="21"/>
              </w:rPr>
            </w:pPr>
            <w:r>
              <w:rPr>
                <w:sz w:val="21"/>
                <w:szCs w:val="21"/>
              </w:rPr>
              <w:t>0,1</w:t>
            </w:r>
          </w:p>
        </w:tc>
        <w:tc>
          <w:tcPr>
            <w:tcW w:w="1515" w:type="dxa"/>
            <w:tcMar>
              <w:left w:w="51" w:type="dxa"/>
              <w:right w:w="51" w:type="dxa"/>
            </w:tcMar>
            <w:vAlign w:val="bottom"/>
          </w:tcPr>
          <w:p w:rsidR="00000000" w:rsidRDefault="00000000">
            <w:pPr>
              <w:tabs>
                <w:tab w:val="decimal" w:pos="792"/>
              </w:tabs>
              <w:rPr>
                <w:sz w:val="21"/>
                <w:szCs w:val="21"/>
              </w:rPr>
            </w:pPr>
            <w:r>
              <w:rPr>
                <w:sz w:val="21"/>
                <w:szCs w:val="21"/>
              </w:rPr>
              <w:t>7,6</w:t>
            </w:r>
          </w:p>
        </w:tc>
        <w:tc>
          <w:tcPr>
            <w:tcW w:w="615" w:type="dxa"/>
            <w:tcMar>
              <w:left w:w="51" w:type="dxa"/>
              <w:right w:w="51" w:type="dxa"/>
            </w:tcMar>
            <w:vAlign w:val="bottom"/>
          </w:tcPr>
          <w:p w:rsidR="00000000" w:rsidRDefault="00000000">
            <w:pPr>
              <w:tabs>
                <w:tab w:val="decimal" w:pos="355"/>
              </w:tabs>
              <w:rPr>
                <w:sz w:val="21"/>
                <w:szCs w:val="21"/>
              </w:rPr>
            </w:pPr>
            <w:r>
              <w:rPr>
                <w:sz w:val="21"/>
                <w:szCs w:val="21"/>
              </w:rPr>
              <w:t>6,3</w:t>
            </w:r>
          </w:p>
        </w:tc>
      </w:tr>
      <w:tr w:rsidR="00000000">
        <w:tc>
          <w:tcPr>
            <w:tcW w:w="1474" w:type="dxa"/>
            <w:tcMar>
              <w:left w:w="51" w:type="dxa"/>
              <w:right w:w="51" w:type="dxa"/>
            </w:tcMar>
          </w:tcPr>
          <w:p w:rsidR="00000000" w:rsidRDefault="00000000">
            <w:pPr>
              <w:rPr>
                <w:sz w:val="21"/>
                <w:szCs w:val="21"/>
              </w:rPr>
            </w:pPr>
            <w:r>
              <w:rPr>
                <w:sz w:val="21"/>
                <w:szCs w:val="21"/>
              </w:rPr>
              <w:t>Hadjaraï</w:t>
            </w:r>
          </w:p>
        </w:tc>
        <w:tc>
          <w:tcPr>
            <w:tcW w:w="967" w:type="dxa"/>
            <w:tcMar>
              <w:left w:w="51" w:type="dxa"/>
              <w:right w:w="51" w:type="dxa"/>
            </w:tcMar>
            <w:vAlign w:val="bottom"/>
          </w:tcPr>
          <w:p w:rsidR="00000000" w:rsidRDefault="00000000">
            <w:pPr>
              <w:tabs>
                <w:tab w:val="decimal" w:pos="458"/>
              </w:tabs>
              <w:rPr>
                <w:sz w:val="21"/>
                <w:szCs w:val="21"/>
              </w:rPr>
            </w:pPr>
            <w:r>
              <w:rPr>
                <w:sz w:val="21"/>
                <w:szCs w:val="21"/>
              </w:rPr>
              <w:t>3,5</w:t>
            </w:r>
          </w:p>
        </w:tc>
        <w:tc>
          <w:tcPr>
            <w:tcW w:w="895" w:type="dxa"/>
            <w:tcMar>
              <w:left w:w="51" w:type="dxa"/>
              <w:right w:w="51" w:type="dxa"/>
            </w:tcMar>
            <w:vAlign w:val="bottom"/>
          </w:tcPr>
          <w:p w:rsidR="00000000" w:rsidRDefault="00000000">
            <w:pPr>
              <w:tabs>
                <w:tab w:val="decimal" w:pos="485"/>
              </w:tabs>
              <w:rPr>
                <w:sz w:val="21"/>
                <w:szCs w:val="21"/>
              </w:rPr>
            </w:pPr>
            <w:r>
              <w:rPr>
                <w:sz w:val="21"/>
                <w:szCs w:val="21"/>
              </w:rPr>
              <w:t>0,3</w:t>
            </w:r>
          </w:p>
        </w:tc>
        <w:tc>
          <w:tcPr>
            <w:tcW w:w="1235" w:type="dxa"/>
            <w:tcMar>
              <w:left w:w="51" w:type="dxa"/>
              <w:right w:w="51" w:type="dxa"/>
            </w:tcMar>
            <w:vAlign w:val="bottom"/>
          </w:tcPr>
          <w:p w:rsidR="00000000" w:rsidRDefault="00000000">
            <w:pPr>
              <w:tabs>
                <w:tab w:val="decimal" w:pos="612"/>
              </w:tabs>
              <w:rPr>
                <w:sz w:val="21"/>
                <w:szCs w:val="21"/>
              </w:rPr>
            </w:pPr>
            <w:r>
              <w:rPr>
                <w:sz w:val="21"/>
                <w:szCs w:val="21"/>
              </w:rPr>
              <w:t>11,5</w:t>
            </w:r>
          </w:p>
        </w:tc>
        <w:tc>
          <w:tcPr>
            <w:tcW w:w="1186" w:type="dxa"/>
            <w:tcMar>
              <w:left w:w="51" w:type="dxa"/>
              <w:right w:w="51" w:type="dxa"/>
            </w:tcMar>
            <w:vAlign w:val="bottom"/>
          </w:tcPr>
          <w:p w:rsidR="00000000" w:rsidRDefault="00000000">
            <w:pPr>
              <w:tabs>
                <w:tab w:val="decimal" w:pos="623"/>
              </w:tabs>
              <w:rPr>
                <w:sz w:val="21"/>
                <w:szCs w:val="21"/>
              </w:rPr>
            </w:pPr>
            <w:r>
              <w:rPr>
                <w:sz w:val="21"/>
                <w:szCs w:val="21"/>
              </w:rPr>
              <w:t>0,5</w:t>
            </w:r>
          </w:p>
        </w:tc>
        <w:tc>
          <w:tcPr>
            <w:tcW w:w="651" w:type="dxa"/>
            <w:tcMar>
              <w:left w:w="51" w:type="dxa"/>
              <w:right w:w="51" w:type="dxa"/>
            </w:tcMar>
            <w:vAlign w:val="bottom"/>
          </w:tcPr>
          <w:p w:rsidR="00000000" w:rsidRDefault="00000000">
            <w:pPr>
              <w:tabs>
                <w:tab w:val="decimal" w:pos="360"/>
              </w:tabs>
              <w:rPr>
                <w:sz w:val="21"/>
                <w:szCs w:val="21"/>
              </w:rPr>
            </w:pPr>
            <w:r>
              <w:rPr>
                <w:sz w:val="21"/>
                <w:szCs w:val="21"/>
              </w:rPr>
              <w:t>1,8</w:t>
            </w:r>
          </w:p>
        </w:tc>
        <w:tc>
          <w:tcPr>
            <w:tcW w:w="919" w:type="dxa"/>
            <w:tcMar>
              <w:left w:w="51" w:type="dxa"/>
              <w:right w:w="51" w:type="dxa"/>
            </w:tcMar>
            <w:vAlign w:val="bottom"/>
          </w:tcPr>
          <w:p w:rsidR="00000000" w:rsidRDefault="00000000">
            <w:pPr>
              <w:tabs>
                <w:tab w:val="decimal" w:pos="504"/>
              </w:tabs>
              <w:rPr>
                <w:sz w:val="21"/>
                <w:szCs w:val="21"/>
              </w:rPr>
            </w:pPr>
            <w:r>
              <w:rPr>
                <w:sz w:val="21"/>
                <w:szCs w:val="21"/>
              </w:rPr>
              <w:t>2,0</w:t>
            </w:r>
          </w:p>
        </w:tc>
        <w:tc>
          <w:tcPr>
            <w:tcW w:w="1515" w:type="dxa"/>
            <w:tcMar>
              <w:left w:w="51" w:type="dxa"/>
              <w:right w:w="51" w:type="dxa"/>
            </w:tcMar>
            <w:vAlign w:val="bottom"/>
          </w:tcPr>
          <w:p w:rsidR="00000000" w:rsidRDefault="00000000">
            <w:pPr>
              <w:tabs>
                <w:tab w:val="decimal" w:pos="792"/>
              </w:tabs>
              <w:rPr>
                <w:sz w:val="21"/>
                <w:szCs w:val="21"/>
              </w:rPr>
            </w:pPr>
            <w:r>
              <w:rPr>
                <w:sz w:val="21"/>
                <w:szCs w:val="21"/>
              </w:rPr>
              <w:t>8,3</w:t>
            </w:r>
          </w:p>
        </w:tc>
        <w:tc>
          <w:tcPr>
            <w:tcW w:w="615" w:type="dxa"/>
            <w:tcMar>
              <w:left w:w="51" w:type="dxa"/>
              <w:right w:w="51" w:type="dxa"/>
            </w:tcMar>
            <w:vAlign w:val="bottom"/>
          </w:tcPr>
          <w:p w:rsidR="00000000" w:rsidRDefault="00000000">
            <w:pPr>
              <w:tabs>
                <w:tab w:val="decimal" w:pos="355"/>
              </w:tabs>
              <w:rPr>
                <w:sz w:val="21"/>
                <w:szCs w:val="21"/>
              </w:rPr>
            </w:pPr>
            <w:r>
              <w:rPr>
                <w:sz w:val="21"/>
                <w:szCs w:val="21"/>
              </w:rPr>
              <w:t>6,7</w:t>
            </w:r>
          </w:p>
        </w:tc>
      </w:tr>
      <w:tr w:rsidR="00000000">
        <w:tc>
          <w:tcPr>
            <w:tcW w:w="1474" w:type="dxa"/>
            <w:tcMar>
              <w:left w:w="51" w:type="dxa"/>
              <w:right w:w="51" w:type="dxa"/>
            </w:tcMar>
          </w:tcPr>
          <w:p w:rsidR="00000000" w:rsidRDefault="00000000">
            <w:pPr>
              <w:rPr>
                <w:sz w:val="21"/>
                <w:szCs w:val="21"/>
              </w:rPr>
            </w:pPr>
            <w:r>
              <w:rPr>
                <w:sz w:val="21"/>
                <w:szCs w:val="21"/>
              </w:rPr>
              <w:t>Kanem-Bornou</w:t>
            </w:r>
          </w:p>
        </w:tc>
        <w:tc>
          <w:tcPr>
            <w:tcW w:w="967" w:type="dxa"/>
            <w:tcMar>
              <w:left w:w="51" w:type="dxa"/>
              <w:right w:w="51" w:type="dxa"/>
            </w:tcMar>
            <w:vAlign w:val="bottom"/>
          </w:tcPr>
          <w:p w:rsidR="00000000" w:rsidRDefault="00000000">
            <w:pPr>
              <w:tabs>
                <w:tab w:val="decimal" w:pos="458"/>
              </w:tabs>
              <w:rPr>
                <w:sz w:val="21"/>
                <w:szCs w:val="21"/>
              </w:rPr>
            </w:pPr>
            <w:r>
              <w:rPr>
                <w:sz w:val="21"/>
                <w:szCs w:val="21"/>
              </w:rPr>
              <w:t>0,2</w:t>
            </w:r>
          </w:p>
        </w:tc>
        <w:tc>
          <w:tcPr>
            <w:tcW w:w="895" w:type="dxa"/>
            <w:tcMar>
              <w:left w:w="51" w:type="dxa"/>
              <w:right w:w="51" w:type="dxa"/>
            </w:tcMar>
            <w:vAlign w:val="bottom"/>
          </w:tcPr>
          <w:p w:rsidR="00000000" w:rsidRDefault="00000000">
            <w:pPr>
              <w:tabs>
                <w:tab w:val="decimal" w:pos="485"/>
              </w:tabs>
              <w:rPr>
                <w:sz w:val="21"/>
                <w:szCs w:val="21"/>
              </w:rPr>
            </w:pPr>
            <w:r>
              <w:rPr>
                <w:sz w:val="21"/>
                <w:szCs w:val="21"/>
              </w:rPr>
              <w:t>0,0</w:t>
            </w:r>
          </w:p>
        </w:tc>
        <w:tc>
          <w:tcPr>
            <w:tcW w:w="1235" w:type="dxa"/>
            <w:tcMar>
              <w:left w:w="51" w:type="dxa"/>
              <w:right w:w="51" w:type="dxa"/>
            </w:tcMar>
            <w:vAlign w:val="bottom"/>
          </w:tcPr>
          <w:p w:rsidR="00000000" w:rsidRDefault="00000000">
            <w:pPr>
              <w:tabs>
                <w:tab w:val="decimal" w:pos="612"/>
              </w:tabs>
              <w:rPr>
                <w:sz w:val="21"/>
                <w:szCs w:val="21"/>
              </w:rPr>
            </w:pPr>
            <w:r>
              <w:rPr>
                <w:sz w:val="21"/>
                <w:szCs w:val="21"/>
              </w:rPr>
              <w:t>16,6</w:t>
            </w:r>
          </w:p>
        </w:tc>
        <w:tc>
          <w:tcPr>
            <w:tcW w:w="1186" w:type="dxa"/>
            <w:tcMar>
              <w:left w:w="51" w:type="dxa"/>
              <w:right w:w="51" w:type="dxa"/>
            </w:tcMar>
            <w:vAlign w:val="bottom"/>
          </w:tcPr>
          <w:p w:rsidR="00000000" w:rsidRDefault="00000000">
            <w:pPr>
              <w:tabs>
                <w:tab w:val="decimal" w:pos="623"/>
              </w:tabs>
              <w:rPr>
                <w:sz w:val="21"/>
                <w:szCs w:val="21"/>
              </w:rPr>
            </w:pPr>
            <w:r>
              <w:rPr>
                <w:sz w:val="21"/>
                <w:szCs w:val="21"/>
              </w:rPr>
              <w:t>0,0</w:t>
            </w:r>
          </w:p>
        </w:tc>
        <w:tc>
          <w:tcPr>
            <w:tcW w:w="651" w:type="dxa"/>
            <w:tcMar>
              <w:left w:w="51" w:type="dxa"/>
              <w:right w:w="51" w:type="dxa"/>
            </w:tcMar>
            <w:vAlign w:val="bottom"/>
          </w:tcPr>
          <w:p w:rsidR="00000000" w:rsidRDefault="00000000">
            <w:pPr>
              <w:tabs>
                <w:tab w:val="decimal" w:pos="360"/>
              </w:tabs>
              <w:rPr>
                <w:sz w:val="21"/>
                <w:szCs w:val="21"/>
              </w:rPr>
            </w:pPr>
            <w:r>
              <w:rPr>
                <w:sz w:val="21"/>
                <w:szCs w:val="21"/>
              </w:rPr>
              <w:t>0,1</w:t>
            </w:r>
          </w:p>
        </w:tc>
        <w:tc>
          <w:tcPr>
            <w:tcW w:w="919" w:type="dxa"/>
            <w:tcMar>
              <w:left w:w="51" w:type="dxa"/>
              <w:right w:w="51" w:type="dxa"/>
            </w:tcMar>
            <w:vAlign w:val="bottom"/>
          </w:tcPr>
          <w:p w:rsidR="00000000" w:rsidRDefault="00000000">
            <w:pPr>
              <w:tabs>
                <w:tab w:val="decimal" w:pos="504"/>
              </w:tabs>
              <w:rPr>
                <w:sz w:val="21"/>
                <w:szCs w:val="21"/>
              </w:rPr>
            </w:pPr>
            <w:r>
              <w:rPr>
                <w:sz w:val="21"/>
                <w:szCs w:val="21"/>
              </w:rPr>
              <w:t>0,3</w:t>
            </w:r>
          </w:p>
        </w:tc>
        <w:tc>
          <w:tcPr>
            <w:tcW w:w="1515" w:type="dxa"/>
            <w:tcMar>
              <w:left w:w="51" w:type="dxa"/>
              <w:right w:w="51" w:type="dxa"/>
            </w:tcMar>
            <w:vAlign w:val="bottom"/>
          </w:tcPr>
          <w:p w:rsidR="00000000" w:rsidRDefault="00000000">
            <w:pPr>
              <w:tabs>
                <w:tab w:val="decimal" w:pos="792"/>
              </w:tabs>
              <w:rPr>
                <w:sz w:val="21"/>
                <w:szCs w:val="21"/>
              </w:rPr>
            </w:pPr>
            <w:r>
              <w:rPr>
                <w:sz w:val="21"/>
                <w:szCs w:val="21"/>
              </w:rPr>
              <w:t>7,7</w:t>
            </w:r>
          </w:p>
        </w:tc>
        <w:tc>
          <w:tcPr>
            <w:tcW w:w="615" w:type="dxa"/>
            <w:tcMar>
              <w:left w:w="51" w:type="dxa"/>
              <w:right w:w="51" w:type="dxa"/>
            </w:tcMar>
            <w:vAlign w:val="bottom"/>
          </w:tcPr>
          <w:p w:rsidR="00000000" w:rsidRDefault="00000000">
            <w:pPr>
              <w:tabs>
                <w:tab w:val="decimal" w:pos="355"/>
              </w:tabs>
              <w:rPr>
                <w:sz w:val="21"/>
                <w:szCs w:val="21"/>
              </w:rPr>
            </w:pPr>
            <w:r>
              <w:rPr>
                <w:sz w:val="21"/>
                <w:szCs w:val="21"/>
              </w:rPr>
              <w:t>9,0</w:t>
            </w:r>
          </w:p>
        </w:tc>
      </w:tr>
      <w:tr w:rsidR="00000000">
        <w:tc>
          <w:tcPr>
            <w:tcW w:w="1474" w:type="dxa"/>
            <w:tcMar>
              <w:left w:w="51" w:type="dxa"/>
              <w:right w:w="51" w:type="dxa"/>
            </w:tcMar>
          </w:tcPr>
          <w:p w:rsidR="00000000" w:rsidRDefault="00000000">
            <w:pPr>
              <w:rPr>
                <w:sz w:val="21"/>
                <w:szCs w:val="21"/>
              </w:rPr>
            </w:pPr>
            <w:r>
              <w:rPr>
                <w:sz w:val="21"/>
                <w:szCs w:val="21"/>
              </w:rPr>
              <w:t>Lac Iro</w:t>
            </w:r>
          </w:p>
        </w:tc>
        <w:tc>
          <w:tcPr>
            <w:tcW w:w="967" w:type="dxa"/>
            <w:tcMar>
              <w:left w:w="51" w:type="dxa"/>
              <w:right w:w="51" w:type="dxa"/>
            </w:tcMar>
            <w:vAlign w:val="bottom"/>
          </w:tcPr>
          <w:p w:rsidR="00000000" w:rsidRDefault="00000000">
            <w:pPr>
              <w:tabs>
                <w:tab w:val="decimal" w:pos="458"/>
              </w:tabs>
              <w:rPr>
                <w:sz w:val="21"/>
                <w:szCs w:val="21"/>
              </w:rPr>
            </w:pPr>
            <w:r>
              <w:rPr>
                <w:sz w:val="21"/>
                <w:szCs w:val="21"/>
              </w:rPr>
              <w:t>0,3</w:t>
            </w:r>
          </w:p>
        </w:tc>
        <w:tc>
          <w:tcPr>
            <w:tcW w:w="895" w:type="dxa"/>
            <w:tcMar>
              <w:left w:w="51" w:type="dxa"/>
              <w:right w:w="51" w:type="dxa"/>
            </w:tcMar>
            <w:vAlign w:val="bottom"/>
          </w:tcPr>
          <w:p w:rsidR="00000000" w:rsidRDefault="00000000">
            <w:pPr>
              <w:tabs>
                <w:tab w:val="decimal" w:pos="485"/>
              </w:tabs>
              <w:rPr>
                <w:sz w:val="21"/>
                <w:szCs w:val="21"/>
              </w:rPr>
            </w:pPr>
            <w:r>
              <w:rPr>
                <w:sz w:val="21"/>
                <w:szCs w:val="21"/>
              </w:rPr>
              <w:t>0,1</w:t>
            </w:r>
          </w:p>
        </w:tc>
        <w:tc>
          <w:tcPr>
            <w:tcW w:w="1235" w:type="dxa"/>
            <w:tcMar>
              <w:left w:w="51" w:type="dxa"/>
              <w:right w:w="51" w:type="dxa"/>
            </w:tcMar>
            <w:vAlign w:val="bottom"/>
          </w:tcPr>
          <w:p w:rsidR="00000000" w:rsidRDefault="00000000">
            <w:pPr>
              <w:tabs>
                <w:tab w:val="decimal" w:pos="612"/>
              </w:tabs>
              <w:rPr>
                <w:sz w:val="21"/>
                <w:szCs w:val="21"/>
              </w:rPr>
            </w:pPr>
            <w:r>
              <w:rPr>
                <w:sz w:val="21"/>
                <w:szCs w:val="21"/>
              </w:rPr>
              <w:t>0,8</w:t>
            </w:r>
          </w:p>
        </w:tc>
        <w:tc>
          <w:tcPr>
            <w:tcW w:w="1186" w:type="dxa"/>
            <w:tcMar>
              <w:left w:w="51" w:type="dxa"/>
              <w:right w:w="51" w:type="dxa"/>
            </w:tcMar>
            <w:vAlign w:val="bottom"/>
          </w:tcPr>
          <w:p w:rsidR="00000000" w:rsidRDefault="00000000">
            <w:pPr>
              <w:tabs>
                <w:tab w:val="decimal" w:pos="623"/>
              </w:tabs>
              <w:rPr>
                <w:sz w:val="21"/>
                <w:szCs w:val="21"/>
              </w:rPr>
            </w:pPr>
            <w:r>
              <w:rPr>
                <w:sz w:val="21"/>
                <w:szCs w:val="21"/>
              </w:rPr>
              <w:t>0,1</w:t>
            </w:r>
          </w:p>
        </w:tc>
        <w:tc>
          <w:tcPr>
            <w:tcW w:w="651" w:type="dxa"/>
            <w:tcMar>
              <w:left w:w="51" w:type="dxa"/>
              <w:right w:w="51" w:type="dxa"/>
            </w:tcMar>
            <w:vAlign w:val="bottom"/>
          </w:tcPr>
          <w:p w:rsidR="00000000" w:rsidRDefault="00000000">
            <w:pPr>
              <w:tabs>
                <w:tab w:val="decimal" w:pos="360"/>
              </w:tabs>
              <w:rPr>
                <w:sz w:val="21"/>
                <w:szCs w:val="21"/>
              </w:rPr>
            </w:pPr>
            <w:r>
              <w:rPr>
                <w:sz w:val="21"/>
                <w:szCs w:val="21"/>
              </w:rPr>
              <w:t>0,5</w:t>
            </w:r>
          </w:p>
        </w:tc>
        <w:tc>
          <w:tcPr>
            <w:tcW w:w="919" w:type="dxa"/>
            <w:tcMar>
              <w:left w:w="51" w:type="dxa"/>
              <w:right w:w="51" w:type="dxa"/>
            </w:tcMar>
            <w:vAlign w:val="bottom"/>
          </w:tcPr>
          <w:p w:rsidR="00000000" w:rsidRDefault="00000000">
            <w:pPr>
              <w:tabs>
                <w:tab w:val="decimal" w:pos="504"/>
              </w:tabs>
              <w:rPr>
                <w:sz w:val="21"/>
                <w:szCs w:val="21"/>
              </w:rPr>
            </w:pPr>
            <w:r>
              <w:rPr>
                <w:sz w:val="21"/>
                <w:szCs w:val="21"/>
              </w:rPr>
              <w:t>0,7</w:t>
            </w:r>
          </w:p>
        </w:tc>
        <w:tc>
          <w:tcPr>
            <w:tcW w:w="1515" w:type="dxa"/>
            <w:tcMar>
              <w:left w:w="51" w:type="dxa"/>
              <w:right w:w="51" w:type="dxa"/>
            </w:tcMar>
            <w:vAlign w:val="bottom"/>
          </w:tcPr>
          <w:p w:rsidR="00000000" w:rsidRDefault="00000000">
            <w:pPr>
              <w:tabs>
                <w:tab w:val="decimal" w:pos="792"/>
              </w:tabs>
              <w:rPr>
                <w:sz w:val="21"/>
                <w:szCs w:val="21"/>
              </w:rPr>
            </w:pPr>
            <w:r>
              <w:rPr>
                <w:sz w:val="21"/>
                <w:szCs w:val="21"/>
              </w:rPr>
              <w:t>0,6</w:t>
            </w:r>
          </w:p>
        </w:tc>
        <w:tc>
          <w:tcPr>
            <w:tcW w:w="615" w:type="dxa"/>
            <w:tcMar>
              <w:left w:w="51" w:type="dxa"/>
              <w:right w:w="51" w:type="dxa"/>
            </w:tcMar>
            <w:vAlign w:val="bottom"/>
          </w:tcPr>
          <w:p w:rsidR="00000000" w:rsidRDefault="00000000">
            <w:pPr>
              <w:tabs>
                <w:tab w:val="decimal" w:pos="355"/>
              </w:tabs>
              <w:rPr>
                <w:sz w:val="21"/>
                <w:szCs w:val="21"/>
              </w:rPr>
            </w:pPr>
            <w:r>
              <w:rPr>
                <w:sz w:val="21"/>
                <w:szCs w:val="21"/>
              </w:rPr>
              <w:t>0,5</w:t>
            </w:r>
          </w:p>
        </w:tc>
      </w:tr>
      <w:tr w:rsidR="00000000">
        <w:tc>
          <w:tcPr>
            <w:tcW w:w="1474" w:type="dxa"/>
            <w:tcMar>
              <w:left w:w="51" w:type="dxa"/>
              <w:right w:w="51" w:type="dxa"/>
            </w:tcMar>
          </w:tcPr>
          <w:p w:rsidR="00000000" w:rsidRDefault="00000000">
            <w:pPr>
              <w:rPr>
                <w:sz w:val="21"/>
                <w:szCs w:val="21"/>
              </w:rPr>
            </w:pPr>
            <w:r>
              <w:rPr>
                <w:sz w:val="21"/>
                <w:szCs w:val="21"/>
              </w:rPr>
              <w:t>Mayo Kebbi</w:t>
            </w:r>
          </w:p>
        </w:tc>
        <w:tc>
          <w:tcPr>
            <w:tcW w:w="967" w:type="dxa"/>
            <w:tcMar>
              <w:left w:w="51" w:type="dxa"/>
              <w:right w:w="51" w:type="dxa"/>
            </w:tcMar>
            <w:vAlign w:val="bottom"/>
          </w:tcPr>
          <w:p w:rsidR="00000000" w:rsidRDefault="00000000">
            <w:pPr>
              <w:tabs>
                <w:tab w:val="decimal" w:pos="458"/>
              </w:tabs>
              <w:rPr>
                <w:sz w:val="21"/>
                <w:szCs w:val="21"/>
              </w:rPr>
            </w:pPr>
            <w:r>
              <w:rPr>
                <w:sz w:val="21"/>
                <w:szCs w:val="21"/>
              </w:rPr>
              <w:t>6,4</w:t>
            </w:r>
          </w:p>
        </w:tc>
        <w:tc>
          <w:tcPr>
            <w:tcW w:w="895" w:type="dxa"/>
            <w:tcMar>
              <w:left w:w="51" w:type="dxa"/>
              <w:right w:w="51" w:type="dxa"/>
            </w:tcMar>
            <w:vAlign w:val="bottom"/>
          </w:tcPr>
          <w:p w:rsidR="00000000" w:rsidRDefault="00000000">
            <w:pPr>
              <w:tabs>
                <w:tab w:val="decimal" w:pos="485"/>
              </w:tabs>
              <w:rPr>
                <w:sz w:val="21"/>
                <w:szCs w:val="21"/>
              </w:rPr>
            </w:pPr>
            <w:r>
              <w:rPr>
                <w:sz w:val="21"/>
                <w:szCs w:val="21"/>
              </w:rPr>
              <w:t>12,0</w:t>
            </w:r>
          </w:p>
        </w:tc>
        <w:tc>
          <w:tcPr>
            <w:tcW w:w="1235" w:type="dxa"/>
            <w:tcMar>
              <w:left w:w="51" w:type="dxa"/>
              <w:right w:w="51" w:type="dxa"/>
            </w:tcMar>
            <w:vAlign w:val="bottom"/>
          </w:tcPr>
          <w:p w:rsidR="00000000" w:rsidRDefault="00000000">
            <w:pPr>
              <w:tabs>
                <w:tab w:val="decimal" w:pos="612"/>
              </w:tabs>
              <w:rPr>
                <w:sz w:val="21"/>
                <w:szCs w:val="21"/>
              </w:rPr>
            </w:pPr>
            <w:r>
              <w:rPr>
                <w:sz w:val="21"/>
                <w:szCs w:val="21"/>
              </w:rPr>
              <w:t>1,3</w:t>
            </w:r>
          </w:p>
        </w:tc>
        <w:tc>
          <w:tcPr>
            <w:tcW w:w="1186" w:type="dxa"/>
            <w:tcMar>
              <w:left w:w="51" w:type="dxa"/>
              <w:right w:w="51" w:type="dxa"/>
            </w:tcMar>
            <w:vAlign w:val="bottom"/>
          </w:tcPr>
          <w:p w:rsidR="00000000" w:rsidRDefault="00000000">
            <w:pPr>
              <w:tabs>
                <w:tab w:val="decimal" w:pos="623"/>
              </w:tabs>
              <w:rPr>
                <w:sz w:val="21"/>
                <w:szCs w:val="21"/>
              </w:rPr>
            </w:pPr>
            <w:r>
              <w:rPr>
                <w:sz w:val="21"/>
                <w:szCs w:val="21"/>
              </w:rPr>
              <w:t>17,5</w:t>
            </w:r>
          </w:p>
        </w:tc>
        <w:tc>
          <w:tcPr>
            <w:tcW w:w="651" w:type="dxa"/>
            <w:tcMar>
              <w:left w:w="51" w:type="dxa"/>
              <w:right w:w="51" w:type="dxa"/>
            </w:tcMar>
            <w:vAlign w:val="bottom"/>
          </w:tcPr>
          <w:p w:rsidR="00000000" w:rsidRDefault="00000000">
            <w:pPr>
              <w:tabs>
                <w:tab w:val="decimal" w:pos="360"/>
              </w:tabs>
              <w:rPr>
                <w:sz w:val="21"/>
                <w:szCs w:val="21"/>
              </w:rPr>
            </w:pPr>
            <w:r>
              <w:rPr>
                <w:sz w:val="21"/>
                <w:szCs w:val="21"/>
              </w:rPr>
              <w:t>11,7</w:t>
            </w:r>
          </w:p>
        </w:tc>
        <w:tc>
          <w:tcPr>
            <w:tcW w:w="919" w:type="dxa"/>
            <w:tcMar>
              <w:left w:w="51" w:type="dxa"/>
              <w:right w:w="51" w:type="dxa"/>
            </w:tcMar>
            <w:vAlign w:val="bottom"/>
          </w:tcPr>
          <w:p w:rsidR="00000000" w:rsidRDefault="00000000">
            <w:pPr>
              <w:tabs>
                <w:tab w:val="decimal" w:pos="504"/>
              </w:tabs>
              <w:rPr>
                <w:sz w:val="21"/>
                <w:szCs w:val="21"/>
              </w:rPr>
            </w:pPr>
            <w:r>
              <w:rPr>
                <w:sz w:val="21"/>
                <w:szCs w:val="21"/>
              </w:rPr>
              <w:t>27,5</w:t>
            </w:r>
          </w:p>
        </w:tc>
        <w:tc>
          <w:tcPr>
            <w:tcW w:w="1515" w:type="dxa"/>
            <w:tcMar>
              <w:left w:w="51" w:type="dxa"/>
              <w:right w:w="51" w:type="dxa"/>
            </w:tcMar>
            <w:vAlign w:val="bottom"/>
          </w:tcPr>
          <w:p w:rsidR="00000000" w:rsidRDefault="00000000">
            <w:pPr>
              <w:tabs>
                <w:tab w:val="decimal" w:pos="792"/>
              </w:tabs>
              <w:rPr>
                <w:sz w:val="21"/>
                <w:szCs w:val="21"/>
              </w:rPr>
            </w:pPr>
            <w:r>
              <w:rPr>
                <w:sz w:val="21"/>
                <w:szCs w:val="21"/>
              </w:rPr>
              <w:t>9,7</w:t>
            </w:r>
          </w:p>
        </w:tc>
        <w:tc>
          <w:tcPr>
            <w:tcW w:w="615" w:type="dxa"/>
            <w:tcMar>
              <w:left w:w="51" w:type="dxa"/>
              <w:right w:w="51" w:type="dxa"/>
            </w:tcMar>
            <w:vAlign w:val="bottom"/>
          </w:tcPr>
          <w:p w:rsidR="00000000" w:rsidRDefault="00000000">
            <w:pPr>
              <w:tabs>
                <w:tab w:val="decimal" w:pos="355"/>
              </w:tabs>
              <w:rPr>
                <w:sz w:val="21"/>
                <w:szCs w:val="21"/>
              </w:rPr>
            </w:pPr>
            <w:r>
              <w:rPr>
                <w:sz w:val="21"/>
                <w:szCs w:val="21"/>
              </w:rPr>
              <w:t>11,5</w:t>
            </w:r>
          </w:p>
        </w:tc>
      </w:tr>
      <w:tr w:rsidR="00000000">
        <w:tc>
          <w:tcPr>
            <w:tcW w:w="1474" w:type="dxa"/>
            <w:tcMar>
              <w:left w:w="51" w:type="dxa"/>
              <w:right w:w="51" w:type="dxa"/>
            </w:tcMar>
          </w:tcPr>
          <w:p w:rsidR="00000000" w:rsidRDefault="00000000">
            <w:pPr>
              <w:rPr>
                <w:sz w:val="21"/>
                <w:szCs w:val="21"/>
              </w:rPr>
            </w:pPr>
            <w:r>
              <w:rPr>
                <w:sz w:val="21"/>
                <w:szCs w:val="21"/>
              </w:rPr>
              <w:t>Ouaddaï</w:t>
            </w:r>
          </w:p>
        </w:tc>
        <w:tc>
          <w:tcPr>
            <w:tcW w:w="967" w:type="dxa"/>
            <w:tcMar>
              <w:left w:w="51" w:type="dxa"/>
              <w:right w:w="51" w:type="dxa"/>
            </w:tcMar>
            <w:vAlign w:val="bottom"/>
          </w:tcPr>
          <w:p w:rsidR="00000000" w:rsidRDefault="00000000">
            <w:pPr>
              <w:tabs>
                <w:tab w:val="decimal" w:pos="458"/>
              </w:tabs>
              <w:rPr>
                <w:sz w:val="21"/>
                <w:szCs w:val="21"/>
              </w:rPr>
            </w:pPr>
            <w:r>
              <w:rPr>
                <w:sz w:val="21"/>
                <w:szCs w:val="21"/>
              </w:rPr>
              <w:t>0,2</w:t>
            </w:r>
          </w:p>
        </w:tc>
        <w:tc>
          <w:tcPr>
            <w:tcW w:w="895" w:type="dxa"/>
            <w:tcMar>
              <w:left w:w="51" w:type="dxa"/>
              <w:right w:w="51" w:type="dxa"/>
            </w:tcMar>
            <w:vAlign w:val="bottom"/>
          </w:tcPr>
          <w:p w:rsidR="00000000" w:rsidRDefault="00000000">
            <w:pPr>
              <w:tabs>
                <w:tab w:val="decimal" w:pos="485"/>
              </w:tabs>
              <w:rPr>
                <w:sz w:val="21"/>
                <w:szCs w:val="21"/>
              </w:rPr>
            </w:pPr>
            <w:r>
              <w:rPr>
                <w:sz w:val="21"/>
                <w:szCs w:val="21"/>
              </w:rPr>
              <w:t>0,0</w:t>
            </w:r>
          </w:p>
        </w:tc>
        <w:tc>
          <w:tcPr>
            <w:tcW w:w="1235" w:type="dxa"/>
            <w:tcMar>
              <w:left w:w="51" w:type="dxa"/>
              <w:right w:w="51" w:type="dxa"/>
            </w:tcMar>
            <w:vAlign w:val="bottom"/>
          </w:tcPr>
          <w:p w:rsidR="00000000" w:rsidRDefault="00000000">
            <w:pPr>
              <w:tabs>
                <w:tab w:val="decimal" w:pos="612"/>
              </w:tabs>
              <w:rPr>
                <w:sz w:val="21"/>
                <w:szCs w:val="21"/>
              </w:rPr>
            </w:pPr>
            <w:r>
              <w:rPr>
                <w:sz w:val="21"/>
                <w:szCs w:val="21"/>
              </w:rPr>
              <w:t>16,1</w:t>
            </w:r>
          </w:p>
        </w:tc>
        <w:tc>
          <w:tcPr>
            <w:tcW w:w="1186" w:type="dxa"/>
            <w:tcMar>
              <w:left w:w="51" w:type="dxa"/>
              <w:right w:w="51" w:type="dxa"/>
            </w:tcMar>
            <w:vAlign w:val="bottom"/>
          </w:tcPr>
          <w:p w:rsidR="00000000" w:rsidRDefault="00000000">
            <w:pPr>
              <w:tabs>
                <w:tab w:val="decimal" w:pos="623"/>
              </w:tabs>
              <w:rPr>
                <w:sz w:val="21"/>
                <w:szCs w:val="21"/>
              </w:rPr>
            </w:pPr>
            <w:r>
              <w:rPr>
                <w:sz w:val="21"/>
                <w:szCs w:val="21"/>
              </w:rPr>
              <w:t>0,0</w:t>
            </w:r>
          </w:p>
        </w:tc>
        <w:tc>
          <w:tcPr>
            <w:tcW w:w="651" w:type="dxa"/>
            <w:tcMar>
              <w:left w:w="51" w:type="dxa"/>
              <w:right w:w="51" w:type="dxa"/>
            </w:tcMar>
            <w:vAlign w:val="bottom"/>
          </w:tcPr>
          <w:p w:rsidR="00000000" w:rsidRDefault="00000000">
            <w:pPr>
              <w:tabs>
                <w:tab w:val="decimal" w:pos="360"/>
              </w:tabs>
              <w:rPr>
                <w:sz w:val="21"/>
                <w:szCs w:val="21"/>
              </w:rPr>
            </w:pPr>
            <w:r>
              <w:rPr>
                <w:sz w:val="21"/>
                <w:szCs w:val="21"/>
              </w:rPr>
              <w:t>0,1</w:t>
            </w:r>
          </w:p>
        </w:tc>
        <w:tc>
          <w:tcPr>
            <w:tcW w:w="919" w:type="dxa"/>
            <w:tcMar>
              <w:left w:w="51" w:type="dxa"/>
              <w:right w:w="51" w:type="dxa"/>
            </w:tcMar>
            <w:vAlign w:val="bottom"/>
          </w:tcPr>
          <w:p w:rsidR="00000000" w:rsidRDefault="00000000">
            <w:pPr>
              <w:tabs>
                <w:tab w:val="decimal" w:pos="504"/>
              </w:tabs>
              <w:rPr>
                <w:sz w:val="21"/>
                <w:szCs w:val="21"/>
              </w:rPr>
            </w:pPr>
            <w:r>
              <w:rPr>
                <w:sz w:val="21"/>
                <w:szCs w:val="21"/>
              </w:rPr>
              <w:t>0,2</w:t>
            </w:r>
          </w:p>
        </w:tc>
        <w:tc>
          <w:tcPr>
            <w:tcW w:w="1515" w:type="dxa"/>
            <w:tcMar>
              <w:left w:w="51" w:type="dxa"/>
              <w:right w:w="51" w:type="dxa"/>
            </w:tcMar>
            <w:vAlign w:val="bottom"/>
          </w:tcPr>
          <w:p w:rsidR="00000000" w:rsidRDefault="00000000">
            <w:pPr>
              <w:tabs>
                <w:tab w:val="decimal" w:pos="792"/>
              </w:tabs>
              <w:rPr>
                <w:sz w:val="21"/>
                <w:szCs w:val="21"/>
              </w:rPr>
            </w:pPr>
            <w:r>
              <w:rPr>
                <w:sz w:val="21"/>
                <w:szCs w:val="21"/>
              </w:rPr>
              <w:t>9,7</w:t>
            </w:r>
          </w:p>
        </w:tc>
        <w:tc>
          <w:tcPr>
            <w:tcW w:w="615" w:type="dxa"/>
            <w:tcMar>
              <w:left w:w="51" w:type="dxa"/>
              <w:right w:w="51" w:type="dxa"/>
            </w:tcMar>
            <w:vAlign w:val="bottom"/>
          </w:tcPr>
          <w:p w:rsidR="00000000" w:rsidRDefault="00000000">
            <w:pPr>
              <w:tabs>
                <w:tab w:val="decimal" w:pos="355"/>
              </w:tabs>
              <w:rPr>
                <w:sz w:val="21"/>
                <w:szCs w:val="21"/>
              </w:rPr>
            </w:pPr>
            <w:r>
              <w:rPr>
                <w:sz w:val="21"/>
                <w:szCs w:val="21"/>
              </w:rPr>
              <w:t>8,7</w:t>
            </w:r>
          </w:p>
        </w:tc>
      </w:tr>
      <w:tr w:rsidR="00000000">
        <w:tc>
          <w:tcPr>
            <w:tcW w:w="1474" w:type="dxa"/>
            <w:tcMar>
              <w:left w:w="51" w:type="dxa"/>
              <w:right w:w="51" w:type="dxa"/>
            </w:tcMar>
          </w:tcPr>
          <w:p w:rsidR="00000000" w:rsidRDefault="00000000">
            <w:pPr>
              <w:rPr>
                <w:sz w:val="21"/>
                <w:szCs w:val="21"/>
              </w:rPr>
            </w:pPr>
            <w:r>
              <w:rPr>
                <w:sz w:val="21"/>
                <w:szCs w:val="21"/>
              </w:rPr>
              <w:t>Peul</w:t>
            </w:r>
          </w:p>
        </w:tc>
        <w:tc>
          <w:tcPr>
            <w:tcW w:w="967" w:type="dxa"/>
            <w:tcMar>
              <w:left w:w="51" w:type="dxa"/>
              <w:right w:w="51" w:type="dxa"/>
            </w:tcMar>
            <w:vAlign w:val="bottom"/>
          </w:tcPr>
          <w:p w:rsidR="00000000" w:rsidRDefault="00000000">
            <w:pPr>
              <w:tabs>
                <w:tab w:val="decimal" w:pos="458"/>
              </w:tabs>
              <w:rPr>
                <w:sz w:val="21"/>
                <w:szCs w:val="21"/>
              </w:rPr>
            </w:pPr>
            <w:r>
              <w:rPr>
                <w:sz w:val="21"/>
                <w:szCs w:val="21"/>
              </w:rPr>
              <w:t>0,1</w:t>
            </w:r>
          </w:p>
        </w:tc>
        <w:tc>
          <w:tcPr>
            <w:tcW w:w="895" w:type="dxa"/>
            <w:tcMar>
              <w:left w:w="51" w:type="dxa"/>
              <w:right w:w="51" w:type="dxa"/>
            </w:tcMar>
            <w:vAlign w:val="bottom"/>
          </w:tcPr>
          <w:p w:rsidR="00000000" w:rsidRDefault="00000000">
            <w:pPr>
              <w:tabs>
                <w:tab w:val="decimal" w:pos="485"/>
              </w:tabs>
              <w:rPr>
                <w:sz w:val="21"/>
                <w:szCs w:val="21"/>
              </w:rPr>
            </w:pPr>
            <w:r>
              <w:rPr>
                <w:sz w:val="21"/>
                <w:szCs w:val="21"/>
              </w:rPr>
              <w:t>0,0</w:t>
            </w:r>
          </w:p>
        </w:tc>
        <w:tc>
          <w:tcPr>
            <w:tcW w:w="1235" w:type="dxa"/>
            <w:tcMar>
              <w:left w:w="51" w:type="dxa"/>
              <w:right w:w="51" w:type="dxa"/>
            </w:tcMar>
            <w:vAlign w:val="bottom"/>
          </w:tcPr>
          <w:p w:rsidR="00000000" w:rsidRDefault="00000000">
            <w:pPr>
              <w:tabs>
                <w:tab w:val="decimal" w:pos="612"/>
              </w:tabs>
              <w:rPr>
                <w:sz w:val="21"/>
                <w:szCs w:val="21"/>
              </w:rPr>
            </w:pPr>
            <w:r>
              <w:rPr>
                <w:sz w:val="21"/>
                <w:szCs w:val="21"/>
              </w:rPr>
              <w:t>4,5</w:t>
            </w:r>
          </w:p>
        </w:tc>
        <w:tc>
          <w:tcPr>
            <w:tcW w:w="1186" w:type="dxa"/>
            <w:tcMar>
              <w:left w:w="51" w:type="dxa"/>
              <w:right w:w="51" w:type="dxa"/>
            </w:tcMar>
            <w:vAlign w:val="bottom"/>
          </w:tcPr>
          <w:p w:rsidR="00000000" w:rsidRDefault="00000000">
            <w:pPr>
              <w:tabs>
                <w:tab w:val="decimal" w:pos="623"/>
              </w:tabs>
              <w:rPr>
                <w:sz w:val="21"/>
                <w:szCs w:val="21"/>
              </w:rPr>
            </w:pPr>
            <w:r>
              <w:rPr>
                <w:sz w:val="21"/>
                <w:szCs w:val="21"/>
              </w:rPr>
              <w:t>0,0</w:t>
            </w:r>
          </w:p>
        </w:tc>
        <w:tc>
          <w:tcPr>
            <w:tcW w:w="651" w:type="dxa"/>
            <w:tcMar>
              <w:left w:w="51" w:type="dxa"/>
              <w:right w:w="51" w:type="dxa"/>
            </w:tcMar>
            <w:vAlign w:val="bottom"/>
          </w:tcPr>
          <w:p w:rsidR="00000000" w:rsidRDefault="00000000">
            <w:pPr>
              <w:tabs>
                <w:tab w:val="decimal" w:pos="360"/>
              </w:tabs>
              <w:rPr>
                <w:sz w:val="21"/>
                <w:szCs w:val="21"/>
              </w:rPr>
            </w:pPr>
            <w:r>
              <w:rPr>
                <w:sz w:val="21"/>
                <w:szCs w:val="21"/>
              </w:rPr>
              <w:t>0,0</w:t>
            </w:r>
          </w:p>
        </w:tc>
        <w:tc>
          <w:tcPr>
            <w:tcW w:w="919" w:type="dxa"/>
            <w:tcMar>
              <w:left w:w="51" w:type="dxa"/>
              <w:right w:w="51" w:type="dxa"/>
            </w:tcMar>
            <w:vAlign w:val="bottom"/>
          </w:tcPr>
          <w:p w:rsidR="00000000" w:rsidRDefault="00000000">
            <w:pPr>
              <w:tabs>
                <w:tab w:val="decimal" w:pos="504"/>
              </w:tabs>
              <w:rPr>
                <w:sz w:val="21"/>
                <w:szCs w:val="21"/>
              </w:rPr>
            </w:pPr>
            <w:r>
              <w:rPr>
                <w:sz w:val="21"/>
                <w:szCs w:val="21"/>
              </w:rPr>
              <w:t>0,1</w:t>
            </w:r>
          </w:p>
        </w:tc>
        <w:tc>
          <w:tcPr>
            <w:tcW w:w="1515" w:type="dxa"/>
            <w:tcMar>
              <w:left w:w="51" w:type="dxa"/>
              <w:right w:w="51" w:type="dxa"/>
            </w:tcMar>
            <w:vAlign w:val="bottom"/>
          </w:tcPr>
          <w:p w:rsidR="00000000" w:rsidRDefault="00000000">
            <w:pPr>
              <w:tabs>
                <w:tab w:val="decimal" w:pos="792"/>
              </w:tabs>
              <w:rPr>
                <w:sz w:val="21"/>
                <w:szCs w:val="21"/>
              </w:rPr>
            </w:pPr>
            <w:r>
              <w:rPr>
                <w:sz w:val="21"/>
                <w:szCs w:val="21"/>
              </w:rPr>
              <w:t>2,5</w:t>
            </w:r>
          </w:p>
        </w:tc>
        <w:tc>
          <w:tcPr>
            <w:tcW w:w="615" w:type="dxa"/>
            <w:tcMar>
              <w:left w:w="51" w:type="dxa"/>
              <w:right w:w="51" w:type="dxa"/>
            </w:tcMar>
            <w:vAlign w:val="bottom"/>
          </w:tcPr>
          <w:p w:rsidR="00000000" w:rsidRDefault="00000000">
            <w:pPr>
              <w:tabs>
                <w:tab w:val="decimal" w:pos="355"/>
              </w:tabs>
              <w:rPr>
                <w:sz w:val="21"/>
                <w:szCs w:val="21"/>
              </w:rPr>
            </w:pPr>
            <w:r>
              <w:rPr>
                <w:sz w:val="21"/>
                <w:szCs w:val="21"/>
              </w:rPr>
              <w:t>2,4</w:t>
            </w:r>
          </w:p>
        </w:tc>
      </w:tr>
      <w:tr w:rsidR="00000000">
        <w:tc>
          <w:tcPr>
            <w:tcW w:w="1474" w:type="dxa"/>
            <w:tcMar>
              <w:left w:w="51" w:type="dxa"/>
              <w:right w:w="51" w:type="dxa"/>
            </w:tcMar>
          </w:tcPr>
          <w:p w:rsidR="00000000" w:rsidRDefault="00000000">
            <w:pPr>
              <w:rPr>
                <w:sz w:val="21"/>
                <w:szCs w:val="21"/>
              </w:rPr>
            </w:pPr>
            <w:r>
              <w:rPr>
                <w:sz w:val="21"/>
                <w:szCs w:val="21"/>
              </w:rPr>
              <w:t>Sara</w:t>
            </w:r>
          </w:p>
        </w:tc>
        <w:tc>
          <w:tcPr>
            <w:tcW w:w="967" w:type="dxa"/>
            <w:tcMar>
              <w:left w:w="51" w:type="dxa"/>
              <w:right w:w="51" w:type="dxa"/>
            </w:tcMar>
            <w:vAlign w:val="bottom"/>
          </w:tcPr>
          <w:p w:rsidR="00000000" w:rsidRDefault="00000000">
            <w:pPr>
              <w:tabs>
                <w:tab w:val="decimal" w:pos="458"/>
              </w:tabs>
              <w:rPr>
                <w:sz w:val="21"/>
                <w:szCs w:val="21"/>
              </w:rPr>
            </w:pPr>
            <w:r>
              <w:rPr>
                <w:sz w:val="21"/>
                <w:szCs w:val="21"/>
              </w:rPr>
              <w:t>19,7</w:t>
            </w:r>
          </w:p>
        </w:tc>
        <w:tc>
          <w:tcPr>
            <w:tcW w:w="895" w:type="dxa"/>
            <w:tcMar>
              <w:left w:w="51" w:type="dxa"/>
              <w:right w:w="51" w:type="dxa"/>
            </w:tcMar>
            <w:vAlign w:val="bottom"/>
          </w:tcPr>
          <w:p w:rsidR="00000000" w:rsidRDefault="00000000">
            <w:pPr>
              <w:tabs>
                <w:tab w:val="decimal" w:pos="485"/>
              </w:tabs>
              <w:rPr>
                <w:sz w:val="21"/>
                <w:szCs w:val="21"/>
              </w:rPr>
            </w:pPr>
            <w:r>
              <w:rPr>
                <w:sz w:val="21"/>
                <w:szCs w:val="21"/>
              </w:rPr>
              <w:t>70,6</w:t>
            </w:r>
          </w:p>
        </w:tc>
        <w:tc>
          <w:tcPr>
            <w:tcW w:w="1235" w:type="dxa"/>
            <w:tcMar>
              <w:left w:w="51" w:type="dxa"/>
              <w:right w:w="51" w:type="dxa"/>
            </w:tcMar>
            <w:vAlign w:val="bottom"/>
          </w:tcPr>
          <w:p w:rsidR="00000000" w:rsidRDefault="00000000">
            <w:pPr>
              <w:tabs>
                <w:tab w:val="decimal" w:pos="612"/>
              </w:tabs>
              <w:rPr>
                <w:sz w:val="21"/>
                <w:szCs w:val="21"/>
              </w:rPr>
            </w:pPr>
            <w:r>
              <w:rPr>
                <w:sz w:val="21"/>
                <w:szCs w:val="21"/>
              </w:rPr>
              <w:t>0,8</w:t>
            </w:r>
          </w:p>
        </w:tc>
        <w:tc>
          <w:tcPr>
            <w:tcW w:w="1186" w:type="dxa"/>
            <w:tcMar>
              <w:left w:w="51" w:type="dxa"/>
              <w:right w:w="51" w:type="dxa"/>
            </w:tcMar>
            <w:vAlign w:val="bottom"/>
          </w:tcPr>
          <w:p w:rsidR="00000000" w:rsidRDefault="00000000">
            <w:pPr>
              <w:tabs>
                <w:tab w:val="decimal" w:pos="623"/>
              </w:tabs>
              <w:rPr>
                <w:sz w:val="21"/>
                <w:szCs w:val="21"/>
              </w:rPr>
            </w:pPr>
            <w:r>
              <w:rPr>
                <w:sz w:val="21"/>
                <w:szCs w:val="21"/>
              </w:rPr>
              <w:t>64,1</w:t>
            </w:r>
          </w:p>
        </w:tc>
        <w:tc>
          <w:tcPr>
            <w:tcW w:w="651" w:type="dxa"/>
            <w:tcMar>
              <w:left w:w="51" w:type="dxa"/>
              <w:right w:w="51" w:type="dxa"/>
            </w:tcMar>
            <w:vAlign w:val="bottom"/>
          </w:tcPr>
          <w:p w:rsidR="00000000" w:rsidRDefault="00000000">
            <w:pPr>
              <w:tabs>
                <w:tab w:val="decimal" w:pos="360"/>
              </w:tabs>
              <w:rPr>
                <w:sz w:val="21"/>
                <w:szCs w:val="21"/>
              </w:rPr>
            </w:pPr>
            <w:r>
              <w:rPr>
                <w:sz w:val="21"/>
                <w:szCs w:val="21"/>
              </w:rPr>
              <w:t>75,6</w:t>
            </w:r>
          </w:p>
        </w:tc>
        <w:tc>
          <w:tcPr>
            <w:tcW w:w="919" w:type="dxa"/>
            <w:tcMar>
              <w:left w:w="51" w:type="dxa"/>
              <w:right w:w="51" w:type="dxa"/>
            </w:tcMar>
            <w:vAlign w:val="bottom"/>
          </w:tcPr>
          <w:p w:rsidR="00000000" w:rsidRDefault="00000000">
            <w:pPr>
              <w:tabs>
                <w:tab w:val="decimal" w:pos="504"/>
              </w:tabs>
              <w:rPr>
                <w:sz w:val="21"/>
                <w:szCs w:val="21"/>
              </w:rPr>
            </w:pPr>
            <w:r>
              <w:rPr>
                <w:sz w:val="21"/>
                <w:szCs w:val="21"/>
              </w:rPr>
              <w:t>54,4</w:t>
            </w:r>
          </w:p>
        </w:tc>
        <w:tc>
          <w:tcPr>
            <w:tcW w:w="1515" w:type="dxa"/>
            <w:tcMar>
              <w:left w:w="51" w:type="dxa"/>
              <w:right w:w="51" w:type="dxa"/>
            </w:tcMar>
            <w:vAlign w:val="bottom"/>
          </w:tcPr>
          <w:p w:rsidR="00000000" w:rsidRDefault="00000000">
            <w:pPr>
              <w:tabs>
                <w:tab w:val="decimal" w:pos="792"/>
              </w:tabs>
              <w:rPr>
                <w:sz w:val="21"/>
                <w:szCs w:val="21"/>
              </w:rPr>
            </w:pPr>
            <w:r>
              <w:rPr>
                <w:sz w:val="21"/>
                <w:szCs w:val="21"/>
              </w:rPr>
              <w:t>20,1</w:t>
            </w:r>
          </w:p>
        </w:tc>
        <w:tc>
          <w:tcPr>
            <w:tcW w:w="615" w:type="dxa"/>
            <w:tcMar>
              <w:left w:w="51" w:type="dxa"/>
              <w:right w:w="51" w:type="dxa"/>
            </w:tcMar>
            <w:vAlign w:val="bottom"/>
          </w:tcPr>
          <w:p w:rsidR="00000000" w:rsidRDefault="00000000">
            <w:pPr>
              <w:tabs>
                <w:tab w:val="decimal" w:pos="355"/>
              </w:tabs>
              <w:rPr>
                <w:sz w:val="21"/>
                <w:szCs w:val="21"/>
              </w:rPr>
            </w:pPr>
            <w:r>
              <w:rPr>
                <w:sz w:val="21"/>
                <w:szCs w:val="21"/>
              </w:rPr>
              <w:t>27,7</w:t>
            </w:r>
          </w:p>
        </w:tc>
      </w:tr>
      <w:tr w:rsidR="00000000">
        <w:tc>
          <w:tcPr>
            <w:tcW w:w="1474" w:type="dxa"/>
            <w:tcMar>
              <w:left w:w="51" w:type="dxa"/>
              <w:right w:w="51" w:type="dxa"/>
            </w:tcMar>
          </w:tcPr>
          <w:p w:rsidR="00000000" w:rsidRDefault="00000000">
            <w:pPr>
              <w:rPr>
                <w:sz w:val="21"/>
                <w:szCs w:val="21"/>
              </w:rPr>
            </w:pPr>
            <w:r>
              <w:rPr>
                <w:sz w:val="21"/>
                <w:szCs w:val="21"/>
              </w:rPr>
              <w:t>Tandjilé</w:t>
            </w:r>
          </w:p>
        </w:tc>
        <w:tc>
          <w:tcPr>
            <w:tcW w:w="967" w:type="dxa"/>
            <w:tcMar>
              <w:left w:w="51" w:type="dxa"/>
              <w:right w:w="51" w:type="dxa"/>
            </w:tcMar>
            <w:vAlign w:val="bottom"/>
          </w:tcPr>
          <w:p w:rsidR="00000000" w:rsidRDefault="00000000">
            <w:pPr>
              <w:tabs>
                <w:tab w:val="decimal" w:pos="458"/>
              </w:tabs>
              <w:rPr>
                <w:sz w:val="21"/>
                <w:szCs w:val="21"/>
              </w:rPr>
            </w:pPr>
            <w:r>
              <w:rPr>
                <w:sz w:val="21"/>
                <w:szCs w:val="21"/>
              </w:rPr>
              <w:t>6,1</w:t>
            </w:r>
          </w:p>
        </w:tc>
        <w:tc>
          <w:tcPr>
            <w:tcW w:w="895" w:type="dxa"/>
            <w:tcMar>
              <w:left w:w="51" w:type="dxa"/>
              <w:right w:w="51" w:type="dxa"/>
            </w:tcMar>
            <w:vAlign w:val="bottom"/>
          </w:tcPr>
          <w:p w:rsidR="00000000" w:rsidRDefault="00000000">
            <w:pPr>
              <w:tabs>
                <w:tab w:val="decimal" w:pos="485"/>
              </w:tabs>
              <w:rPr>
                <w:sz w:val="21"/>
                <w:szCs w:val="21"/>
              </w:rPr>
            </w:pPr>
            <w:r>
              <w:rPr>
                <w:sz w:val="21"/>
                <w:szCs w:val="21"/>
              </w:rPr>
              <w:t>15,6</w:t>
            </w:r>
          </w:p>
        </w:tc>
        <w:tc>
          <w:tcPr>
            <w:tcW w:w="1235" w:type="dxa"/>
            <w:tcMar>
              <w:left w:w="51" w:type="dxa"/>
              <w:right w:w="51" w:type="dxa"/>
            </w:tcMar>
            <w:vAlign w:val="bottom"/>
          </w:tcPr>
          <w:p w:rsidR="00000000" w:rsidRDefault="00000000">
            <w:pPr>
              <w:tabs>
                <w:tab w:val="decimal" w:pos="612"/>
              </w:tabs>
              <w:rPr>
                <w:sz w:val="21"/>
                <w:szCs w:val="21"/>
              </w:rPr>
            </w:pPr>
            <w:r>
              <w:rPr>
                <w:sz w:val="21"/>
                <w:szCs w:val="21"/>
              </w:rPr>
              <w:t>0,2</w:t>
            </w:r>
          </w:p>
        </w:tc>
        <w:tc>
          <w:tcPr>
            <w:tcW w:w="1186" w:type="dxa"/>
            <w:tcMar>
              <w:left w:w="51" w:type="dxa"/>
              <w:right w:w="51" w:type="dxa"/>
            </w:tcMar>
            <w:vAlign w:val="bottom"/>
          </w:tcPr>
          <w:p w:rsidR="00000000" w:rsidRDefault="00000000">
            <w:pPr>
              <w:tabs>
                <w:tab w:val="decimal" w:pos="623"/>
              </w:tabs>
              <w:rPr>
                <w:sz w:val="21"/>
                <w:szCs w:val="21"/>
              </w:rPr>
            </w:pPr>
            <w:r>
              <w:rPr>
                <w:sz w:val="21"/>
                <w:szCs w:val="21"/>
              </w:rPr>
              <w:t>16,3</w:t>
            </w:r>
          </w:p>
        </w:tc>
        <w:tc>
          <w:tcPr>
            <w:tcW w:w="651" w:type="dxa"/>
            <w:tcMar>
              <w:left w:w="51" w:type="dxa"/>
              <w:right w:w="51" w:type="dxa"/>
            </w:tcMar>
            <w:vAlign w:val="bottom"/>
          </w:tcPr>
          <w:p w:rsidR="00000000" w:rsidRDefault="00000000">
            <w:pPr>
              <w:tabs>
                <w:tab w:val="decimal" w:pos="360"/>
              </w:tabs>
              <w:rPr>
                <w:sz w:val="21"/>
                <w:szCs w:val="21"/>
              </w:rPr>
            </w:pPr>
            <w:r>
              <w:rPr>
                <w:sz w:val="21"/>
                <w:szCs w:val="21"/>
              </w:rPr>
              <w:t>7,5</w:t>
            </w:r>
          </w:p>
        </w:tc>
        <w:tc>
          <w:tcPr>
            <w:tcW w:w="919" w:type="dxa"/>
            <w:tcMar>
              <w:left w:w="51" w:type="dxa"/>
              <w:right w:w="51" w:type="dxa"/>
            </w:tcMar>
            <w:vAlign w:val="bottom"/>
          </w:tcPr>
          <w:p w:rsidR="00000000" w:rsidRDefault="00000000">
            <w:pPr>
              <w:tabs>
                <w:tab w:val="decimal" w:pos="504"/>
              </w:tabs>
              <w:rPr>
                <w:sz w:val="21"/>
                <w:szCs w:val="21"/>
              </w:rPr>
            </w:pPr>
            <w:r>
              <w:rPr>
                <w:sz w:val="21"/>
                <w:szCs w:val="21"/>
              </w:rPr>
              <w:t>10,0</w:t>
            </w:r>
          </w:p>
        </w:tc>
        <w:tc>
          <w:tcPr>
            <w:tcW w:w="1515" w:type="dxa"/>
            <w:tcMar>
              <w:left w:w="51" w:type="dxa"/>
              <w:right w:w="51" w:type="dxa"/>
            </w:tcMar>
            <w:vAlign w:val="bottom"/>
          </w:tcPr>
          <w:p w:rsidR="00000000" w:rsidRDefault="00000000">
            <w:pPr>
              <w:tabs>
                <w:tab w:val="decimal" w:pos="792"/>
              </w:tabs>
              <w:rPr>
                <w:sz w:val="21"/>
                <w:szCs w:val="21"/>
              </w:rPr>
            </w:pPr>
            <w:r>
              <w:rPr>
                <w:sz w:val="21"/>
                <w:szCs w:val="21"/>
              </w:rPr>
              <w:t>5,6</w:t>
            </w:r>
          </w:p>
        </w:tc>
        <w:tc>
          <w:tcPr>
            <w:tcW w:w="615" w:type="dxa"/>
            <w:tcMar>
              <w:left w:w="51" w:type="dxa"/>
              <w:right w:w="51" w:type="dxa"/>
            </w:tcMar>
            <w:vAlign w:val="bottom"/>
          </w:tcPr>
          <w:p w:rsidR="00000000" w:rsidRDefault="00000000">
            <w:pPr>
              <w:tabs>
                <w:tab w:val="decimal" w:pos="355"/>
              </w:tabs>
              <w:rPr>
                <w:sz w:val="21"/>
                <w:szCs w:val="21"/>
              </w:rPr>
            </w:pPr>
            <w:r>
              <w:rPr>
                <w:sz w:val="21"/>
                <w:szCs w:val="21"/>
              </w:rPr>
              <w:t>6,5</w:t>
            </w:r>
          </w:p>
        </w:tc>
      </w:tr>
      <w:tr w:rsidR="00000000">
        <w:tc>
          <w:tcPr>
            <w:tcW w:w="1474" w:type="dxa"/>
            <w:tcMar>
              <w:left w:w="51" w:type="dxa"/>
              <w:right w:w="51" w:type="dxa"/>
            </w:tcMar>
          </w:tcPr>
          <w:p w:rsidR="00000000" w:rsidRDefault="00000000">
            <w:pPr>
              <w:rPr>
                <w:sz w:val="21"/>
                <w:szCs w:val="21"/>
              </w:rPr>
            </w:pPr>
            <w:r>
              <w:rPr>
                <w:sz w:val="21"/>
                <w:szCs w:val="21"/>
              </w:rPr>
              <w:t>Otras</w:t>
            </w:r>
          </w:p>
        </w:tc>
        <w:tc>
          <w:tcPr>
            <w:tcW w:w="967" w:type="dxa"/>
            <w:tcMar>
              <w:left w:w="51" w:type="dxa"/>
              <w:right w:w="51" w:type="dxa"/>
            </w:tcMar>
            <w:vAlign w:val="bottom"/>
          </w:tcPr>
          <w:p w:rsidR="00000000" w:rsidRDefault="00000000">
            <w:pPr>
              <w:tabs>
                <w:tab w:val="decimal" w:pos="458"/>
              </w:tabs>
              <w:rPr>
                <w:sz w:val="21"/>
                <w:szCs w:val="21"/>
              </w:rPr>
            </w:pPr>
            <w:r>
              <w:rPr>
                <w:sz w:val="21"/>
                <w:szCs w:val="21"/>
              </w:rPr>
              <w:t>0,2</w:t>
            </w:r>
          </w:p>
        </w:tc>
        <w:tc>
          <w:tcPr>
            <w:tcW w:w="895" w:type="dxa"/>
            <w:tcMar>
              <w:left w:w="51" w:type="dxa"/>
              <w:right w:w="51" w:type="dxa"/>
            </w:tcMar>
            <w:vAlign w:val="bottom"/>
          </w:tcPr>
          <w:p w:rsidR="00000000" w:rsidRDefault="00000000">
            <w:pPr>
              <w:tabs>
                <w:tab w:val="decimal" w:pos="485"/>
              </w:tabs>
              <w:rPr>
                <w:sz w:val="21"/>
                <w:szCs w:val="21"/>
              </w:rPr>
            </w:pPr>
            <w:r>
              <w:rPr>
                <w:sz w:val="21"/>
                <w:szCs w:val="21"/>
              </w:rPr>
              <w:t>0,1</w:t>
            </w:r>
          </w:p>
        </w:tc>
        <w:tc>
          <w:tcPr>
            <w:tcW w:w="1235" w:type="dxa"/>
            <w:tcMar>
              <w:left w:w="51" w:type="dxa"/>
              <w:right w:w="51" w:type="dxa"/>
            </w:tcMar>
            <w:vAlign w:val="bottom"/>
          </w:tcPr>
          <w:p w:rsidR="00000000" w:rsidRDefault="00000000">
            <w:pPr>
              <w:tabs>
                <w:tab w:val="decimal" w:pos="612"/>
              </w:tabs>
              <w:rPr>
                <w:sz w:val="21"/>
                <w:szCs w:val="21"/>
              </w:rPr>
            </w:pPr>
            <w:r>
              <w:rPr>
                <w:sz w:val="21"/>
                <w:szCs w:val="21"/>
              </w:rPr>
              <w:t>0,8</w:t>
            </w:r>
          </w:p>
        </w:tc>
        <w:tc>
          <w:tcPr>
            <w:tcW w:w="1186" w:type="dxa"/>
            <w:tcMar>
              <w:left w:w="51" w:type="dxa"/>
              <w:right w:w="51" w:type="dxa"/>
            </w:tcMar>
            <w:vAlign w:val="bottom"/>
          </w:tcPr>
          <w:p w:rsidR="00000000" w:rsidRDefault="00000000">
            <w:pPr>
              <w:tabs>
                <w:tab w:val="decimal" w:pos="623"/>
              </w:tabs>
              <w:rPr>
                <w:sz w:val="21"/>
                <w:szCs w:val="21"/>
              </w:rPr>
            </w:pPr>
            <w:r>
              <w:rPr>
                <w:sz w:val="21"/>
                <w:szCs w:val="21"/>
              </w:rPr>
              <w:t>0,1</w:t>
            </w:r>
          </w:p>
        </w:tc>
        <w:tc>
          <w:tcPr>
            <w:tcW w:w="651" w:type="dxa"/>
            <w:tcMar>
              <w:left w:w="51" w:type="dxa"/>
              <w:right w:w="51" w:type="dxa"/>
            </w:tcMar>
            <w:vAlign w:val="bottom"/>
          </w:tcPr>
          <w:p w:rsidR="00000000" w:rsidRDefault="00000000">
            <w:pPr>
              <w:tabs>
                <w:tab w:val="decimal" w:pos="360"/>
              </w:tabs>
              <w:rPr>
                <w:sz w:val="21"/>
                <w:szCs w:val="21"/>
              </w:rPr>
            </w:pPr>
            <w:r>
              <w:rPr>
                <w:sz w:val="21"/>
                <w:szCs w:val="21"/>
              </w:rPr>
              <w:t>0,1</w:t>
            </w:r>
          </w:p>
        </w:tc>
        <w:tc>
          <w:tcPr>
            <w:tcW w:w="919" w:type="dxa"/>
            <w:tcMar>
              <w:left w:w="51" w:type="dxa"/>
              <w:right w:w="51" w:type="dxa"/>
            </w:tcMar>
            <w:vAlign w:val="bottom"/>
          </w:tcPr>
          <w:p w:rsidR="00000000" w:rsidRDefault="00000000">
            <w:pPr>
              <w:tabs>
                <w:tab w:val="decimal" w:pos="504"/>
              </w:tabs>
              <w:rPr>
                <w:sz w:val="21"/>
                <w:szCs w:val="21"/>
              </w:rPr>
            </w:pPr>
            <w:r>
              <w:rPr>
                <w:sz w:val="21"/>
                <w:szCs w:val="21"/>
              </w:rPr>
              <w:t>0,1</w:t>
            </w:r>
          </w:p>
        </w:tc>
        <w:tc>
          <w:tcPr>
            <w:tcW w:w="1515" w:type="dxa"/>
            <w:tcMar>
              <w:left w:w="51" w:type="dxa"/>
              <w:right w:w="51" w:type="dxa"/>
            </w:tcMar>
            <w:vAlign w:val="bottom"/>
          </w:tcPr>
          <w:p w:rsidR="00000000" w:rsidRDefault="00000000">
            <w:pPr>
              <w:tabs>
                <w:tab w:val="decimal" w:pos="792"/>
              </w:tabs>
              <w:rPr>
                <w:sz w:val="21"/>
                <w:szCs w:val="21"/>
              </w:rPr>
            </w:pPr>
            <w:r>
              <w:rPr>
                <w:sz w:val="21"/>
                <w:szCs w:val="21"/>
              </w:rPr>
              <w:t>0,5</w:t>
            </w:r>
          </w:p>
        </w:tc>
        <w:tc>
          <w:tcPr>
            <w:tcW w:w="615" w:type="dxa"/>
            <w:tcMar>
              <w:left w:w="51" w:type="dxa"/>
              <w:right w:w="51" w:type="dxa"/>
            </w:tcMar>
            <w:vAlign w:val="bottom"/>
          </w:tcPr>
          <w:p w:rsidR="00000000" w:rsidRDefault="00000000">
            <w:pPr>
              <w:tabs>
                <w:tab w:val="decimal" w:pos="355"/>
              </w:tabs>
              <w:rPr>
                <w:sz w:val="21"/>
                <w:szCs w:val="21"/>
              </w:rPr>
            </w:pPr>
            <w:r>
              <w:rPr>
                <w:sz w:val="21"/>
                <w:szCs w:val="21"/>
              </w:rPr>
              <w:t>0,5</w:t>
            </w:r>
          </w:p>
        </w:tc>
      </w:tr>
      <w:tr w:rsidR="00000000">
        <w:tc>
          <w:tcPr>
            <w:tcW w:w="1474" w:type="dxa"/>
            <w:tcMar>
              <w:left w:w="51" w:type="dxa"/>
              <w:right w:w="51" w:type="dxa"/>
            </w:tcMar>
          </w:tcPr>
          <w:p w:rsidR="00000000" w:rsidRDefault="00000000">
            <w:pPr>
              <w:rPr>
                <w:sz w:val="21"/>
                <w:szCs w:val="21"/>
              </w:rPr>
            </w:pPr>
            <w:r>
              <w:rPr>
                <w:sz w:val="21"/>
                <w:szCs w:val="21"/>
              </w:rPr>
              <w:t>Varios</w:t>
            </w:r>
          </w:p>
        </w:tc>
        <w:tc>
          <w:tcPr>
            <w:tcW w:w="967" w:type="dxa"/>
            <w:tcMar>
              <w:left w:w="51" w:type="dxa"/>
              <w:right w:w="51" w:type="dxa"/>
            </w:tcMar>
            <w:vAlign w:val="bottom"/>
          </w:tcPr>
          <w:p w:rsidR="00000000" w:rsidRDefault="00000000">
            <w:pPr>
              <w:tabs>
                <w:tab w:val="decimal" w:pos="458"/>
              </w:tabs>
              <w:rPr>
                <w:sz w:val="21"/>
                <w:szCs w:val="21"/>
              </w:rPr>
            </w:pPr>
            <w:r>
              <w:rPr>
                <w:sz w:val="21"/>
                <w:szCs w:val="21"/>
              </w:rPr>
              <w:t>0,0</w:t>
            </w:r>
          </w:p>
        </w:tc>
        <w:tc>
          <w:tcPr>
            <w:tcW w:w="895" w:type="dxa"/>
            <w:tcMar>
              <w:left w:w="51" w:type="dxa"/>
              <w:right w:w="51" w:type="dxa"/>
            </w:tcMar>
            <w:vAlign w:val="bottom"/>
          </w:tcPr>
          <w:p w:rsidR="00000000" w:rsidRDefault="00000000">
            <w:pPr>
              <w:tabs>
                <w:tab w:val="decimal" w:pos="485"/>
              </w:tabs>
              <w:rPr>
                <w:sz w:val="21"/>
                <w:szCs w:val="21"/>
              </w:rPr>
            </w:pPr>
            <w:r>
              <w:rPr>
                <w:sz w:val="21"/>
                <w:szCs w:val="21"/>
              </w:rPr>
              <w:t>0,0</w:t>
            </w:r>
          </w:p>
        </w:tc>
        <w:tc>
          <w:tcPr>
            <w:tcW w:w="1235" w:type="dxa"/>
            <w:tcMar>
              <w:left w:w="51" w:type="dxa"/>
              <w:right w:w="51" w:type="dxa"/>
            </w:tcMar>
            <w:vAlign w:val="bottom"/>
          </w:tcPr>
          <w:p w:rsidR="00000000" w:rsidRDefault="00000000">
            <w:pPr>
              <w:tabs>
                <w:tab w:val="decimal" w:pos="612"/>
              </w:tabs>
              <w:rPr>
                <w:sz w:val="21"/>
                <w:szCs w:val="21"/>
              </w:rPr>
            </w:pPr>
            <w:r>
              <w:rPr>
                <w:sz w:val="21"/>
                <w:szCs w:val="21"/>
              </w:rPr>
              <w:t>1,3</w:t>
            </w:r>
          </w:p>
        </w:tc>
        <w:tc>
          <w:tcPr>
            <w:tcW w:w="1186" w:type="dxa"/>
            <w:tcMar>
              <w:left w:w="51" w:type="dxa"/>
              <w:right w:w="51" w:type="dxa"/>
            </w:tcMar>
            <w:vAlign w:val="bottom"/>
          </w:tcPr>
          <w:p w:rsidR="00000000" w:rsidRDefault="00000000">
            <w:pPr>
              <w:tabs>
                <w:tab w:val="decimal" w:pos="623"/>
              </w:tabs>
              <w:rPr>
                <w:sz w:val="21"/>
                <w:szCs w:val="21"/>
              </w:rPr>
            </w:pPr>
            <w:r>
              <w:rPr>
                <w:sz w:val="21"/>
                <w:szCs w:val="21"/>
              </w:rPr>
              <w:t>0,0</w:t>
            </w:r>
          </w:p>
        </w:tc>
        <w:tc>
          <w:tcPr>
            <w:tcW w:w="651" w:type="dxa"/>
            <w:tcMar>
              <w:left w:w="51" w:type="dxa"/>
              <w:right w:w="51" w:type="dxa"/>
            </w:tcMar>
            <w:vAlign w:val="bottom"/>
          </w:tcPr>
          <w:p w:rsidR="00000000" w:rsidRDefault="00000000">
            <w:pPr>
              <w:tabs>
                <w:tab w:val="decimal" w:pos="360"/>
              </w:tabs>
              <w:rPr>
                <w:sz w:val="21"/>
                <w:szCs w:val="21"/>
              </w:rPr>
            </w:pPr>
            <w:r>
              <w:rPr>
                <w:sz w:val="21"/>
                <w:szCs w:val="21"/>
              </w:rPr>
              <w:t>0,0</w:t>
            </w:r>
          </w:p>
        </w:tc>
        <w:tc>
          <w:tcPr>
            <w:tcW w:w="919" w:type="dxa"/>
            <w:tcMar>
              <w:left w:w="51" w:type="dxa"/>
              <w:right w:w="51" w:type="dxa"/>
            </w:tcMar>
            <w:vAlign w:val="bottom"/>
          </w:tcPr>
          <w:p w:rsidR="00000000" w:rsidRDefault="00000000">
            <w:pPr>
              <w:tabs>
                <w:tab w:val="decimal" w:pos="504"/>
              </w:tabs>
              <w:rPr>
                <w:sz w:val="21"/>
                <w:szCs w:val="21"/>
              </w:rPr>
            </w:pPr>
            <w:r>
              <w:rPr>
                <w:sz w:val="21"/>
                <w:szCs w:val="21"/>
              </w:rPr>
              <w:t>0,0</w:t>
            </w:r>
          </w:p>
        </w:tc>
        <w:tc>
          <w:tcPr>
            <w:tcW w:w="1515" w:type="dxa"/>
            <w:tcMar>
              <w:left w:w="51" w:type="dxa"/>
              <w:right w:w="51" w:type="dxa"/>
            </w:tcMar>
            <w:vAlign w:val="bottom"/>
          </w:tcPr>
          <w:p w:rsidR="00000000" w:rsidRDefault="00000000">
            <w:pPr>
              <w:tabs>
                <w:tab w:val="decimal" w:pos="792"/>
              </w:tabs>
              <w:rPr>
                <w:sz w:val="21"/>
                <w:szCs w:val="21"/>
              </w:rPr>
            </w:pPr>
            <w:r>
              <w:rPr>
                <w:sz w:val="21"/>
                <w:szCs w:val="21"/>
              </w:rPr>
              <w:t>0,8</w:t>
            </w:r>
          </w:p>
        </w:tc>
        <w:tc>
          <w:tcPr>
            <w:tcW w:w="615" w:type="dxa"/>
            <w:tcMar>
              <w:left w:w="51" w:type="dxa"/>
              <w:right w:w="51" w:type="dxa"/>
            </w:tcMar>
            <w:vAlign w:val="bottom"/>
          </w:tcPr>
          <w:p w:rsidR="00000000" w:rsidRDefault="00000000">
            <w:pPr>
              <w:tabs>
                <w:tab w:val="decimal" w:pos="355"/>
              </w:tabs>
              <w:rPr>
                <w:sz w:val="21"/>
                <w:szCs w:val="21"/>
              </w:rPr>
            </w:pPr>
            <w:r>
              <w:rPr>
                <w:sz w:val="21"/>
                <w:szCs w:val="21"/>
              </w:rPr>
              <w:t>0,7</w:t>
            </w:r>
          </w:p>
        </w:tc>
      </w:tr>
      <w:tr w:rsidR="00000000">
        <w:tc>
          <w:tcPr>
            <w:tcW w:w="1474" w:type="dxa"/>
            <w:tcMar>
              <w:left w:w="51" w:type="dxa"/>
              <w:right w:w="51" w:type="dxa"/>
            </w:tcMar>
          </w:tcPr>
          <w:p w:rsidR="00000000" w:rsidRDefault="00000000">
            <w:pPr>
              <w:rPr>
                <w:sz w:val="21"/>
                <w:szCs w:val="21"/>
              </w:rPr>
            </w:pPr>
            <w:r>
              <w:rPr>
                <w:sz w:val="21"/>
                <w:szCs w:val="21"/>
              </w:rPr>
              <w:t>Extranjeros</w:t>
            </w:r>
          </w:p>
        </w:tc>
        <w:tc>
          <w:tcPr>
            <w:tcW w:w="967" w:type="dxa"/>
            <w:tcMar>
              <w:left w:w="51" w:type="dxa"/>
              <w:right w:w="51" w:type="dxa"/>
            </w:tcMar>
            <w:vAlign w:val="bottom"/>
          </w:tcPr>
          <w:p w:rsidR="00000000" w:rsidRDefault="00000000">
            <w:pPr>
              <w:tabs>
                <w:tab w:val="decimal" w:pos="458"/>
              </w:tabs>
              <w:rPr>
                <w:sz w:val="21"/>
                <w:szCs w:val="21"/>
              </w:rPr>
            </w:pPr>
            <w:r>
              <w:rPr>
                <w:sz w:val="21"/>
                <w:szCs w:val="21"/>
              </w:rPr>
              <w:t>0,2</w:t>
            </w:r>
          </w:p>
        </w:tc>
        <w:tc>
          <w:tcPr>
            <w:tcW w:w="895" w:type="dxa"/>
            <w:tcMar>
              <w:left w:w="51" w:type="dxa"/>
              <w:right w:w="51" w:type="dxa"/>
            </w:tcMar>
            <w:vAlign w:val="bottom"/>
          </w:tcPr>
          <w:p w:rsidR="00000000" w:rsidRDefault="00000000">
            <w:pPr>
              <w:tabs>
                <w:tab w:val="decimal" w:pos="485"/>
              </w:tabs>
              <w:rPr>
                <w:sz w:val="21"/>
                <w:szCs w:val="21"/>
              </w:rPr>
            </w:pPr>
            <w:r>
              <w:rPr>
                <w:sz w:val="21"/>
                <w:szCs w:val="21"/>
              </w:rPr>
              <w:t>0,4</w:t>
            </w:r>
          </w:p>
        </w:tc>
        <w:tc>
          <w:tcPr>
            <w:tcW w:w="1235" w:type="dxa"/>
            <w:tcMar>
              <w:left w:w="51" w:type="dxa"/>
              <w:right w:w="51" w:type="dxa"/>
            </w:tcMar>
            <w:vAlign w:val="bottom"/>
          </w:tcPr>
          <w:p w:rsidR="00000000" w:rsidRDefault="00000000">
            <w:pPr>
              <w:tabs>
                <w:tab w:val="decimal" w:pos="612"/>
              </w:tabs>
              <w:rPr>
                <w:sz w:val="21"/>
                <w:szCs w:val="21"/>
              </w:rPr>
            </w:pPr>
            <w:r>
              <w:rPr>
                <w:sz w:val="21"/>
                <w:szCs w:val="21"/>
              </w:rPr>
              <w:t>0,8</w:t>
            </w:r>
          </w:p>
        </w:tc>
        <w:tc>
          <w:tcPr>
            <w:tcW w:w="1186" w:type="dxa"/>
            <w:tcMar>
              <w:left w:w="51" w:type="dxa"/>
              <w:right w:w="51" w:type="dxa"/>
            </w:tcMar>
            <w:vAlign w:val="bottom"/>
          </w:tcPr>
          <w:p w:rsidR="00000000" w:rsidRDefault="00000000">
            <w:pPr>
              <w:tabs>
                <w:tab w:val="decimal" w:pos="623"/>
              </w:tabs>
              <w:rPr>
                <w:sz w:val="21"/>
                <w:szCs w:val="21"/>
              </w:rPr>
            </w:pPr>
            <w:r>
              <w:rPr>
                <w:sz w:val="21"/>
                <w:szCs w:val="21"/>
              </w:rPr>
              <w:t>0,9</w:t>
            </w:r>
          </w:p>
        </w:tc>
        <w:tc>
          <w:tcPr>
            <w:tcW w:w="651" w:type="dxa"/>
            <w:tcMar>
              <w:left w:w="51" w:type="dxa"/>
              <w:right w:w="51" w:type="dxa"/>
            </w:tcMar>
            <w:vAlign w:val="bottom"/>
          </w:tcPr>
          <w:p w:rsidR="00000000" w:rsidRDefault="00000000">
            <w:pPr>
              <w:tabs>
                <w:tab w:val="decimal" w:pos="360"/>
              </w:tabs>
              <w:rPr>
                <w:sz w:val="21"/>
                <w:szCs w:val="21"/>
              </w:rPr>
            </w:pPr>
            <w:r>
              <w:rPr>
                <w:sz w:val="21"/>
                <w:szCs w:val="21"/>
              </w:rPr>
              <w:t>0,8</w:t>
            </w:r>
          </w:p>
        </w:tc>
        <w:tc>
          <w:tcPr>
            <w:tcW w:w="919" w:type="dxa"/>
            <w:tcMar>
              <w:left w:w="51" w:type="dxa"/>
              <w:right w:w="51" w:type="dxa"/>
            </w:tcMar>
            <w:vAlign w:val="bottom"/>
          </w:tcPr>
          <w:p w:rsidR="00000000" w:rsidRDefault="00000000">
            <w:pPr>
              <w:tabs>
                <w:tab w:val="decimal" w:pos="504"/>
              </w:tabs>
              <w:rPr>
                <w:sz w:val="21"/>
                <w:szCs w:val="21"/>
              </w:rPr>
            </w:pPr>
            <w:r>
              <w:rPr>
                <w:sz w:val="21"/>
                <w:szCs w:val="21"/>
              </w:rPr>
              <w:t>0,6</w:t>
            </w:r>
          </w:p>
        </w:tc>
        <w:tc>
          <w:tcPr>
            <w:tcW w:w="1515" w:type="dxa"/>
            <w:tcMar>
              <w:left w:w="51" w:type="dxa"/>
              <w:right w:w="51" w:type="dxa"/>
            </w:tcMar>
            <w:vAlign w:val="bottom"/>
          </w:tcPr>
          <w:p w:rsidR="00000000" w:rsidRDefault="00000000">
            <w:pPr>
              <w:tabs>
                <w:tab w:val="decimal" w:pos="792"/>
              </w:tabs>
              <w:rPr>
                <w:sz w:val="21"/>
                <w:szCs w:val="21"/>
              </w:rPr>
            </w:pPr>
            <w:r>
              <w:rPr>
                <w:sz w:val="21"/>
                <w:szCs w:val="21"/>
              </w:rPr>
              <w:t>1,0</w:t>
            </w:r>
          </w:p>
        </w:tc>
        <w:tc>
          <w:tcPr>
            <w:tcW w:w="615" w:type="dxa"/>
            <w:tcMar>
              <w:left w:w="51" w:type="dxa"/>
              <w:right w:w="51" w:type="dxa"/>
            </w:tcMar>
            <w:vAlign w:val="bottom"/>
          </w:tcPr>
          <w:p w:rsidR="00000000" w:rsidRDefault="00000000">
            <w:pPr>
              <w:tabs>
                <w:tab w:val="decimal" w:pos="355"/>
              </w:tabs>
              <w:rPr>
                <w:sz w:val="21"/>
                <w:szCs w:val="21"/>
              </w:rPr>
            </w:pPr>
            <w:r>
              <w:rPr>
                <w:sz w:val="21"/>
                <w:szCs w:val="21"/>
              </w:rPr>
              <w:t>0,7</w:t>
            </w:r>
          </w:p>
        </w:tc>
      </w:tr>
      <w:tr w:rsidR="00000000">
        <w:tc>
          <w:tcPr>
            <w:tcW w:w="1474" w:type="dxa"/>
            <w:tcMar>
              <w:left w:w="51" w:type="dxa"/>
              <w:right w:w="51" w:type="dxa"/>
            </w:tcMar>
          </w:tcPr>
          <w:p w:rsidR="00000000" w:rsidRDefault="00000000">
            <w:pPr>
              <w:rPr>
                <w:sz w:val="21"/>
                <w:szCs w:val="21"/>
              </w:rPr>
            </w:pPr>
            <w:r>
              <w:rPr>
                <w:sz w:val="21"/>
                <w:szCs w:val="21"/>
              </w:rPr>
              <w:t>Indeterminados</w:t>
            </w:r>
          </w:p>
        </w:tc>
        <w:tc>
          <w:tcPr>
            <w:tcW w:w="967" w:type="dxa"/>
            <w:tcMar>
              <w:left w:w="51" w:type="dxa"/>
              <w:right w:w="51" w:type="dxa"/>
            </w:tcMar>
            <w:vAlign w:val="bottom"/>
          </w:tcPr>
          <w:p w:rsidR="00000000" w:rsidRDefault="00000000">
            <w:pPr>
              <w:tabs>
                <w:tab w:val="decimal" w:pos="458"/>
              </w:tabs>
              <w:rPr>
                <w:sz w:val="21"/>
                <w:szCs w:val="21"/>
              </w:rPr>
            </w:pPr>
            <w:r>
              <w:rPr>
                <w:sz w:val="21"/>
                <w:szCs w:val="21"/>
              </w:rPr>
              <w:t>0,2</w:t>
            </w:r>
          </w:p>
        </w:tc>
        <w:tc>
          <w:tcPr>
            <w:tcW w:w="895" w:type="dxa"/>
            <w:tcMar>
              <w:left w:w="51" w:type="dxa"/>
              <w:right w:w="51" w:type="dxa"/>
            </w:tcMar>
            <w:vAlign w:val="bottom"/>
          </w:tcPr>
          <w:p w:rsidR="00000000" w:rsidRDefault="00000000">
            <w:pPr>
              <w:tabs>
                <w:tab w:val="decimal" w:pos="485"/>
              </w:tabs>
              <w:rPr>
                <w:sz w:val="21"/>
                <w:szCs w:val="21"/>
              </w:rPr>
            </w:pPr>
            <w:r>
              <w:rPr>
                <w:sz w:val="21"/>
                <w:szCs w:val="21"/>
              </w:rPr>
              <w:t>0,1</w:t>
            </w:r>
          </w:p>
        </w:tc>
        <w:tc>
          <w:tcPr>
            <w:tcW w:w="1235" w:type="dxa"/>
            <w:tcMar>
              <w:left w:w="51" w:type="dxa"/>
              <w:right w:w="51" w:type="dxa"/>
            </w:tcMar>
            <w:vAlign w:val="bottom"/>
          </w:tcPr>
          <w:p w:rsidR="00000000" w:rsidRDefault="00000000">
            <w:pPr>
              <w:tabs>
                <w:tab w:val="decimal" w:pos="612"/>
              </w:tabs>
              <w:rPr>
                <w:sz w:val="21"/>
                <w:szCs w:val="21"/>
              </w:rPr>
            </w:pPr>
            <w:r>
              <w:rPr>
                <w:sz w:val="21"/>
                <w:szCs w:val="21"/>
              </w:rPr>
              <w:t>0,3</w:t>
            </w:r>
          </w:p>
        </w:tc>
        <w:tc>
          <w:tcPr>
            <w:tcW w:w="1186" w:type="dxa"/>
            <w:tcMar>
              <w:left w:w="51" w:type="dxa"/>
              <w:right w:w="51" w:type="dxa"/>
            </w:tcMar>
            <w:vAlign w:val="bottom"/>
          </w:tcPr>
          <w:p w:rsidR="00000000" w:rsidRDefault="00000000">
            <w:pPr>
              <w:tabs>
                <w:tab w:val="decimal" w:pos="623"/>
              </w:tabs>
              <w:rPr>
                <w:sz w:val="21"/>
                <w:szCs w:val="21"/>
              </w:rPr>
            </w:pPr>
            <w:r>
              <w:rPr>
                <w:sz w:val="21"/>
                <w:szCs w:val="21"/>
              </w:rPr>
              <w:t>0,1</w:t>
            </w:r>
          </w:p>
        </w:tc>
        <w:tc>
          <w:tcPr>
            <w:tcW w:w="651" w:type="dxa"/>
            <w:tcMar>
              <w:left w:w="51" w:type="dxa"/>
              <w:right w:w="51" w:type="dxa"/>
            </w:tcMar>
            <w:vAlign w:val="bottom"/>
          </w:tcPr>
          <w:p w:rsidR="00000000" w:rsidRDefault="00000000">
            <w:pPr>
              <w:tabs>
                <w:tab w:val="decimal" w:pos="360"/>
              </w:tabs>
              <w:rPr>
                <w:sz w:val="21"/>
                <w:szCs w:val="21"/>
              </w:rPr>
            </w:pPr>
            <w:r>
              <w:rPr>
                <w:sz w:val="21"/>
                <w:szCs w:val="21"/>
              </w:rPr>
              <w:t>0,1</w:t>
            </w:r>
          </w:p>
        </w:tc>
        <w:tc>
          <w:tcPr>
            <w:tcW w:w="919" w:type="dxa"/>
            <w:tcMar>
              <w:left w:w="51" w:type="dxa"/>
              <w:right w:w="51" w:type="dxa"/>
            </w:tcMar>
            <w:vAlign w:val="bottom"/>
          </w:tcPr>
          <w:p w:rsidR="00000000" w:rsidRDefault="00000000">
            <w:pPr>
              <w:tabs>
                <w:tab w:val="decimal" w:pos="504"/>
              </w:tabs>
              <w:rPr>
                <w:sz w:val="21"/>
                <w:szCs w:val="21"/>
              </w:rPr>
            </w:pPr>
            <w:r>
              <w:rPr>
                <w:sz w:val="21"/>
                <w:szCs w:val="21"/>
              </w:rPr>
              <w:t>0,2</w:t>
            </w:r>
          </w:p>
        </w:tc>
        <w:tc>
          <w:tcPr>
            <w:tcW w:w="1515" w:type="dxa"/>
            <w:tcMar>
              <w:left w:w="51" w:type="dxa"/>
              <w:right w:w="51" w:type="dxa"/>
            </w:tcMar>
            <w:vAlign w:val="bottom"/>
          </w:tcPr>
          <w:p w:rsidR="00000000" w:rsidRDefault="00000000">
            <w:pPr>
              <w:tabs>
                <w:tab w:val="decimal" w:pos="792"/>
              </w:tabs>
              <w:rPr>
                <w:sz w:val="21"/>
                <w:szCs w:val="21"/>
              </w:rPr>
            </w:pPr>
            <w:r>
              <w:rPr>
                <w:sz w:val="21"/>
                <w:szCs w:val="21"/>
              </w:rPr>
              <w:t>4,8</w:t>
            </w:r>
          </w:p>
        </w:tc>
        <w:tc>
          <w:tcPr>
            <w:tcW w:w="615" w:type="dxa"/>
            <w:tcMar>
              <w:left w:w="51" w:type="dxa"/>
              <w:right w:w="51" w:type="dxa"/>
            </w:tcMar>
            <w:vAlign w:val="bottom"/>
          </w:tcPr>
          <w:p w:rsidR="00000000" w:rsidRDefault="00000000">
            <w:pPr>
              <w:tabs>
                <w:tab w:val="decimal" w:pos="355"/>
              </w:tabs>
              <w:rPr>
                <w:sz w:val="21"/>
                <w:szCs w:val="21"/>
              </w:rPr>
            </w:pPr>
            <w:r>
              <w:rPr>
                <w:sz w:val="21"/>
                <w:szCs w:val="21"/>
              </w:rPr>
              <w:t>0,3</w:t>
            </w:r>
          </w:p>
        </w:tc>
      </w:tr>
      <w:tr w:rsidR="00000000">
        <w:tc>
          <w:tcPr>
            <w:tcW w:w="1474" w:type="dxa"/>
            <w:tcMar>
              <w:left w:w="51" w:type="dxa"/>
              <w:right w:w="51" w:type="dxa"/>
            </w:tcMar>
          </w:tcPr>
          <w:p w:rsidR="00000000" w:rsidRDefault="00000000">
            <w:pPr>
              <w:ind w:left="224"/>
              <w:rPr>
                <w:b/>
                <w:sz w:val="21"/>
                <w:szCs w:val="21"/>
              </w:rPr>
            </w:pPr>
            <w:r>
              <w:rPr>
                <w:b/>
                <w:sz w:val="21"/>
                <w:szCs w:val="21"/>
              </w:rPr>
              <w:t>Total</w:t>
            </w:r>
          </w:p>
        </w:tc>
        <w:tc>
          <w:tcPr>
            <w:tcW w:w="967" w:type="dxa"/>
            <w:tcMar>
              <w:left w:w="51" w:type="dxa"/>
              <w:right w:w="51" w:type="dxa"/>
            </w:tcMar>
            <w:vAlign w:val="bottom"/>
          </w:tcPr>
          <w:p w:rsidR="00000000" w:rsidRDefault="00000000">
            <w:pPr>
              <w:tabs>
                <w:tab w:val="decimal" w:pos="458"/>
              </w:tabs>
              <w:rPr>
                <w:b/>
                <w:bCs/>
                <w:sz w:val="21"/>
                <w:szCs w:val="21"/>
              </w:rPr>
            </w:pPr>
            <w:r>
              <w:rPr>
                <w:b/>
                <w:bCs/>
                <w:sz w:val="21"/>
                <w:szCs w:val="21"/>
              </w:rPr>
              <w:t>100,0</w:t>
            </w:r>
          </w:p>
        </w:tc>
        <w:tc>
          <w:tcPr>
            <w:tcW w:w="895" w:type="dxa"/>
            <w:tcMar>
              <w:left w:w="51" w:type="dxa"/>
              <w:right w:w="51" w:type="dxa"/>
            </w:tcMar>
            <w:vAlign w:val="bottom"/>
          </w:tcPr>
          <w:p w:rsidR="00000000" w:rsidRDefault="00000000">
            <w:pPr>
              <w:tabs>
                <w:tab w:val="decimal" w:pos="485"/>
              </w:tabs>
              <w:rPr>
                <w:b/>
                <w:bCs/>
                <w:sz w:val="21"/>
                <w:szCs w:val="21"/>
              </w:rPr>
            </w:pPr>
            <w:r>
              <w:rPr>
                <w:b/>
                <w:bCs/>
                <w:sz w:val="21"/>
                <w:szCs w:val="21"/>
              </w:rPr>
              <w:t>100,0</w:t>
            </w:r>
          </w:p>
        </w:tc>
        <w:tc>
          <w:tcPr>
            <w:tcW w:w="1235" w:type="dxa"/>
            <w:tcMar>
              <w:left w:w="51" w:type="dxa"/>
              <w:right w:w="51" w:type="dxa"/>
            </w:tcMar>
            <w:vAlign w:val="bottom"/>
          </w:tcPr>
          <w:p w:rsidR="00000000" w:rsidRDefault="00000000">
            <w:pPr>
              <w:tabs>
                <w:tab w:val="decimal" w:pos="612"/>
              </w:tabs>
              <w:rPr>
                <w:b/>
                <w:bCs/>
                <w:sz w:val="21"/>
                <w:szCs w:val="21"/>
              </w:rPr>
            </w:pPr>
            <w:r>
              <w:rPr>
                <w:b/>
                <w:bCs/>
                <w:sz w:val="21"/>
                <w:szCs w:val="21"/>
              </w:rPr>
              <w:t>100,0</w:t>
            </w:r>
          </w:p>
        </w:tc>
        <w:tc>
          <w:tcPr>
            <w:tcW w:w="1186" w:type="dxa"/>
            <w:tcMar>
              <w:left w:w="51" w:type="dxa"/>
              <w:right w:w="51" w:type="dxa"/>
            </w:tcMar>
            <w:vAlign w:val="bottom"/>
          </w:tcPr>
          <w:p w:rsidR="00000000" w:rsidRDefault="00000000">
            <w:pPr>
              <w:tabs>
                <w:tab w:val="decimal" w:pos="623"/>
              </w:tabs>
              <w:rPr>
                <w:b/>
                <w:bCs/>
                <w:sz w:val="21"/>
                <w:szCs w:val="21"/>
              </w:rPr>
            </w:pPr>
            <w:r>
              <w:rPr>
                <w:b/>
                <w:bCs/>
                <w:sz w:val="21"/>
                <w:szCs w:val="21"/>
              </w:rPr>
              <w:t>100,0</w:t>
            </w:r>
          </w:p>
        </w:tc>
        <w:tc>
          <w:tcPr>
            <w:tcW w:w="651" w:type="dxa"/>
            <w:tcMar>
              <w:left w:w="51" w:type="dxa"/>
              <w:right w:w="51" w:type="dxa"/>
            </w:tcMar>
            <w:vAlign w:val="bottom"/>
          </w:tcPr>
          <w:p w:rsidR="00000000" w:rsidRDefault="00000000">
            <w:pPr>
              <w:tabs>
                <w:tab w:val="decimal" w:pos="360"/>
              </w:tabs>
              <w:rPr>
                <w:b/>
                <w:bCs/>
                <w:sz w:val="21"/>
                <w:szCs w:val="21"/>
              </w:rPr>
            </w:pPr>
            <w:r>
              <w:rPr>
                <w:b/>
                <w:bCs/>
                <w:sz w:val="21"/>
                <w:szCs w:val="21"/>
              </w:rPr>
              <w:t>100,0</w:t>
            </w:r>
          </w:p>
        </w:tc>
        <w:tc>
          <w:tcPr>
            <w:tcW w:w="919" w:type="dxa"/>
            <w:tcMar>
              <w:left w:w="51" w:type="dxa"/>
              <w:right w:w="51" w:type="dxa"/>
            </w:tcMar>
            <w:vAlign w:val="bottom"/>
          </w:tcPr>
          <w:p w:rsidR="00000000" w:rsidRDefault="00000000">
            <w:pPr>
              <w:tabs>
                <w:tab w:val="decimal" w:pos="504"/>
              </w:tabs>
              <w:rPr>
                <w:b/>
                <w:bCs/>
                <w:sz w:val="21"/>
                <w:szCs w:val="21"/>
              </w:rPr>
            </w:pPr>
            <w:r>
              <w:rPr>
                <w:b/>
                <w:bCs/>
                <w:sz w:val="21"/>
                <w:szCs w:val="21"/>
              </w:rPr>
              <w:t>100,0</w:t>
            </w:r>
          </w:p>
        </w:tc>
        <w:tc>
          <w:tcPr>
            <w:tcW w:w="1515" w:type="dxa"/>
            <w:tcMar>
              <w:left w:w="51" w:type="dxa"/>
              <w:right w:w="51" w:type="dxa"/>
            </w:tcMar>
            <w:vAlign w:val="bottom"/>
          </w:tcPr>
          <w:p w:rsidR="00000000" w:rsidRDefault="00000000">
            <w:pPr>
              <w:tabs>
                <w:tab w:val="decimal" w:pos="792"/>
              </w:tabs>
              <w:rPr>
                <w:b/>
                <w:bCs/>
                <w:sz w:val="21"/>
                <w:szCs w:val="21"/>
              </w:rPr>
            </w:pPr>
            <w:r>
              <w:rPr>
                <w:b/>
                <w:bCs/>
                <w:sz w:val="21"/>
                <w:szCs w:val="21"/>
              </w:rPr>
              <w:t>100,0</w:t>
            </w:r>
          </w:p>
        </w:tc>
        <w:tc>
          <w:tcPr>
            <w:tcW w:w="615" w:type="dxa"/>
            <w:tcMar>
              <w:left w:w="51" w:type="dxa"/>
              <w:right w:w="51" w:type="dxa"/>
            </w:tcMar>
            <w:vAlign w:val="bottom"/>
          </w:tcPr>
          <w:p w:rsidR="00000000" w:rsidRDefault="00000000">
            <w:pPr>
              <w:tabs>
                <w:tab w:val="decimal" w:pos="355"/>
              </w:tabs>
              <w:rPr>
                <w:b/>
                <w:bCs/>
                <w:sz w:val="21"/>
                <w:szCs w:val="21"/>
              </w:rPr>
            </w:pPr>
            <w:r>
              <w:rPr>
                <w:b/>
                <w:bCs/>
                <w:sz w:val="21"/>
                <w:szCs w:val="21"/>
              </w:rPr>
              <w:t>100,0</w:t>
            </w:r>
          </w:p>
        </w:tc>
      </w:tr>
    </w:tbl>
    <w:p w:rsidR="00000000" w:rsidRDefault="00000000">
      <w:pPr>
        <w:spacing w:before="220" w:after="480"/>
        <w:rPr>
          <w:sz w:val="21"/>
          <w:szCs w:val="21"/>
        </w:rPr>
      </w:pPr>
      <w:r>
        <w:rPr>
          <w:i/>
          <w:sz w:val="21"/>
          <w:szCs w:val="21"/>
        </w:rPr>
        <w:t xml:space="preserve">Fuente:  </w:t>
      </w:r>
      <w:r>
        <w:rPr>
          <w:sz w:val="21"/>
          <w:szCs w:val="21"/>
        </w:rPr>
        <w:t>RGPH de 1993.</w:t>
      </w:r>
    </w:p>
    <w:p w:rsidR="00000000" w:rsidRDefault="00000000">
      <w:pPr>
        <w:spacing w:after="240"/>
        <w:jc w:val="center"/>
        <w:rPr>
          <w:b/>
        </w:rPr>
      </w:pPr>
      <w:r>
        <w:rPr>
          <w:b/>
        </w:rPr>
        <w:t>E.  Situación de la mujer</w:t>
      </w:r>
    </w:p>
    <w:p w:rsidR="00000000" w:rsidRDefault="00000000">
      <w:pPr>
        <w:spacing w:before="220" w:after="480"/>
        <w:rPr>
          <w:sz w:val="22"/>
          <w:szCs w:val="22"/>
        </w:rPr>
      </w:pPr>
      <w:r>
        <w:t>45.</w:t>
      </w:r>
      <w:r>
        <w:tab/>
        <w:t>Ningún texto legislativo o reglamentario contiene disposiciones discriminatorias contra la mujer.  Ciertos oficios o profesiones, que eran hasta un pasado reciente inaccesibles a la mujer o eran todavía exclusivamente masculinos -teniendo en cuenta el escaso nivel de instrucción de las mujeres o ciertas exigencias relacionadas con su constitución física- se les abren hoy.  Como ejemplo cabe citar el acceso al cuerpo de gendarmería.</w:t>
      </w:r>
    </w:p>
    <w:p w:rsidR="00000000" w:rsidRDefault="00000000">
      <w:pPr>
        <w:keepNext/>
        <w:keepLines/>
        <w:spacing w:after="220"/>
        <w:jc w:val="center"/>
        <w:rPr>
          <w:b/>
          <w:sz w:val="22"/>
          <w:szCs w:val="22"/>
        </w:rPr>
      </w:pPr>
      <w:r>
        <w:rPr>
          <w:b/>
          <w:sz w:val="22"/>
          <w:szCs w:val="22"/>
        </w:rPr>
        <w:t>Cuadro 12</w:t>
      </w:r>
    </w:p>
    <w:p w:rsidR="00000000" w:rsidRDefault="00000000">
      <w:pPr>
        <w:keepNext/>
        <w:keepLines/>
        <w:spacing w:after="220"/>
        <w:jc w:val="center"/>
        <w:rPr>
          <w:b/>
          <w:sz w:val="22"/>
          <w:szCs w:val="22"/>
        </w:rPr>
      </w:pPr>
      <w:r>
        <w:rPr>
          <w:b/>
          <w:sz w:val="22"/>
          <w:szCs w:val="22"/>
        </w:rPr>
        <w:t>Distribución de la población residente de los grandes grupos étnicos, por religión</w:t>
      </w:r>
    </w:p>
    <w:p w:rsidR="00000000" w:rsidRDefault="00000000">
      <w:pPr>
        <w:spacing w:after="220"/>
        <w:jc w:val="center"/>
        <w:rPr>
          <w:sz w:val="22"/>
          <w:szCs w:val="22"/>
        </w:rPr>
      </w:pPr>
      <w:r>
        <w:rPr>
          <w:sz w:val="22"/>
          <w:szCs w:val="22"/>
        </w:rPr>
        <w:t>(En porcentaje)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8" w:type="dxa"/>
          <w:right w:w="68" w:type="dxa"/>
        </w:tblCellMar>
        <w:tblLook w:val="01E0" w:firstRow="1" w:lastRow="1" w:firstColumn="1" w:lastColumn="1" w:noHBand="0" w:noVBand="0"/>
      </w:tblPr>
      <w:tblGrid>
        <w:gridCol w:w="1537"/>
        <w:gridCol w:w="968"/>
        <w:gridCol w:w="885"/>
        <w:gridCol w:w="1227"/>
        <w:gridCol w:w="1178"/>
        <w:gridCol w:w="640"/>
        <w:gridCol w:w="910"/>
        <w:gridCol w:w="1508"/>
        <w:gridCol w:w="604"/>
      </w:tblGrid>
      <w:tr w:rsidR="00000000">
        <w:trPr>
          <w:cantSplit/>
          <w:tblHeader/>
        </w:trPr>
        <w:tc>
          <w:tcPr>
            <w:tcW w:w="1537" w:type="dxa"/>
            <w:vMerge w:val="restart"/>
            <w:tcMar>
              <w:left w:w="51" w:type="dxa"/>
              <w:right w:w="51" w:type="dxa"/>
            </w:tcMar>
            <w:vAlign w:val="center"/>
          </w:tcPr>
          <w:p w:rsidR="00000000" w:rsidRDefault="00000000">
            <w:pPr>
              <w:jc w:val="center"/>
              <w:rPr>
                <w:b/>
                <w:sz w:val="22"/>
                <w:szCs w:val="22"/>
              </w:rPr>
            </w:pPr>
            <w:r>
              <w:rPr>
                <w:b/>
                <w:sz w:val="22"/>
                <w:szCs w:val="22"/>
              </w:rPr>
              <w:t>Gran grupo étnico</w:t>
            </w:r>
          </w:p>
        </w:tc>
        <w:tc>
          <w:tcPr>
            <w:tcW w:w="7920" w:type="dxa"/>
            <w:gridSpan w:val="8"/>
            <w:tcMar>
              <w:left w:w="51" w:type="dxa"/>
              <w:right w:w="51" w:type="dxa"/>
            </w:tcMar>
            <w:vAlign w:val="center"/>
          </w:tcPr>
          <w:p w:rsidR="00000000" w:rsidRDefault="00000000">
            <w:pPr>
              <w:jc w:val="center"/>
              <w:rPr>
                <w:b/>
                <w:sz w:val="22"/>
                <w:szCs w:val="22"/>
              </w:rPr>
            </w:pPr>
            <w:r>
              <w:rPr>
                <w:b/>
                <w:sz w:val="22"/>
                <w:szCs w:val="22"/>
              </w:rPr>
              <w:t>Religión</w:t>
            </w:r>
          </w:p>
        </w:tc>
      </w:tr>
      <w:tr w:rsidR="00000000">
        <w:trPr>
          <w:cantSplit/>
          <w:tblHeader/>
        </w:trPr>
        <w:tc>
          <w:tcPr>
            <w:tcW w:w="1537" w:type="dxa"/>
            <w:vMerge/>
            <w:tcMar>
              <w:left w:w="51" w:type="dxa"/>
              <w:right w:w="51" w:type="dxa"/>
            </w:tcMar>
            <w:vAlign w:val="center"/>
          </w:tcPr>
          <w:p w:rsidR="00000000" w:rsidRDefault="00000000">
            <w:pPr>
              <w:jc w:val="center"/>
              <w:rPr>
                <w:i/>
                <w:sz w:val="22"/>
                <w:szCs w:val="22"/>
              </w:rPr>
            </w:pPr>
          </w:p>
        </w:tc>
        <w:tc>
          <w:tcPr>
            <w:tcW w:w="968" w:type="dxa"/>
            <w:tcMar>
              <w:left w:w="51" w:type="dxa"/>
              <w:right w:w="51" w:type="dxa"/>
            </w:tcMar>
            <w:vAlign w:val="center"/>
          </w:tcPr>
          <w:p w:rsidR="00000000" w:rsidRDefault="00000000">
            <w:pPr>
              <w:jc w:val="center"/>
              <w:rPr>
                <w:b/>
                <w:sz w:val="22"/>
                <w:szCs w:val="22"/>
              </w:rPr>
            </w:pPr>
            <w:r>
              <w:rPr>
                <w:b/>
                <w:sz w:val="22"/>
                <w:szCs w:val="22"/>
              </w:rPr>
              <w:t>Animista</w:t>
            </w:r>
          </w:p>
        </w:tc>
        <w:tc>
          <w:tcPr>
            <w:tcW w:w="885" w:type="dxa"/>
            <w:tcMar>
              <w:left w:w="51" w:type="dxa"/>
              <w:right w:w="51" w:type="dxa"/>
            </w:tcMar>
            <w:vAlign w:val="center"/>
          </w:tcPr>
          <w:p w:rsidR="00000000" w:rsidRDefault="00000000">
            <w:pPr>
              <w:jc w:val="center"/>
              <w:rPr>
                <w:b/>
                <w:sz w:val="22"/>
                <w:szCs w:val="22"/>
              </w:rPr>
            </w:pPr>
            <w:r>
              <w:rPr>
                <w:b/>
                <w:sz w:val="22"/>
                <w:szCs w:val="22"/>
              </w:rPr>
              <w:t>Católica</w:t>
            </w:r>
          </w:p>
        </w:tc>
        <w:tc>
          <w:tcPr>
            <w:tcW w:w="1227" w:type="dxa"/>
            <w:tcMar>
              <w:left w:w="51" w:type="dxa"/>
              <w:right w:w="51" w:type="dxa"/>
            </w:tcMar>
            <w:vAlign w:val="center"/>
          </w:tcPr>
          <w:p w:rsidR="00000000" w:rsidRDefault="00000000">
            <w:pPr>
              <w:jc w:val="center"/>
              <w:rPr>
                <w:b/>
                <w:sz w:val="22"/>
                <w:szCs w:val="22"/>
              </w:rPr>
            </w:pPr>
            <w:r>
              <w:rPr>
                <w:b/>
                <w:sz w:val="22"/>
                <w:szCs w:val="22"/>
              </w:rPr>
              <w:t>Musulmana</w:t>
            </w:r>
          </w:p>
        </w:tc>
        <w:tc>
          <w:tcPr>
            <w:tcW w:w="1178" w:type="dxa"/>
            <w:tcMar>
              <w:left w:w="51" w:type="dxa"/>
              <w:right w:w="51" w:type="dxa"/>
            </w:tcMar>
            <w:vAlign w:val="center"/>
          </w:tcPr>
          <w:p w:rsidR="00000000" w:rsidRDefault="00000000">
            <w:pPr>
              <w:jc w:val="center"/>
              <w:rPr>
                <w:b/>
                <w:sz w:val="22"/>
                <w:szCs w:val="22"/>
              </w:rPr>
            </w:pPr>
            <w:r>
              <w:rPr>
                <w:b/>
                <w:sz w:val="22"/>
                <w:szCs w:val="22"/>
              </w:rPr>
              <w:t>Protestante</w:t>
            </w:r>
          </w:p>
        </w:tc>
        <w:tc>
          <w:tcPr>
            <w:tcW w:w="640" w:type="dxa"/>
            <w:tcMar>
              <w:left w:w="51" w:type="dxa"/>
              <w:right w:w="51" w:type="dxa"/>
            </w:tcMar>
            <w:vAlign w:val="center"/>
          </w:tcPr>
          <w:p w:rsidR="00000000" w:rsidRDefault="00000000">
            <w:pPr>
              <w:jc w:val="center"/>
              <w:rPr>
                <w:b/>
                <w:sz w:val="22"/>
                <w:szCs w:val="22"/>
              </w:rPr>
            </w:pPr>
            <w:r>
              <w:rPr>
                <w:b/>
                <w:sz w:val="22"/>
                <w:szCs w:val="22"/>
              </w:rPr>
              <w:t>Otras</w:t>
            </w:r>
          </w:p>
        </w:tc>
        <w:tc>
          <w:tcPr>
            <w:tcW w:w="910" w:type="dxa"/>
            <w:tcMar>
              <w:left w:w="51" w:type="dxa"/>
              <w:right w:w="51" w:type="dxa"/>
            </w:tcMar>
            <w:vAlign w:val="center"/>
          </w:tcPr>
          <w:p w:rsidR="00000000" w:rsidRDefault="00000000">
            <w:pPr>
              <w:jc w:val="center"/>
              <w:rPr>
                <w:b/>
                <w:sz w:val="22"/>
                <w:szCs w:val="22"/>
              </w:rPr>
            </w:pPr>
            <w:r>
              <w:rPr>
                <w:b/>
                <w:sz w:val="22"/>
                <w:szCs w:val="22"/>
              </w:rPr>
              <w:t>Ninguna</w:t>
            </w:r>
          </w:p>
        </w:tc>
        <w:tc>
          <w:tcPr>
            <w:tcW w:w="1508" w:type="dxa"/>
            <w:tcMar>
              <w:left w:w="51" w:type="dxa"/>
              <w:right w:w="51" w:type="dxa"/>
            </w:tcMar>
            <w:vAlign w:val="center"/>
          </w:tcPr>
          <w:p w:rsidR="00000000" w:rsidRDefault="00000000">
            <w:pPr>
              <w:jc w:val="center"/>
              <w:rPr>
                <w:b/>
                <w:sz w:val="22"/>
                <w:szCs w:val="22"/>
              </w:rPr>
            </w:pPr>
            <w:r>
              <w:rPr>
                <w:b/>
                <w:sz w:val="22"/>
                <w:szCs w:val="22"/>
              </w:rPr>
              <w:t>Indeterminada</w:t>
            </w:r>
          </w:p>
        </w:tc>
        <w:tc>
          <w:tcPr>
            <w:tcW w:w="604" w:type="dxa"/>
            <w:tcMar>
              <w:left w:w="51" w:type="dxa"/>
              <w:right w:w="51" w:type="dxa"/>
            </w:tcMar>
            <w:vAlign w:val="center"/>
          </w:tcPr>
          <w:p w:rsidR="00000000" w:rsidRDefault="00000000">
            <w:pPr>
              <w:jc w:val="center"/>
              <w:rPr>
                <w:b/>
                <w:sz w:val="22"/>
                <w:szCs w:val="22"/>
              </w:rPr>
            </w:pPr>
            <w:r>
              <w:rPr>
                <w:b/>
                <w:sz w:val="22"/>
                <w:szCs w:val="22"/>
              </w:rPr>
              <w:t>Total</w:t>
            </w:r>
          </w:p>
        </w:tc>
      </w:tr>
      <w:tr w:rsidR="00000000">
        <w:tc>
          <w:tcPr>
            <w:tcW w:w="1537" w:type="dxa"/>
            <w:tcMar>
              <w:left w:w="51" w:type="dxa"/>
              <w:right w:w="51" w:type="dxa"/>
            </w:tcMar>
          </w:tcPr>
          <w:p w:rsidR="00000000" w:rsidRDefault="00000000">
            <w:pPr>
              <w:rPr>
                <w:sz w:val="22"/>
                <w:szCs w:val="22"/>
              </w:rPr>
            </w:pPr>
            <w:r>
              <w:rPr>
                <w:sz w:val="22"/>
                <w:szCs w:val="22"/>
              </w:rPr>
              <w:t>Árabe</w:t>
            </w:r>
          </w:p>
        </w:tc>
        <w:tc>
          <w:tcPr>
            <w:tcW w:w="968" w:type="dxa"/>
            <w:tcMar>
              <w:left w:w="51" w:type="dxa"/>
              <w:right w:w="51" w:type="dxa"/>
            </w:tcMar>
            <w:vAlign w:val="bottom"/>
          </w:tcPr>
          <w:p w:rsidR="00000000" w:rsidRDefault="00000000">
            <w:pPr>
              <w:tabs>
                <w:tab w:val="decimal" w:pos="465"/>
              </w:tabs>
              <w:rPr>
                <w:sz w:val="22"/>
                <w:szCs w:val="22"/>
              </w:rPr>
            </w:pPr>
            <w:r>
              <w:rPr>
                <w:sz w:val="22"/>
                <w:szCs w:val="22"/>
              </w:rPr>
              <w:t>0,2</w:t>
            </w:r>
          </w:p>
        </w:tc>
        <w:tc>
          <w:tcPr>
            <w:tcW w:w="885" w:type="dxa"/>
            <w:tcMar>
              <w:left w:w="51" w:type="dxa"/>
              <w:right w:w="51" w:type="dxa"/>
            </w:tcMar>
            <w:vAlign w:val="bottom"/>
          </w:tcPr>
          <w:p w:rsidR="00000000" w:rsidRDefault="00000000">
            <w:pPr>
              <w:tabs>
                <w:tab w:val="decimal" w:pos="421"/>
              </w:tabs>
              <w:rPr>
                <w:sz w:val="22"/>
                <w:szCs w:val="22"/>
              </w:rPr>
            </w:pPr>
            <w:r>
              <w:rPr>
                <w:sz w:val="22"/>
                <w:szCs w:val="22"/>
              </w:rPr>
              <w:t>0,1</w:t>
            </w:r>
          </w:p>
        </w:tc>
        <w:tc>
          <w:tcPr>
            <w:tcW w:w="1227" w:type="dxa"/>
            <w:tcMar>
              <w:left w:w="51" w:type="dxa"/>
              <w:right w:w="51" w:type="dxa"/>
            </w:tcMar>
            <w:vAlign w:val="bottom"/>
          </w:tcPr>
          <w:p w:rsidR="00000000" w:rsidRDefault="00000000">
            <w:pPr>
              <w:tabs>
                <w:tab w:val="decimal" w:pos="600"/>
              </w:tabs>
              <w:rPr>
                <w:sz w:val="22"/>
                <w:szCs w:val="22"/>
              </w:rPr>
            </w:pPr>
            <w:r>
              <w:rPr>
                <w:sz w:val="22"/>
                <w:szCs w:val="22"/>
              </w:rPr>
              <w:t>99,2</w:t>
            </w:r>
          </w:p>
        </w:tc>
        <w:tc>
          <w:tcPr>
            <w:tcW w:w="1178" w:type="dxa"/>
            <w:tcMar>
              <w:left w:w="51" w:type="dxa"/>
              <w:right w:w="51" w:type="dxa"/>
            </w:tcMar>
            <w:vAlign w:val="bottom"/>
          </w:tcPr>
          <w:p w:rsidR="00000000" w:rsidRDefault="00000000">
            <w:pPr>
              <w:tabs>
                <w:tab w:val="decimal" w:pos="577"/>
              </w:tabs>
              <w:rPr>
                <w:sz w:val="22"/>
                <w:szCs w:val="22"/>
              </w:rPr>
            </w:pPr>
            <w:r>
              <w:rPr>
                <w:sz w:val="22"/>
                <w:szCs w:val="22"/>
              </w:rPr>
              <w:t>0,1</w:t>
            </w:r>
          </w:p>
        </w:tc>
        <w:tc>
          <w:tcPr>
            <w:tcW w:w="640" w:type="dxa"/>
            <w:tcMar>
              <w:left w:w="51" w:type="dxa"/>
              <w:right w:w="51" w:type="dxa"/>
            </w:tcMar>
            <w:vAlign w:val="bottom"/>
          </w:tcPr>
          <w:p w:rsidR="00000000" w:rsidRDefault="00000000">
            <w:pPr>
              <w:tabs>
                <w:tab w:val="decimal" w:pos="252"/>
              </w:tabs>
              <w:rPr>
                <w:sz w:val="22"/>
                <w:szCs w:val="22"/>
              </w:rPr>
            </w:pPr>
            <w:r>
              <w:rPr>
                <w:sz w:val="22"/>
                <w:szCs w:val="22"/>
              </w:rPr>
              <w:t>0,0</w:t>
            </w:r>
          </w:p>
        </w:tc>
        <w:tc>
          <w:tcPr>
            <w:tcW w:w="910" w:type="dxa"/>
            <w:tcMar>
              <w:left w:w="51" w:type="dxa"/>
              <w:right w:w="51" w:type="dxa"/>
            </w:tcMar>
            <w:vAlign w:val="bottom"/>
          </w:tcPr>
          <w:p w:rsidR="00000000" w:rsidRDefault="00000000">
            <w:pPr>
              <w:tabs>
                <w:tab w:val="decimal" w:pos="382"/>
              </w:tabs>
              <w:rPr>
                <w:sz w:val="22"/>
                <w:szCs w:val="22"/>
              </w:rPr>
            </w:pPr>
            <w:r>
              <w:rPr>
                <w:sz w:val="22"/>
                <w:szCs w:val="22"/>
              </w:rPr>
              <w:t>0,1</w:t>
            </w:r>
          </w:p>
        </w:tc>
        <w:tc>
          <w:tcPr>
            <w:tcW w:w="1508" w:type="dxa"/>
            <w:tcMar>
              <w:left w:w="51" w:type="dxa"/>
              <w:right w:w="51" w:type="dxa"/>
            </w:tcMar>
            <w:vAlign w:val="bottom"/>
          </w:tcPr>
          <w:p w:rsidR="00000000" w:rsidRDefault="00000000">
            <w:pPr>
              <w:tabs>
                <w:tab w:val="decimal" w:pos="690"/>
              </w:tabs>
              <w:rPr>
                <w:sz w:val="22"/>
                <w:szCs w:val="22"/>
              </w:rPr>
            </w:pPr>
            <w:r>
              <w:rPr>
                <w:sz w:val="22"/>
                <w:szCs w:val="22"/>
              </w:rPr>
              <w:t>0,4</w:t>
            </w:r>
          </w:p>
        </w:tc>
        <w:tc>
          <w:tcPr>
            <w:tcW w:w="604" w:type="dxa"/>
            <w:tcMar>
              <w:left w:w="51" w:type="dxa"/>
              <w:right w:w="51" w:type="dxa"/>
            </w:tcMar>
            <w:vAlign w:val="bottom"/>
          </w:tcPr>
          <w:p w:rsidR="00000000" w:rsidRDefault="00000000">
            <w:pPr>
              <w:jc w:val="center"/>
              <w:rPr>
                <w:sz w:val="22"/>
                <w:szCs w:val="22"/>
              </w:rPr>
            </w:pPr>
            <w:r>
              <w:rPr>
                <w:sz w:val="22"/>
                <w:szCs w:val="22"/>
              </w:rPr>
              <w:t>100,0</w:t>
            </w:r>
          </w:p>
        </w:tc>
      </w:tr>
      <w:tr w:rsidR="00000000">
        <w:tc>
          <w:tcPr>
            <w:tcW w:w="1537" w:type="dxa"/>
            <w:tcMar>
              <w:left w:w="51" w:type="dxa"/>
              <w:right w:w="51" w:type="dxa"/>
            </w:tcMar>
          </w:tcPr>
          <w:p w:rsidR="00000000" w:rsidRDefault="00000000">
            <w:pPr>
              <w:rPr>
                <w:sz w:val="22"/>
                <w:szCs w:val="22"/>
              </w:rPr>
            </w:pPr>
            <w:r>
              <w:rPr>
                <w:sz w:val="22"/>
                <w:szCs w:val="22"/>
              </w:rPr>
              <w:t>Baguirmien</w:t>
            </w:r>
          </w:p>
        </w:tc>
        <w:tc>
          <w:tcPr>
            <w:tcW w:w="968" w:type="dxa"/>
            <w:tcMar>
              <w:left w:w="51" w:type="dxa"/>
              <w:right w:w="51" w:type="dxa"/>
            </w:tcMar>
            <w:vAlign w:val="bottom"/>
          </w:tcPr>
          <w:p w:rsidR="00000000" w:rsidRDefault="00000000">
            <w:pPr>
              <w:tabs>
                <w:tab w:val="decimal" w:pos="465"/>
              </w:tabs>
              <w:rPr>
                <w:sz w:val="22"/>
                <w:szCs w:val="22"/>
              </w:rPr>
            </w:pPr>
            <w:r>
              <w:rPr>
                <w:sz w:val="22"/>
                <w:szCs w:val="22"/>
              </w:rPr>
              <w:t>11,6</w:t>
            </w:r>
          </w:p>
        </w:tc>
        <w:tc>
          <w:tcPr>
            <w:tcW w:w="885" w:type="dxa"/>
            <w:tcMar>
              <w:left w:w="51" w:type="dxa"/>
              <w:right w:w="51" w:type="dxa"/>
            </w:tcMar>
            <w:vAlign w:val="bottom"/>
          </w:tcPr>
          <w:p w:rsidR="00000000" w:rsidRDefault="00000000">
            <w:pPr>
              <w:tabs>
                <w:tab w:val="decimal" w:pos="421"/>
              </w:tabs>
              <w:rPr>
                <w:sz w:val="22"/>
                <w:szCs w:val="22"/>
              </w:rPr>
            </w:pPr>
            <w:r>
              <w:rPr>
                <w:sz w:val="22"/>
                <w:szCs w:val="22"/>
              </w:rPr>
              <w:t>6,2</w:t>
            </w:r>
          </w:p>
        </w:tc>
        <w:tc>
          <w:tcPr>
            <w:tcW w:w="1227" w:type="dxa"/>
            <w:tcMar>
              <w:left w:w="51" w:type="dxa"/>
              <w:right w:w="51" w:type="dxa"/>
            </w:tcMar>
            <w:vAlign w:val="bottom"/>
          </w:tcPr>
          <w:p w:rsidR="00000000" w:rsidRDefault="00000000">
            <w:pPr>
              <w:tabs>
                <w:tab w:val="decimal" w:pos="600"/>
              </w:tabs>
              <w:rPr>
                <w:sz w:val="22"/>
                <w:szCs w:val="22"/>
              </w:rPr>
            </w:pPr>
            <w:r>
              <w:rPr>
                <w:sz w:val="22"/>
                <w:szCs w:val="22"/>
              </w:rPr>
              <w:t>72,2</w:t>
            </w:r>
          </w:p>
        </w:tc>
        <w:tc>
          <w:tcPr>
            <w:tcW w:w="1178" w:type="dxa"/>
            <w:tcMar>
              <w:left w:w="51" w:type="dxa"/>
              <w:right w:w="51" w:type="dxa"/>
            </w:tcMar>
            <w:vAlign w:val="bottom"/>
          </w:tcPr>
          <w:p w:rsidR="00000000" w:rsidRDefault="00000000">
            <w:pPr>
              <w:tabs>
                <w:tab w:val="decimal" w:pos="577"/>
              </w:tabs>
              <w:rPr>
                <w:sz w:val="22"/>
                <w:szCs w:val="22"/>
              </w:rPr>
            </w:pPr>
            <w:r>
              <w:rPr>
                <w:sz w:val="22"/>
                <w:szCs w:val="22"/>
              </w:rPr>
              <w:t>2,4</w:t>
            </w:r>
          </w:p>
        </w:tc>
        <w:tc>
          <w:tcPr>
            <w:tcW w:w="640" w:type="dxa"/>
            <w:tcMar>
              <w:left w:w="51" w:type="dxa"/>
              <w:right w:w="51" w:type="dxa"/>
            </w:tcMar>
            <w:vAlign w:val="bottom"/>
          </w:tcPr>
          <w:p w:rsidR="00000000" w:rsidRDefault="00000000">
            <w:pPr>
              <w:tabs>
                <w:tab w:val="decimal" w:pos="252"/>
              </w:tabs>
              <w:rPr>
                <w:sz w:val="22"/>
                <w:szCs w:val="22"/>
              </w:rPr>
            </w:pPr>
            <w:r>
              <w:rPr>
                <w:sz w:val="22"/>
                <w:szCs w:val="22"/>
              </w:rPr>
              <w:t>0,4</w:t>
            </w:r>
          </w:p>
        </w:tc>
        <w:tc>
          <w:tcPr>
            <w:tcW w:w="910" w:type="dxa"/>
            <w:tcMar>
              <w:left w:w="51" w:type="dxa"/>
              <w:right w:w="51" w:type="dxa"/>
            </w:tcMar>
            <w:vAlign w:val="bottom"/>
          </w:tcPr>
          <w:p w:rsidR="00000000" w:rsidRDefault="00000000">
            <w:pPr>
              <w:tabs>
                <w:tab w:val="decimal" w:pos="382"/>
              </w:tabs>
              <w:rPr>
                <w:sz w:val="22"/>
                <w:szCs w:val="22"/>
              </w:rPr>
            </w:pPr>
            <w:r>
              <w:rPr>
                <w:sz w:val="22"/>
                <w:szCs w:val="22"/>
              </w:rPr>
              <w:t>6,8</w:t>
            </w:r>
          </w:p>
        </w:tc>
        <w:tc>
          <w:tcPr>
            <w:tcW w:w="1508" w:type="dxa"/>
            <w:tcMar>
              <w:left w:w="51" w:type="dxa"/>
              <w:right w:w="51" w:type="dxa"/>
            </w:tcMar>
            <w:vAlign w:val="bottom"/>
          </w:tcPr>
          <w:p w:rsidR="00000000" w:rsidRDefault="00000000">
            <w:pPr>
              <w:tabs>
                <w:tab w:val="decimal" w:pos="690"/>
              </w:tabs>
              <w:rPr>
                <w:sz w:val="22"/>
                <w:szCs w:val="22"/>
              </w:rPr>
            </w:pPr>
            <w:r>
              <w:rPr>
                <w:sz w:val="22"/>
                <w:szCs w:val="22"/>
              </w:rPr>
              <w:t>0,4</w:t>
            </w:r>
          </w:p>
        </w:tc>
        <w:tc>
          <w:tcPr>
            <w:tcW w:w="604" w:type="dxa"/>
            <w:tcMar>
              <w:left w:w="51" w:type="dxa"/>
              <w:right w:w="51" w:type="dxa"/>
            </w:tcMar>
            <w:vAlign w:val="bottom"/>
          </w:tcPr>
          <w:p w:rsidR="00000000" w:rsidRDefault="00000000">
            <w:pPr>
              <w:jc w:val="center"/>
              <w:rPr>
                <w:sz w:val="22"/>
                <w:szCs w:val="22"/>
              </w:rPr>
            </w:pPr>
            <w:r>
              <w:rPr>
                <w:sz w:val="22"/>
                <w:szCs w:val="22"/>
              </w:rPr>
              <w:t>100,0</w:t>
            </w:r>
          </w:p>
        </w:tc>
      </w:tr>
      <w:tr w:rsidR="00000000">
        <w:tc>
          <w:tcPr>
            <w:tcW w:w="1537" w:type="dxa"/>
            <w:tcMar>
              <w:left w:w="51" w:type="dxa"/>
              <w:right w:w="51" w:type="dxa"/>
            </w:tcMar>
          </w:tcPr>
          <w:p w:rsidR="00000000" w:rsidRDefault="00000000">
            <w:pPr>
              <w:rPr>
                <w:sz w:val="22"/>
                <w:szCs w:val="22"/>
              </w:rPr>
            </w:pPr>
            <w:r>
              <w:rPr>
                <w:sz w:val="22"/>
                <w:szCs w:val="22"/>
              </w:rPr>
              <w:t>Fitri Batha</w:t>
            </w:r>
          </w:p>
        </w:tc>
        <w:tc>
          <w:tcPr>
            <w:tcW w:w="968" w:type="dxa"/>
            <w:tcMar>
              <w:left w:w="51" w:type="dxa"/>
              <w:right w:w="51" w:type="dxa"/>
            </w:tcMar>
            <w:vAlign w:val="bottom"/>
          </w:tcPr>
          <w:p w:rsidR="00000000" w:rsidRDefault="00000000">
            <w:pPr>
              <w:tabs>
                <w:tab w:val="decimal" w:pos="465"/>
              </w:tabs>
              <w:rPr>
                <w:sz w:val="22"/>
                <w:szCs w:val="22"/>
              </w:rPr>
            </w:pPr>
            <w:r>
              <w:rPr>
                <w:sz w:val="22"/>
                <w:szCs w:val="22"/>
              </w:rPr>
              <w:t>0,2</w:t>
            </w:r>
          </w:p>
        </w:tc>
        <w:tc>
          <w:tcPr>
            <w:tcW w:w="885" w:type="dxa"/>
            <w:tcMar>
              <w:left w:w="51" w:type="dxa"/>
              <w:right w:w="51" w:type="dxa"/>
            </w:tcMar>
            <w:vAlign w:val="bottom"/>
          </w:tcPr>
          <w:p w:rsidR="00000000" w:rsidRDefault="00000000">
            <w:pPr>
              <w:tabs>
                <w:tab w:val="decimal" w:pos="421"/>
              </w:tabs>
              <w:rPr>
                <w:sz w:val="22"/>
                <w:szCs w:val="22"/>
              </w:rPr>
            </w:pPr>
            <w:r>
              <w:rPr>
                <w:sz w:val="22"/>
                <w:szCs w:val="22"/>
              </w:rPr>
              <w:t>0,1</w:t>
            </w:r>
          </w:p>
        </w:tc>
        <w:tc>
          <w:tcPr>
            <w:tcW w:w="1227" w:type="dxa"/>
            <w:tcMar>
              <w:left w:w="51" w:type="dxa"/>
              <w:right w:w="51" w:type="dxa"/>
            </w:tcMar>
            <w:vAlign w:val="bottom"/>
          </w:tcPr>
          <w:p w:rsidR="00000000" w:rsidRDefault="00000000">
            <w:pPr>
              <w:tabs>
                <w:tab w:val="decimal" w:pos="600"/>
              </w:tabs>
              <w:rPr>
                <w:sz w:val="22"/>
                <w:szCs w:val="22"/>
              </w:rPr>
            </w:pPr>
            <w:r>
              <w:rPr>
                <w:sz w:val="22"/>
                <w:szCs w:val="22"/>
              </w:rPr>
              <w:t>99,2</w:t>
            </w:r>
          </w:p>
        </w:tc>
        <w:tc>
          <w:tcPr>
            <w:tcW w:w="1178" w:type="dxa"/>
            <w:tcMar>
              <w:left w:w="51" w:type="dxa"/>
              <w:right w:w="51" w:type="dxa"/>
            </w:tcMar>
            <w:vAlign w:val="bottom"/>
          </w:tcPr>
          <w:p w:rsidR="00000000" w:rsidRDefault="00000000">
            <w:pPr>
              <w:tabs>
                <w:tab w:val="decimal" w:pos="577"/>
              </w:tabs>
              <w:rPr>
                <w:sz w:val="22"/>
                <w:szCs w:val="22"/>
              </w:rPr>
            </w:pPr>
            <w:r>
              <w:rPr>
                <w:sz w:val="22"/>
                <w:szCs w:val="22"/>
              </w:rPr>
              <w:t>0,0</w:t>
            </w:r>
          </w:p>
        </w:tc>
        <w:tc>
          <w:tcPr>
            <w:tcW w:w="640" w:type="dxa"/>
            <w:tcMar>
              <w:left w:w="51" w:type="dxa"/>
              <w:right w:w="51" w:type="dxa"/>
            </w:tcMar>
            <w:vAlign w:val="bottom"/>
          </w:tcPr>
          <w:p w:rsidR="00000000" w:rsidRDefault="00000000">
            <w:pPr>
              <w:tabs>
                <w:tab w:val="decimal" w:pos="252"/>
              </w:tabs>
              <w:rPr>
                <w:sz w:val="22"/>
                <w:szCs w:val="22"/>
              </w:rPr>
            </w:pPr>
            <w:r>
              <w:rPr>
                <w:sz w:val="22"/>
                <w:szCs w:val="22"/>
              </w:rPr>
              <w:t>0,0</w:t>
            </w:r>
          </w:p>
        </w:tc>
        <w:tc>
          <w:tcPr>
            <w:tcW w:w="910" w:type="dxa"/>
            <w:tcMar>
              <w:left w:w="51" w:type="dxa"/>
              <w:right w:w="51" w:type="dxa"/>
            </w:tcMar>
            <w:vAlign w:val="bottom"/>
          </w:tcPr>
          <w:p w:rsidR="00000000" w:rsidRDefault="00000000">
            <w:pPr>
              <w:tabs>
                <w:tab w:val="decimal" w:pos="382"/>
              </w:tabs>
              <w:rPr>
                <w:sz w:val="22"/>
                <w:szCs w:val="22"/>
              </w:rPr>
            </w:pPr>
            <w:r>
              <w:rPr>
                <w:sz w:val="22"/>
                <w:szCs w:val="22"/>
              </w:rPr>
              <w:t>0,1</w:t>
            </w:r>
          </w:p>
        </w:tc>
        <w:tc>
          <w:tcPr>
            <w:tcW w:w="1508" w:type="dxa"/>
            <w:tcMar>
              <w:left w:w="51" w:type="dxa"/>
              <w:right w:w="51" w:type="dxa"/>
            </w:tcMar>
            <w:vAlign w:val="bottom"/>
          </w:tcPr>
          <w:p w:rsidR="00000000" w:rsidRDefault="00000000">
            <w:pPr>
              <w:tabs>
                <w:tab w:val="decimal" w:pos="690"/>
              </w:tabs>
              <w:rPr>
                <w:sz w:val="22"/>
                <w:szCs w:val="22"/>
              </w:rPr>
            </w:pPr>
            <w:r>
              <w:rPr>
                <w:sz w:val="22"/>
                <w:szCs w:val="22"/>
              </w:rPr>
              <w:t>0,5</w:t>
            </w:r>
          </w:p>
        </w:tc>
        <w:tc>
          <w:tcPr>
            <w:tcW w:w="604" w:type="dxa"/>
            <w:tcMar>
              <w:left w:w="51" w:type="dxa"/>
              <w:right w:w="51" w:type="dxa"/>
            </w:tcMar>
            <w:vAlign w:val="bottom"/>
          </w:tcPr>
          <w:p w:rsidR="00000000" w:rsidRDefault="00000000">
            <w:pPr>
              <w:jc w:val="center"/>
              <w:rPr>
                <w:sz w:val="22"/>
                <w:szCs w:val="22"/>
              </w:rPr>
            </w:pPr>
            <w:r>
              <w:rPr>
                <w:sz w:val="22"/>
                <w:szCs w:val="22"/>
              </w:rPr>
              <w:t>100,0</w:t>
            </w:r>
          </w:p>
        </w:tc>
      </w:tr>
      <w:tr w:rsidR="00000000">
        <w:tc>
          <w:tcPr>
            <w:tcW w:w="1537" w:type="dxa"/>
            <w:tcMar>
              <w:left w:w="51" w:type="dxa"/>
              <w:right w:w="51" w:type="dxa"/>
            </w:tcMar>
          </w:tcPr>
          <w:p w:rsidR="00000000" w:rsidRDefault="00000000">
            <w:pPr>
              <w:rPr>
                <w:sz w:val="22"/>
                <w:szCs w:val="22"/>
              </w:rPr>
            </w:pPr>
            <w:r>
              <w:rPr>
                <w:sz w:val="22"/>
                <w:szCs w:val="22"/>
              </w:rPr>
              <w:t>Gorane</w:t>
            </w:r>
          </w:p>
        </w:tc>
        <w:tc>
          <w:tcPr>
            <w:tcW w:w="968" w:type="dxa"/>
            <w:tcMar>
              <w:left w:w="51" w:type="dxa"/>
              <w:right w:w="51" w:type="dxa"/>
            </w:tcMar>
            <w:vAlign w:val="bottom"/>
          </w:tcPr>
          <w:p w:rsidR="00000000" w:rsidRDefault="00000000">
            <w:pPr>
              <w:tabs>
                <w:tab w:val="decimal" w:pos="465"/>
              </w:tabs>
              <w:rPr>
                <w:sz w:val="22"/>
                <w:szCs w:val="22"/>
              </w:rPr>
            </w:pPr>
            <w:r>
              <w:rPr>
                <w:sz w:val="22"/>
                <w:szCs w:val="22"/>
              </w:rPr>
              <w:t>0,2</w:t>
            </w:r>
          </w:p>
        </w:tc>
        <w:tc>
          <w:tcPr>
            <w:tcW w:w="885" w:type="dxa"/>
            <w:tcMar>
              <w:left w:w="51" w:type="dxa"/>
              <w:right w:w="51" w:type="dxa"/>
            </w:tcMar>
            <w:vAlign w:val="bottom"/>
          </w:tcPr>
          <w:p w:rsidR="00000000" w:rsidRDefault="00000000">
            <w:pPr>
              <w:tabs>
                <w:tab w:val="decimal" w:pos="421"/>
              </w:tabs>
              <w:rPr>
                <w:sz w:val="22"/>
                <w:szCs w:val="22"/>
              </w:rPr>
            </w:pPr>
            <w:r>
              <w:rPr>
                <w:sz w:val="22"/>
                <w:szCs w:val="22"/>
              </w:rPr>
              <w:t>0,1</w:t>
            </w:r>
          </w:p>
        </w:tc>
        <w:tc>
          <w:tcPr>
            <w:tcW w:w="1227" w:type="dxa"/>
            <w:tcMar>
              <w:left w:w="51" w:type="dxa"/>
              <w:right w:w="51" w:type="dxa"/>
            </w:tcMar>
            <w:vAlign w:val="bottom"/>
          </w:tcPr>
          <w:p w:rsidR="00000000" w:rsidRDefault="00000000">
            <w:pPr>
              <w:tabs>
                <w:tab w:val="decimal" w:pos="600"/>
              </w:tabs>
              <w:rPr>
                <w:sz w:val="22"/>
                <w:szCs w:val="22"/>
              </w:rPr>
            </w:pPr>
            <w:r>
              <w:rPr>
                <w:sz w:val="22"/>
                <w:szCs w:val="22"/>
              </w:rPr>
              <w:t>99,1</w:t>
            </w:r>
          </w:p>
        </w:tc>
        <w:tc>
          <w:tcPr>
            <w:tcW w:w="1178" w:type="dxa"/>
            <w:tcMar>
              <w:left w:w="51" w:type="dxa"/>
              <w:right w:w="51" w:type="dxa"/>
            </w:tcMar>
            <w:vAlign w:val="bottom"/>
          </w:tcPr>
          <w:p w:rsidR="00000000" w:rsidRDefault="00000000">
            <w:pPr>
              <w:tabs>
                <w:tab w:val="decimal" w:pos="577"/>
              </w:tabs>
              <w:rPr>
                <w:sz w:val="22"/>
                <w:szCs w:val="22"/>
              </w:rPr>
            </w:pPr>
            <w:r>
              <w:rPr>
                <w:sz w:val="22"/>
                <w:szCs w:val="22"/>
              </w:rPr>
              <w:t>0,1</w:t>
            </w:r>
          </w:p>
        </w:tc>
        <w:tc>
          <w:tcPr>
            <w:tcW w:w="640" w:type="dxa"/>
            <w:tcMar>
              <w:left w:w="51" w:type="dxa"/>
              <w:right w:w="51" w:type="dxa"/>
            </w:tcMar>
            <w:vAlign w:val="bottom"/>
          </w:tcPr>
          <w:p w:rsidR="00000000" w:rsidRDefault="00000000">
            <w:pPr>
              <w:tabs>
                <w:tab w:val="decimal" w:pos="252"/>
              </w:tabs>
              <w:rPr>
                <w:sz w:val="22"/>
                <w:szCs w:val="22"/>
              </w:rPr>
            </w:pPr>
            <w:r>
              <w:rPr>
                <w:sz w:val="22"/>
                <w:szCs w:val="22"/>
              </w:rPr>
              <w:t>0,0</w:t>
            </w:r>
          </w:p>
        </w:tc>
        <w:tc>
          <w:tcPr>
            <w:tcW w:w="910" w:type="dxa"/>
            <w:tcMar>
              <w:left w:w="51" w:type="dxa"/>
              <w:right w:w="51" w:type="dxa"/>
            </w:tcMar>
            <w:vAlign w:val="bottom"/>
          </w:tcPr>
          <w:p w:rsidR="00000000" w:rsidRDefault="00000000">
            <w:pPr>
              <w:tabs>
                <w:tab w:val="decimal" w:pos="382"/>
              </w:tabs>
              <w:rPr>
                <w:sz w:val="22"/>
                <w:szCs w:val="22"/>
              </w:rPr>
            </w:pPr>
            <w:r>
              <w:rPr>
                <w:sz w:val="22"/>
                <w:szCs w:val="22"/>
              </w:rPr>
              <w:t>0,0</w:t>
            </w:r>
          </w:p>
        </w:tc>
        <w:tc>
          <w:tcPr>
            <w:tcW w:w="1508" w:type="dxa"/>
            <w:tcMar>
              <w:left w:w="51" w:type="dxa"/>
              <w:right w:w="51" w:type="dxa"/>
            </w:tcMar>
            <w:vAlign w:val="bottom"/>
          </w:tcPr>
          <w:p w:rsidR="00000000" w:rsidRDefault="00000000">
            <w:pPr>
              <w:tabs>
                <w:tab w:val="decimal" w:pos="690"/>
              </w:tabs>
              <w:rPr>
                <w:sz w:val="22"/>
                <w:szCs w:val="22"/>
              </w:rPr>
            </w:pPr>
            <w:r>
              <w:rPr>
                <w:sz w:val="22"/>
                <w:szCs w:val="22"/>
              </w:rPr>
              <w:t>0,5</w:t>
            </w:r>
          </w:p>
        </w:tc>
        <w:tc>
          <w:tcPr>
            <w:tcW w:w="604" w:type="dxa"/>
            <w:tcMar>
              <w:left w:w="51" w:type="dxa"/>
              <w:right w:w="51" w:type="dxa"/>
            </w:tcMar>
            <w:vAlign w:val="bottom"/>
          </w:tcPr>
          <w:p w:rsidR="00000000" w:rsidRDefault="00000000">
            <w:pPr>
              <w:jc w:val="center"/>
              <w:rPr>
                <w:sz w:val="22"/>
                <w:szCs w:val="22"/>
              </w:rPr>
            </w:pPr>
            <w:r>
              <w:rPr>
                <w:sz w:val="22"/>
                <w:szCs w:val="22"/>
              </w:rPr>
              <w:t>100,0</w:t>
            </w:r>
          </w:p>
        </w:tc>
      </w:tr>
      <w:tr w:rsidR="00000000">
        <w:tc>
          <w:tcPr>
            <w:tcW w:w="1537" w:type="dxa"/>
            <w:tcMar>
              <w:left w:w="51" w:type="dxa"/>
              <w:right w:w="51" w:type="dxa"/>
            </w:tcMar>
          </w:tcPr>
          <w:p w:rsidR="00000000" w:rsidRDefault="00000000">
            <w:pPr>
              <w:rPr>
                <w:sz w:val="22"/>
                <w:szCs w:val="22"/>
              </w:rPr>
            </w:pPr>
            <w:r>
              <w:rPr>
                <w:sz w:val="22"/>
                <w:szCs w:val="22"/>
              </w:rPr>
              <w:t>Hadjaraï</w:t>
            </w:r>
          </w:p>
        </w:tc>
        <w:tc>
          <w:tcPr>
            <w:tcW w:w="968" w:type="dxa"/>
            <w:tcMar>
              <w:left w:w="51" w:type="dxa"/>
              <w:right w:w="51" w:type="dxa"/>
            </w:tcMar>
            <w:vAlign w:val="bottom"/>
          </w:tcPr>
          <w:p w:rsidR="00000000" w:rsidRDefault="00000000">
            <w:pPr>
              <w:tabs>
                <w:tab w:val="decimal" w:pos="465"/>
              </w:tabs>
              <w:rPr>
                <w:sz w:val="22"/>
                <w:szCs w:val="22"/>
              </w:rPr>
            </w:pPr>
            <w:r>
              <w:rPr>
                <w:sz w:val="22"/>
                <w:szCs w:val="22"/>
              </w:rPr>
              <w:t>3,8</w:t>
            </w:r>
          </w:p>
        </w:tc>
        <w:tc>
          <w:tcPr>
            <w:tcW w:w="885" w:type="dxa"/>
            <w:tcMar>
              <w:left w:w="51" w:type="dxa"/>
              <w:right w:w="51" w:type="dxa"/>
            </w:tcMar>
            <w:vAlign w:val="bottom"/>
          </w:tcPr>
          <w:p w:rsidR="00000000" w:rsidRDefault="00000000">
            <w:pPr>
              <w:tabs>
                <w:tab w:val="decimal" w:pos="421"/>
              </w:tabs>
              <w:rPr>
                <w:sz w:val="22"/>
                <w:szCs w:val="22"/>
              </w:rPr>
            </w:pPr>
            <w:r>
              <w:rPr>
                <w:sz w:val="22"/>
                <w:szCs w:val="22"/>
              </w:rPr>
              <w:t>1,0</w:t>
            </w:r>
          </w:p>
        </w:tc>
        <w:tc>
          <w:tcPr>
            <w:tcW w:w="1227" w:type="dxa"/>
            <w:tcMar>
              <w:left w:w="51" w:type="dxa"/>
              <w:right w:w="51" w:type="dxa"/>
            </w:tcMar>
            <w:vAlign w:val="bottom"/>
          </w:tcPr>
          <w:p w:rsidR="00000000" w:rsidRDefault="00000000">
            <w:pPr>
              <w:tabs>
                <w:tab w:val="decimal" w:pos="600"/>
              </w:tabs>
              <w:rPr>
                <w:sz w:val="22"/>
                <w:szCs w:val="22"/>
              </w:rPr>
            </w:pPr>
            <w:r>
              <w:rPr>
                <w:sz w:val="22"/>
                <w:szCs w:val="22"/>
              </w:rPr>
              <w:t>92,6</w:t>
            </w:r>
          </w:p>
        </w:tc>
        <w:tc>
          <w:tcPr>
            <w:tcW w:w="1178" w:type="dxa"/>
            <w:tcMar>
              <w:left w:w="51" w:type="dxa"/>
              <w:right w:w="51" w:type="dxa"/>
            </w:tcMar>
            <w:vAlign w:val="bottom"/>
          </w:tcPr>
          <w:p w:rsidR="00000000" w:rsidRDefault="00000000">
            <w:pPr>
              <w:tabs>
                <w:tab w:val="decimal" w:pos="577"/>
              </w:tabs>
              <w:rPr>
                <w:sz w:val="22"/>
                <w:szCs w:val="22"/>
              </w:rPr>
            </w:pPr>
            <w:r>
              <w:rPr>
                <w:sz w:val="22"/>
                <w:szCs w:val="22"/>
              </w:rPr>
              <w:t>1,0</w:t>
            </w:r>
          </w:p>
        </w:tc>
        <w:tc>
          <w:tcPr>
            <w:tcW w:w="640" w:type="dxa"/>
            <w:tcMar>
              <w:left w:w="51" w:type="dxa"/>
              <w:right w:w="51" w:type="dxa"/>
            </w:tcMar>
            <w:vAlign w:val="bottom"/>
          </w:tcPr>
          <w:p w:rsidR="00000000" w:rsidRDefault="00000000">
            <w:pPr>
              <w:tabs>
                <w:tab w:val="decimal" w:pos="252"/>
              </w:tabs>
              <w:rPr>
                <w:sz w:val="22"/>
                <w:szCs w:val="22"/>
              </w:rPr>
            </w:pPr>
            <w:r>
              <w:rPr>
                <w:sz w:val="22"/>
                <w:szCs w:val="22"/>
              </w:rPr>
              <w:t>0,1</w:t>
            </w:r>
          </w:p>
        </w:tc>
        <w:tc>
          <w:tcPr>
            <w:tcW w:w="910" w:type="dxa"/>
            <w:tcMar>
              <w:left w:w="51" w:type="dxa"/>
              <w:right w:w="51" w:type="dxa"/>
            </w:tcMar>
            <w:vAlign w:val="bottom"/>
          </w:tcPr>
          <w:p w:rsidR="00000000" w:rsidRDefault="00000000">
            <w:pPr>
              <w:tabs>
                <w:tab w:val="decimal" w:pos="382"/>
              </w:tabs>
              <w:rPr>
                <w:sz w:val="22"/>
                <w:szCs w:val="22"/>
              </w:rPr>
            </w:pPr>
            <w:r>
              <w:rPr>
                <w:sz w:val="22"/>
                <w:szCs w:val="22"/>
              </w:rPr>
              <w:t>0,9</w:t>
            </w:r>
          </w:p>
        </w:tc>
        <w:tc>
          <w:tcPr>
            <w:tcW w:w="1508" w:type="dxa"/>
            <w:tcMar>
              <w:left w:w="51" w:type="dxa"/>
              <w:right w:w="51" w:type="dxa"/>
            </w:tcMar>
            <w:vAlign w:val="bottom"/>
          </w:tcPr>
          <w:p w:rsidR="00000000" w:rsidRDefault="00000000">
            <w:pPr>
              <w:tabs>
                <w:tab w:val="decimal" w:pos="690"/>
              </w:tabs>
              <w:rPr>
                <w:sz w:val="22"/>
                <w:szCs w:val="22"/>
              </w:rPr>
            </w:pPr>
            <w:r>
              <w:rPr>
                <w:sz w:val="22"/>
                <w:szCs w:val="22"/>
              </w:rPr>
              <w:t>0,5</w:t>
            </w:r>
          </w:p>
        </w:tc>
        <w:tc>
          <w:tcPr>
            <w:tcW w:w="604" w:type="dxa"/>
            <w:tcMar>
              <w:left w:w="51" w:type="dxa"/>
              <w:right w:w="51" w:type="dxa"/>
            </w:tcMar>
            <w:vAlign w:val="bottom"/>
          </w:tcPr>
          <w:p w:rsidR="00000000" w:rsidRDefault="00000000">
            <w:pPr>
              <w:jc w:val="center"/>
              <w:rPr>
                <w:sz w:val="22"/>
                <w:szCs w:val="22"/>
              </w:rPr>
            </w:pPr>
            <w:r>
              <w:rPr>
                <w:sz w:val="22"/>
                <w:szCs w:val="22"/>
              </w:rPr>
              <w:t>100,0</w:t>
            </w:r>
          </w:p>
        </w:tc>
      </w:tr>
      <w:tr w:rsidR="00000000">
        <w:tc>
          <w:tcPr>
            <w:tcW w:w="1537" w:type="dxa"/>
            <w:tcMar>
              <w:left w:w="51" w:type="dxa"/>
              <w:right w:w="51" w:type="dxa"/>
            </w:tcMar>
          </w:tcPr>
          <w:p w:rsidR="00000000" w:rsidRDefault="00000000">
            <w:pPr>
              <w:rPr>
                <w:sz w:val="22"/>
                <w:szCs w:val="22"/>
              </w:rPr>
            </w:pPr>
            <w:r>
              <w:rPr>
                <w:sz w:val="22"/>
                <w:szCs w:val="22"/>
              </w:rPr>
              <w:t>Kanem-Bornou</w:t>
            </w:r>
          </w:p>
        </w:tc>
        <w:tc>
          <w:tcPr>
            <w:tcW w:w="968" w:type="dxa"/>
            <w:tcMar>
              <w:left w:w="51" w:type="dxa"/>
              <w:right w:w="51" w:type="dxa"/>
            </w:tcMar>
            <w:vAlign w:val="bottom"/>
          </w:tcPr>
          <w:p w:rsidR="00000000" w:rsidRDefault="00000000">
            <w:pPr>
              <w:tabs>
                <w:tab w:val="decimal" w:pos="465"/>
              </w:tabs>
              <w:rPr>
                <w:sz w:val="22"/>
                <w:szCs w:val="22"/>
              </w:rPr>
            </w:pPr>
            <w:r>
              <w:rPr>
                <w:sz w:val="22"/>
                <w:szCs w:val="22"/>
              </w:rPr>
              <w:t>0,2</w:t>
            </w:r>
          </w:p>
        </w:tc>
        <w:tc>
          <w:tcPr>
            <w:tcW w:w="885" w:type="dxa"/>
            <w:tcMar>
              <w:left w:w="51" w:type="dxa"/>
              <w:right w:w="51" w:type="dxa"/>
            </w:tcMar>
            <w:vAlign w:val="bottom"/>
          </w:tcPr>
          <w:p w:rsidR="00000000" w:rsidRDefault="00000000">
            <w:pPr>
              <w:tabs>
                <w:tab w:val="decimal" w:pos="421"/>
              </w:tabs>
              <w:rPr>
                <w:sz w:val="22"/>
                <w:szCs w:val="22"/>
              </w:rPr>
            </w:pPr>
            <w:r>
              <w:rPr>
                <w:sz w:val="22"/>
                <w:szCs w:val="22"/>
              </w:rPr>
              <w:t>0,1</w:t>
            </w:r>
          </w:p>
        </w:tc>
        <w:tc>
          <w:tcPr>
            <w:tcW w:w="1227" w:type="dxa"/>
            <w:tcMar>
              <w:left w:w="51" w:type="dxa"/>
              <w:right w:w="51" w:type="dxa"/>
            </w:tcMar>
            <w:vAlign w:val="bottom"/>
          </w:tcPr>
          <w:p w:rsidR="00000000" w:rsidRDefault="00000000">
            <w:pPr>
              <w:tabs>
                <w:tab w:val="decimal" w:pos="600"/>
              </w:tabs>
              <w:rPr>
                <w:sz w:val="22"/>
                <w:szCs w:val="22"/>
              </w:rPr>
            </w:pPr>
            <w:r>
              <w:rPr>
                <w:sz w:val="22"/>
                <w:szCs w:val="22"/>
              </w:rPr>
              <w:t>99,3</w:t>
            </w:r>
          </w:p>
        </w:tc>
        <w:tc>
          <w:tcPr>
            <w:tcW w:w="1178" w:type="dxa"/>
            <w:tcMar>
              <w:left w:w="51" w:type="dxa"/>
              <w:right w:w="51" w:type="dxa"/>
            </w:tcMar>
            <w:vAlign w:val="bottom"/>
          </w:tcPr>
          <w:p w:rsidR="00000000" w:rsidRDefault="00000000">
            <w:pPr>
              <w:tabs>
                <w:tab w:val="decimal" w:pos="577"/>
              </w:tabs>
              <w:rPr>
                <w:sz w:val="22"/>
                <w:szCs w:val="22"/>
              </w:rPr>
            </w:pPr>
            <w:r>
              <w:rPr>
                <w:sz w:val="22"/>
                <w:szCs w:val="22"/>
              </w:rPr>
              <w:t>0,0</w:t>
            </w:r>
          </w:p>
        </w:tc>
        <w:tc>
          <w:tcPr>
            <w:tcW w:w="640" w:type="dxa"/>
            <w:tcMar>
              <w:left w:w="51" w:type="dxa"/>
              <w:right w:w="51" w:type="dxa"/>
            </w:tcMar>
            <w:vAlign w:val="bottom"/>
          </w:tcPr>
          <w:p w:rsidR="00000000" w:rsidRDefault="00000000">
            <w:pPr>
              <w:tabs>
                <w:tab w:val="decimal" w:pos="252"/>
              </w:tabs>
              <w:rPr>
                <w:sz w:val="22"/>
                <w:szCs w:val="22"/>
              </w:rPr>
            </w:pPr>
            <w:r>
              <w:rPr>
                <w:sz w:val="22"/>
                <w:szCs w:val="22"/>
              </w:rPr>
              <w:t>0,0</w:t>
            </w:r>
          </w:p>
        </w:tc>
        <w:tc>
          <w:tcPr>
            <w:tcW w:w="910" w:type="dxa"/>
            <w:tcMar>
              <w:left w:w="51" w:type="dxa"/>
              <w:right w:w="51" w:type="dxa"/>
            </w:tcMar>
            <w:vAlign w:val="bottom"/>
          </w:tcPr>
          <w:p w:rsidR="00000000" w:rsidRDefault="00000000">
            <w:pPr>
              <w:tabs>
                <w:tab w:val="decimal" w:pos="382"/>
              </w:tabs>
              <w:rPr>
                <w:sz w:val="22"/>
                <w:szCs w:val="22"/>
              </w:rPr>
            </w:pPr>
            <w:r>
              <w:rPr>
                <w:sz w:val="22"/>
                <w:szCs w:val="22"/>
              </w:rPr>
              <w:t>0,1</w:t>
            </w:r>
          </w:p>
        </w:tc>
        <w:tc>
          <w:tcPr>
            <w:tcW w:w="1508" w:type="dxa"/>
            <w:tcMar>
              <w:left w:w="51" w:type="dxa"/>
              <w:right w:w="51" w:type="dxa"/>
            </w:tcMar>
            <w:vAlign w:val="bottom"/>
          </w:tcPr>
          <w:p w:rsidR="00000000" w:rsidRDefault="00000000">
            <w:pPr>
              <w:tabs>
                <w:tab w:val="decimal" w:pos="690"/>
              </w:tabs>
              <w:rPr>
                <w:sz w:val="22"/>
                <w:szCs w:val="22"/>
              </w:rPr>
            </w:pPr>
            <w:r>
              <w:rPr>
                <w:sz w:val="22"/>
                <w:szCs w:val="22"/>
              </w:rPr>
              <w:t>0,3</w:t>
            </w:r>
          </w:p>
        </w:tc>
        <w:tc>
          <w:tcPr>
            <w:tcW w:w="604" w:type="dxa"/>
            <w:tcMar>
              <w:left w:w="51" w:type="dxa"/>
              <w:right w:w="51" w:type="dxa"/>
            </w:tcMar>
            <w:vAlign w:val="bottom"/>
          </w:tcPr>
          <w:p w:rsidR="00000000" w:rsidRDefault="00000000">
            <w:pPr>
              <w:jc w:val="center"/>
              <w:rPr>
                <w:sz w:val="22"/>
                <w:szCs w:val="22"/>
              </w:rPr>
            </w:pPr>
            <w:r>
              <w:rPr>
                <w:sz w:val="22"/>
                <w:szCs w:val="22"/>
              </w:rPr>
              <w:t>100,0</w:t>
            </w:r>
          </w:p>
        </w:tc>
      </w:tr>
      <w:tr w:rsidR="00000000">
        <w:tc>
          <w:tcPr>
            <w:tcW w:w="1537" w:type="dxa"/>
            <w:tcMar>
              <w:left w:w="51" w:type="dxa"/>
              <w:right w:w="51" w:type="dxa"/>
            </w:tcMar>
          </w:tcPr>
          <w:p w:rsidR="00000000" w:rsidRDefault="00000000">
            <w:pPr>
              <w:rPr>
                <w:sz w:val="22"/>
                <w:szCs w:val="22"/>
              </w:rPr>
            </w:pPr>
            <w:r>
              <w:rPr>
                <w:sz w:val="22"/>
                <w:szCs w:val="22"/>
              </w:rPr>
              <w:t>Lac Iro</w:t>
            </w:r>
          </w:p>
        </w:tc>
        <w:tc>
          <w:tcPr>
            <w:tcW w:w="968" w:type="dxa"/>
            <w:tcMar>
              <w:left w:w="51" w:type="dxa"/>
              <w:right w:w="51" w:type="dxa"/>
            </w:tcMar>
            <w:vAlign w:val="bottom"/>
          </w:tcPr>
          <w:p w:rsidR="00000000" w:rsidRDefault="00000000">
            <w:pPr>
              <w:tabs>
                <w:tab w:val="decimal" w:pos="465"/>
              </w:tabs>
              <w:rPr>
                <w:sz w:val="22"/>
                <w:szCs w:val="22"/>
              </w:rPr>
            </w:pPr>
            <w:r>
              <w:rPr>
                <w:sz w:val="22"/>
                <w:szCs w:val="22"/>
              </w:rPr>
              <w:t>4,0</w:t>
            </w:r>
          </w:p>
        </w:tc>
        <w:tc>
          <w:tcPr>
            <w:tcW w:w="885" w:type="dxa"/>
            <w:tcMar>
              <w:left w:w="51" w:type="dxa"/>
              <w:right w:w="51" w:type="dxa"/>
            </w:tcMar>
            <w:vAlign w:val="bottom"/>
          </w:tcPr>
          <w:p w:rsidR="00000000" w:rsidRDefault="00000000">
            <w:pPr>
              <w:tabs>
                <w:tab w:val="decimal" w:pos="421"/>
              </w:tabs>
              <w:rPr>
                <w:sz w:val="22"/>
                <w:szCs w:val="22"/>
              </w:rPr>
            </w:pPr>
            <w:r>
              <w:rPr>
                <w:sz w:val="22"/>
                <w:szCs w:val="22"/>
              </w:rPr>
              <w:t>3,4</w:t>
            </w:r>
          </w:p>
        </w:tc>
        <w:tc>
          <w:tcPr>
            <w:tcW w:w="1227" w:type="dxa"/>
            <w:tcMar>
              <w:left w:w="51" w:type="dxa"/>
              <w:right w:w="51" w:type="dxa"/>
            </w:tcMar>
            <w:vAlign w:val="bottom"/>
          </w:tcPr>
          <w:p w:rsidR="00000000" w:rsidRDefault="00000000">
            <w:pPr>
              <w:tabs>
                <w:tab w:val="decimal" w:pos="600"/>
              </w:tabs>
              <w:rPr>
                <w:sz w:val="22"/>
                <w:szCs w:val="22"/>
              </w:rPr>
            </w:pPr>
            <w:r>
              <w:rPr>
                <w:sz w:val="22"/>
                <w:szCs w:val="22"/>
              </w:rPr>
              <w:t>83,9</w:t>
            </w:r>
          </w:p>
        </w:tc>
        <w:tc>
          <w:tcPr>
            <w:tcW w:w="1178" w:type="dxa"/>
            <w:tcMar>
              <w:left w:w="51" w:type="dxa"/>
              <w:right w:w="51" w:type="dxa"/>
            </w:tcMar>
            <w:vAlign w:val="bottom"/>
          </w:tcPr>
          <w:p w:rsidR="00000000" w:rsidRDefault="00000000">
            <w:pPr>
              <w:tabs>
                <w:tab w:val="decimal" w:pos="577"/>
              </w:tabs>
              <w:rPr>
                <w:sz w:val="22"/>
                <w:szCs w:val="22"/>
              </w:rPr>
            </w:pPr>
            <w:r>
              <w:rPr>
                <w:sz w:val="22"/>
                <w:szCs w:val="22"/>
              </w:rPr>
              <w:t>3,5</w:t>
            </w:r>
          </w:p>
        </w:tc>
        <w:tc>
          <w:tcPr>
            <w:tcW w:w="640" w:type="dxa"/>
            <w:tcMar>
              <w:left w:w="51" w:type="dxa"/>
              <w:right w:w="51" w:type="dxa"/>
            </w:tcMar>
            <w:vAlign w:val="bottom"/>
          </w:tcPr>
          <w:p w:rsidR="00000000" w:rsidRDefault="00000000">
            <w:pPr>
              <w:tabs>
                <w:tab w:val="decimal" w:pos="252"/>
              </w:tabs>
              <w:rPr>
                <w:sz w:val="22"/>
                <w:szCs w:val="22"/>
              </w:rPr>
            </w:pPr>
            <w:r>
              <w:rPr>
                <w:sz w:val="22"/>
                <w:szCs w:val="22"/>
              </w:rPr>
              <w:t>0,5</w:t>
            </w:r>
          </w:p>
        </w:tc>
        <w:tc>
          <w:tcPr>
            <w:tcW w:w="910" w:type="dxa"/>
            <w:tcMar>
              <w:left w:w="51" w:type="dxa"/>
              <w:right w:w="51" w:type="dxa"/>
            </w:tcMar>
            <w:vAlign w:val="bottom"/>
          </w:tcPr>
          <w:p w:rsidR="00000000" w:rsidRDefault="00000000">
            <w:pPr>
              <w:tabs>
                <w:tab w:val="decimal" w:pos="382"/>
              </w:tabs>
              <w:rPr>
                <w:sz w:val="22"/>
                <w:szCs w:val="22"/>
              </w:rPr>
            </w:pPr>
            <w:r>
              <w:rPr>
                <w:sz w:val="22"/>
                <w:szCs w:val="22"/>
              </w:rPr>
              <w:t>4,3</w:t>
            </w:r>
          </w:p>
        </w:tc>
        <w:tc>
          <w:tcPr>
            <w:tcW w:w="1508" w:type="dxa"/>
            <w:tcMar>
              <w:left w:w="51" w:type="dxa"/>
              <w:right w:w="51" w:type="dxa"/>
            </w:tcMar>
            <w:vAlign w:val="bottom"/>
          </w:tcPr>
          <w:p w:rsidR="00000000" w:rsidRDefault="00000000">
            <w:pPr>
              <w:tabs>
                <w:tab w:val="decimal" w:pos="690"/>
              </w:tabs>
              <w:rPr>
                <w:sz w:val="22"/>
                <w:szCs w:val="22"/>
              </w:rPr>
            </w:pPr>
            <w:r>
              <w:rPr>
                <w:sz w:val="22"/>
                <w:szCs w:val="22"/>
              </w:rPr>
              <w:t>0,4</w:t>
            </w:r>
          </w:p>
        </w:tc>
        <w:tc>
          <w:tcPr>
            <w:tcW w:w="604" w:type="dxa"/>
            <w:tcMar>
              <w:left w:w="51" w:type="dxa"/>
              <w:right w:w="51" w:type="dxa"/>
            </w:tcMar>
            <w:vAlign w:val="bottom"/>
          </w:tcPr>
          <w:p w:rsidR="00000000" w:rsidRDefault="00000000">
            <w:pPr>
              <w:jc w:val="center"/>
              <w:rPr>
                <w:sz w:val="22"/>
                <w:szCs w:val="22"/>
              </w:rPr>
            </w:pPr>
            <w:r>
              <w:rPr>
                <w:sz w:val="22"/>
                <w:szCs w:val="22"/>
              </w:rPr>
              <w:t>100,0</w:t>
            </w:r>
          </w:p>
        </w:tc>
      </w:tr>
      <w:tr w:rsidR="00000000">
        <w:tc>
          <w:tcPr>
            <w:tcW w:w="1537" w:type="dxa"/>
            <w:tcMar>
              <w:left w:w="51" w:type="dxa"/>
              <w:right w:w="51" w:type="dxa"/>
            </w:tcMar>
          </w:tcPr>
          <w:p w:rsidR="00000000" w:rsidRDefault="00000000">
            <w:pPr>
              <w:rPr>
                <w:sz w:val="22"/>
                <w:szCs w:val="22"/>
              </w:rPr>
            </w:pPr>
            <w:r>
              <w:rPr>
                <w:sz w:val="22"/>
                <w:szCs w:val="22"/>
              </w:rPr>
              <w:t>Mayo Kebbi</w:t>
            </w:r>
          </w:p>
        </w:tc>
        <w:tc>
          <w:tcPr>
            <w:tcW w:w="968" w:type="dxa"/>
            <w:tcMar>
              <w:left w:w="51" w:type="dxa"/>
              <w:right w:w="51" w:type="dxa"/>
            </w:tcMar>
            <w:vAlign w:val="bottom"/>
          </w:tcPr>
          <w:p w:rsidR="00000000" w:rsidRDefault="00000000">
            <w:pPr>
              <w:tabs>
                <w:tab w:val="decimal" w:pos="465"/>
              </w:tabs>
              <w:rPr>
                <w:sz w:val="22"/>
                <w:szCs w:val="22"/>
              </w:rPr>
            </w:pPr>
            <w:r>
              <w:rPr>
                <w:sz w:val="22"/>
                <w:szCs w:val="22"/>
              </w:rPr>
              <w:t>42,4</w:t>
            </w:r>
          </w:p>
        </w:tc>
        <w:tc>
          <w:tcPr>
            <w:tcW w:w="885" w:type="dxa"/>
            <w:tcMar>
              <w:left w:w="51" w:type="dxa"/>
              <w:right w:w="51" w:type="dxa"/>
            </w:tcMar>
            <w:vAlign w:val="bottom"/>
          </w:tcPr>
          <w:p w:rsidR="00000000" w:rsidRDefault="00000000">
            <w:pPr>
              <w:tabs>
                <w:tab w:val="decimal" w:pos="421"/>
              </w:tabs>
              <w:rPr>
                <w:sz w:val="22"/>
                <w:szCs w:val="22"/>
              </w:rPr>
            </w:pPr>
            <w:r>
              <w:rPr>
                <w:sz w:val="22"/>
                <w:szCs w:val="22"/>
              </w:rPr>
              <w:t>21,2</w:t>
            </w:r>
          </w:p>
        </w:tc>
        <w:tc>
          <w:tcPr>
            <w:tcW w:w="1227" w:type="dxa"/>
            <w:tcMar>
              <w:left w:w="51" w:type="dxa"/>
              <w:right w:w="51" w:type="dxa"/>
            </w:tcMar>
            <w:vAlign w:val="bottom"/>
          </w:tcPr>
          <w:p w:rsidR="00000000" w:rsidRDefault="00000000">
            <w:pPr>
              <w:tabs>
                <w:tab w:val="decimal" w:pos="600"/>
              </w:tabs>
              <w:rPr>
                <w:sz w:val="22"/>
                <w:szCs w:val="22"/>
              </w:rPr>
            </w:pPr>
            <w:r>
              <w:rPr>
                <w:sz w:val="22"/>
                <w:szCs w:val="22"/>
              </w:rPr>
              <w:t>6,2</w:t>
            </w:r>
          </w:p>
        </w:tc>
        <w:tc>
          <w:tcPr>
            <w:tcW w:w="1178" w:type="dxa"/>
            <w:tcMar>
              <w:left w:w="51" w:type="dxa"/>
              <w:right w:w="51" w:type="dxa"/>
            </w:tcMar>
            <w:vAlign w:val="bottom"/>
          </w:tcPr>
          <w:p w:rsidR="00000000" w:rsidRDefault="00000000">
            <w:pPr>
              <w:tabs>
                <w:tab w:val="decimal" w:pos="577"/>
              </w:tabs>
              <w:rPr>
                <w:sz w:val="22"/>
                <w:szCs w:val="22"/>
              </w:rPr>
            </w:pPr>
            <w:r>
              <w:rPr>
                <w:sz w:val="22"/>
                <w:szCs w:val="22"/>
              </w:rPr>
              <w:t>21,8</w:t>
            </w:r>
          </w:p>
        </w:tc>
        <w:tc>
          <w:tcPr>
            <w:tcW w:w="640" w:type="dxa"/>
            <w:tcMar>
              <w:left w:w="51" w:type="dxa"/>
              <w:right w:w="51" w:type="dxa"/>
            </w:tcMar>
            <w:vAlign w:val="bottom"/>
          </w:tcPr>
          <w:p w:rsidR="00000000" w:rsidRDefault="00000000">
            <w:pPr>
              <w:tabs>
                <w:tab w:val="decimal" w:pos="252"/>
              </w:tabs>
              <w:rPr>
                <w:sz w:val="22"/>
                <w:szCs w:val="22"/>
              </w:rPr>
            </w:pPr>
            <w:r>
              <w:rPr>
                <w:sz w:val="22"/>
                <w:szCs w:val="22"/>
              </w:rPr>
              <w:t>0,5</w:t>
            </w:r>
          </w:p>
        </w:tc>
        <w:tc>
          <w:tcPr>
            <w:tcW w:w="910" w:type="dxa"/>
            <w:tcMar>
              <w:left w:w="51" w:type="dxa"/>
              <w:right w:w="51" w:type="dxa"/>
            </w:tcMar>
            <w:vAlign w:val="bottom"/>
          </w:tcPr>
          <w:p w:rsidR="00000000" w:rsidRDefault="00000000">
            <w:pPr>
              <w:tabs>
                <w:tab w:val="decimal" w:pos="382"/>
              </w:tabs>
              <w:rPr>
                <w:sz w:val="22"/>
                <w:szCs w:val="22"/>
              </w:rPr>
            </w:pPr>
            <w:r>
              <w:rPr>
                <w:sz w:val="22"/>
                <w:szCs w:val="22"/>
              </w:rPr>
              <w:t>7,4</w:t>
            </w:r>
          </w:p>
        </w:tc>
        <w:tc>
          <w:tcPr>
            <w:tcW w:w="1508" w:type="dxa"/>
            <w:tcMar>
              <w:left w:w="51" w:type="dxa"/>
              <w:right w:w="51" w:type="dxa"/>
            </w:tcMar>
            <w:vAlign w:val="bottom"/>
          </w:tcPr>
          <w:p w:rsidR="00000000" w:rsidRDefault="00000000">
            <w:pPr>
              <w:tabs>
                <w:tab w:val="decimal" w:pos="690"/>
              </w:tabs>
              <w:rPr>
                <w:sz w:val="22"/>
                <w:szCs w:val="22"/>
              </w:rPr>
            </w:pPr>
            <w:r>
              <w:rPr>
                <w:sz w:val="22"/>
                <w:szCs w:val="22"/>
              </w:rPr>
              <w:t>0,3</w:t>
            </w:r>
          </w:p>
        </w:tc>
        <w:tc>
          <w:tcPr>
            <w:tcW w:w="604" w:type="dxa"/>
            <w:tcMar>
              <w:left w:w="51" w:type="dxa"/>
              <w:right w:w="51" w:type="dxa"/>
            </w:tcMar>
            <w:vAlign w:val="bottom"/>
          </w:tcPr>
          <w:p w:rsidR="00000000" w:rsidRDefault="00000000">
            <w:pPr>
              <w:jc w:val="center"/>
              <w:rPr>
                <w:sz w:val="22"/>
                <w:szCs w:val="22"/>
              </w:rPr>
            </w:pPr>
            <w:r>
              <w:rPr>
                <w:sz w:val="22"/>
                <w:szCs w:val="22"/>
              </w:rPr>
              <w:t>100,0</w:t>
            </w:r>
          </w:p>
        </w:tc>
      </w:tr>
      <w:tr w:rsidR="00000000">
        <w:tc>
          <w:tcPr>
            <w:tcW w:w="1537" w:type="dxa"/>
            <w:tcMar>
              <w:left w:w="51" w:type="dxa"/>
              <w:right w:w="51" w:type="dxa"/>
            </w:tcMar>
          </w:tcPr>
          <w:p w:rsidR="00000000" w:rsidRDefault="00000000">
            <w:pPr>
              <w:rPr>
                <w:sz w:val="22"/>
                <w:szCs w:val="22"/>
              </w:rPr>
            </w:pPr>
            <w:r>
              <w:rPr>
                <w:sz w:val="22"/>
                <w:szCs w:val="22"/>
              </w:rPr>
              <w:t>Ouaddaï</w:t>
            </w:r>
          </w:p>
        </w:tc>
        <w:tc>
          <w:tcPr>
            <w:tcW w:w="968" w:type="dxa"/>
            <w:tcMar>
              <w:left w:w="51" w:type="dxa"/>
              <w:right w:w="51" w:type="dxa"/>
            </w:tcMar>
            <w:vAlign w:val="bottom"/>
          </w:tcPr>
          <w:p w:rsidR="00000000" w:rsidRDefault="00000000">
            <w:pPr>
              <w:tabs>
                <w:tab w:val="decimal" w:pos="479"/>
              </w:tabs>
              <w:rPr>
                <w:sz w:val="22"/>
                <w:szCs w:val="22"/>
              </w:rPr>
            </w:pPr>
            <w:r>
              <w:rPr>
                <w:sz w:val="22"/>
                <w:szCs w:val="22"/>
              </w:rPr>
              <w:t>0,2</w:t>
            </w:r>
          </w:p>
        </w:tc>
        <w:tc>
          <w:tcPr>
            <w:tcW w:w="885" w:type="dxa"/>
            <w:tcMar>
              <w:left w:w="51" w:type="dxa"/>
              <w:right w:w="51" w:type="dxa"/>
            </w:tcMar>
            <w:vAlign w:val="bottom"/>
          </w:tcPr>
          <w:p w:rsidR="00000000" w:rsidRDefault="00000000">
            <w:pPr>
              <w:tabs>
                <w:tab w:val="decimal" w:pos="421"/>
              </w:tabs>
              <w:rPr>
                <w:sz w:val="22"/>
                <w:szCs w:val="22"/>
              </w:rPr>
            </w:pPr>
            <w:r>
              <w:rPr>
                <w:sz w:val="22"/>
                <w:szCs w:val="22"/>
              </w:rPr>
              <w:t>0,1</w:t>
            </w:r>
          </w:p>
        </w:tc>
        <w:tc>
          <w:tcPr>
            <w:tcW w:w="1227" w:type="dxa"/>
            <w:tcMar>
              <w:left w:w="51" w:type="dxa"/>
              <w:right w:w="51" w:type="dxa"/>
            </w:tcMar>
            <w:vAlign w:val="bottom"/>
          </w:tcPr>
          <w:p w:rsidR="00000000" w:rsidRDefault="00000000">
            <w:pPr>
              <w:tabs>
                <w:tab w:val="decimal" w:pos="600"/>
              </w:tabs>
              <w:rPr>
                <w:sz w:val="22"/>
                <w:szCs w:val="22"/>
              </w:rPr>
            </w:pPr>
            <w:r>
              <w:rPr>
                <w:sz w:val="22"/>
                <w:szCs w:val="22"/>
              </w:rPr>
              <w:t>99,2</w:t>
            </w:r>
          </w:p>
        </w:tc>
        <w:tc>
          <w:tcPr>
            <w:tcW w:w="1178" w:type="dxa"/>
            <w:tcMar>
              <w:left w:w="51" w:type="dxa"/>
              <w:right w:w="51" w:type="dxa"/>
            </w:tcMar>
            <w:vAlign w:val="bottom"/>
          </w:tcPr>
          <w:p w:rsidR="00000000" w:rsidRDefault="00000000">
            <w:pPr>
              <w:tabs>
                <w:tab w:val="decimal" w:pos="577"/>
              </w:tabs>
              <w:rPr>
                <w:sz w:val="22"/>
                <w:szCs w:val="22"/>
              </w:rPr>
            </w:pPr>
            <w:r>
              <w:rPr>
                <w:sz w:val="22"/>
                <w:szCs w:val="22"/>
              </w:rPr>
              <w:t>0,0</w:t>
            </w:r>
          </w:p>
        </w:tc>
        <w:tc>
          <w:tcPr>
            <w:tcW w:w="640" w:type="dxa"/>
            <w:tcMar>
              <w:left w:w="51" w:type="dxa"/>
              <w:right w:w="51" w:type="dxa"/>
            </w:tcMar>
            <w:vAlign w:val="bottom"/>
          </w:tcPr>
          <w:p w:rsidR="00000000" w:rsidRDefault="00000000">
            <w:pPr>
              <w:tabs>
                <w:tab w:val="decimal" w:pos="252"/>
              </w:tabs>
              <w:rPr>
                <w:sz w:val="22"/>
                <w:szCs w:val="22"/>
              </w:rPr>
            </w:pPr>
            <w:r>
              <w:rPr>
                <w:sz w:val="22"/>
                <w:szCs w:val="22"/>
              </w:rPr>
              <w:t>0,0</w:t>
            </w:r>
          </w:p>
        </w:tc>
        <w:tc>
          <w:tcPr>
            <w:tcW w:w="910" w:type="dxa"/>
            <w:tcMar>
              <w:left w:w="51" w:type="dxa"/>
              <w:right w:w="51" w:type="dxa"/>
            </w:tcMar>
            <w:vAlign w:val="bottom"/>
          </w:tcPr>
          <w:p w:rsidR="00000000" w:rsidRDefault="00000000">
            <w:pPr>
              <w:tabs>
                <w:tab w:val="decimal" w:pos="382"/>
              </w:tabs>
              <w:rPr>
                <w:sz w:val="22"/>
                <w:szCs w:val="22"/>
              </w:rPr>
            </w:pPr>
            <w:r>
              <w:rPr>
                <w:sz w:val="22"/>
                <w:szCs w:val="22"/>
              </w:rPr>
              <w:t>0,1</w:t>
            </w:r>
          </w:p>
        </w:tc>
        <w:tc>
          <w:tcPr>
            <w:tcW w:w="1508" w:type="dxa"/>
            <w:tcMar>
              <w:left w:w="51" w:type="dxa"/>
              <w:right w:w="51" w:type="dxa"/>
            </w:tcMar>
            <w:vAlign w:val="bottom"/>
          </w:tcPr>
          <w:p w:rsidR="00000000" w:rsidRDefault="00000000">
            <w:pPr>
              <w:tabs>
                <w:tab w:val="decimal" w:pos="690"/>
              </w:tabs>
              <w:rPr>
                <w:sz w:val="22"/>
                <w:szCs w:val="22"/>
              </w:rPr>
            </w:pPr>
            <w:r>
              <w:rPr>
                <w:sz w:val="22"/>
                <w:szCs w:val="22"/>
              </w:rPr>
              <w:t>0,4</w:t>
            </w:r>
          </w:p>
        </w:tc>
        <w:tc>
          <w:tcPr>
            <w:tcW w:w="604" w:type="dxa"/>
            <w:tcMar>
              <w:left w:w="51" w:type="dxa"/>
              <w:right w:w="51" w:type="dxa"/>
            </w:tcMar>
            <w:vAlign w:val="bottom"/>
          </w:tcPr>
          <w:p w:rsidR="00000000" w:rsidRDefault="00000000">
            <w:pPr>
              <w:jc w:val="center"/>
              <w:rPr>
                <w:sz w:val="22"/>
                <w:szCs w:val="22"/>
              </w:rPr>
            </w:pPr>
            <w:r>
              <w:rPr>
                <w:sz w:val="22"/>
                <w:szCs w:val="22"/>
              </w:rPr>
              <w:t>100,0</w:t>
            </w:r>
          </w:p>
        </w:tc>
      </w:tr>
      <w:tr w:rsidR="00000000">
        <w:tc>
          <w:tcPr>
            <w:tcW w:w="1537" w:type="dxa"/>
            <w:tcMar>
              <w:left w:w="51" w:type="dxa"/>
              <w:right w:w="51" w:type="dxa"/>
            </w:tcMar>
          </w:tcPr>
          <w:p w:rsidR="00000000" w:rsidRDefault="00000000">
            <w:pPr>
              <w:rPr>
                <w:sz w:val="22"/>
                <w:szCs w:val="22"/>
              </w:rPr>
            </w:pPr>
            <w:r>
              <w:rPr>
                <w:sz w:val="22"/>
                <w:szCs w:val="22"/>
              </w:rPr>
              <w:t>Peul</w:t>
            </w:r>
          </w:p>
        </w:tc>
        <w:tc>
          <w:tcPr>
            <w:tcW w:w="968" w:type="dxa"/>
            <w:tcMar>
              <w:left w:w="51" w:type="dxa"/>
              <w:right w:w="51" w:type="dxa"/>
            </w:tcMar>
            <w:vAlign w:val="bottom"/>
          </w:tcPr>
          <w:p w:rsidR="00000000" w:rsidRDefault="00000000">
            <w:pPr>
              <w:tabs>
                <w:tab w:val="decimal" w:pos="479"/>
              </w:tabs>
              <w:rPr>
                <w:sz w:val="22"/>
                <w:szCs w:val="22"/>
              </w:rPr>
            </w:pPr>
            <w:r>
              <w:rPr>
                <w:sz w:val="22"/>
                <w:szCs w:val="22"/>
              </w:rPr>
              <w:t>0,3</w:t>
            </w:r>
          </w:p>
        </w:tc>
        <w:tc>
          <w:tcPr>
            <w:tcW w:w="885" w:type="dxa"/>
            <w:tcMar>
              <w:left w:w="51" w:type="dxa"/>
              <w:right w:w="51" w:type="dxa"/>
            </w:tcMar>
            <w:vAlign w:val="bottom"/>
          </w:tcPr>
          <w:p w:rsidR="00000000" w:rsidRDefault="00000000">
            <w:pPr>
              <w:tabs>
                <w:tab w:val="decimal" w:pos="421"/>
              </w:tabs>
              <w:rPr>
                <w:sz w:val="22"/>
                <w:szCs w:val="22"/>
              </w:rPr>
            </w:pPr>
            <w:r>
              <w:rPr>
                <w:sz w:val="22"/>
                <w:szCs w:val="22"/>
              </w:rPr>
              <w:t>0,2</w:t>
            </w:r>
          </w:p>
        </w:tc>
        <w:tc>
          <w:tcPr>
            <w:tcW w:w="1227" w:type="dxa"/>
            <w:tcMar>
              <w:left w:w="51" w:type="dxa"/>
              <w:right w:w="51" w:type="dxa"/>
            </w:tcMar>
            <w:vAlign w:val="bottom"/>
          </w:tcPr>
          <w:p w:rsidR="00000000" w:rsidRDefault="00000000">
            <w:pPr>
              <w:tabs>
                <w:tab w:val="decimal" w:pos="600"/>
              </w:tabs>
              <w:rPr>
                <w:sz w:val="22"/>
                <w:szCs w:val="22"/>
              </w:rPr>
            </w:pPr>
            <w:r>
              <w:rPr>
                <w:sz w:val="22"/>
                <w:szCs w:val="22"/>
              </w:rPr>
              <w:t>98,8</w:t>
            </w:r>
          </w:p>
        </w:tc>
        <w:tc>
          <w:tcPr>
            <w:tcW w:w="1178" w:type="dxa"/>
            <w:tcMar>
              <w:left w:w="51" w:type="dxa"/>
              <w:right w:w="51" w:type="dxa"/>
            </w:tcMar>
            <w:vAlign w:val="bottom"/>
          </w:tcPr>
          <w:p w:rsidR="00000000" w:rsidRDefault="00000000">
            <w:pPr>
              <w:tabs>
                <w:tab w:val="decimal" w:pos="577"/>
              </w:tabs>
              <w:rPr>
                <w:sz w:val="22"/>
                <w:szCs w:val="22"/>
              </w:rPr>
            </w:pPr>
            <w:r>
              <w:rPr>
                <w:sz w:val="22"/>
                <w:szCs w:val="22"/>
              </w:rPr>
              <w:t>0,1</w:t>
            </w:r>
          </w:p>
        </w:tc>
        <w:tc>
          <w:tcPr>
            <w:tcW w:w="640" w:type="dxa"/>
            <w:tcMar>
              <w:left w:w="51" w:type="dxa"/>
              <w:right w:w="51" w:type="dxa"/>
            </w:tcMar>
            <w:vAlign w:val="bottom"/>
          </w:tcPr>
          <w:p w:rsidR="00000000" w:rsidRDefault="00000000">
            <w:pPr>
              <w:tabs>
                <w:tab w:val="decimal" w:pos="252"/>
              </w:tabs>
              <w:rPr>
                <w:sz w:val="22"/>
                <w:szCs w:val="22"/>
              </w:rPr>
            </w:pPr>
            <w:r>
              <w:rPr>
                <w:sz w:val="22"/>
                <w:szCs w:val="22"/>
              </w:rPr>
              <w:t>0,0</w:t>
            </w:r>
          </w:p>
        </w:tc>
        <w:tc>
          <w:tcPr>
            <w:tcW w:w="910" w:type="dxa"/>
            <w:tcMar>
              <w:left w:w="51" w:type="dxa"/>
              <w:right w:w="51" w:type="dxa"/>
            </w:tcMar>
            <w:vAlign w:val="bottom"/>
          </w:tcPr>
          <w:p w:rsidR="00000000" w:rsidRDefault="00000000">
            <w:pPr>
              <w:tabs>
                <w:tab w:val="decimal" w:pos="382"/>
              </w:tabs>
              <w:rPr>
                <w:sz w:val="22"/>
                <w:szCs w:val="22"/>
              </w:rPr>
            </w:pPr>
            <w:r>
              <w:rPr>
                <w:sz w:val="22"/>
                <w:szCs w:val="22"/>
              </w:rPr>
              <w:t>0,2</w:t>
            </w:r>
          </w:p>
        </w:tc>
        <w:tc>
          <w:tcPr>
            <w:tcW w:w="1508" w:type="dxa"/>
            <w:tcMar>
              <w:left w:w="51" w:type="dxa"/>
              <w:right w:w="51" w:type="dxa"/>
            </w:tcMar>
            <w:vAlign w:val="bottom"/>
          </w:tcPr>
          <w:p w:rsidR="00000000" w:rsidRDefault="00000000">
            <w:pPr>
              <w:tabs>
                <w:tab w:val="decimal" w:pos="690"/>
              </w:tabs>
              <w:rPr>
                <w:sz w:val="22"/>
                <w:szCs w:val="22"/>
              </w:rPr>
            </w:pPr>
            <w:r>
              <w:rPr>
                <w:sz w:val="22"/>
                <w:szCs w:val="22"/>
              </w:rPr>
              <w:t>0,4</w:t>
            </w:r>
          </w:p>
        </w:tc>
        <w:tc>
          <w:tcPr>
            <w:tcW w:w="604" w:type="dxa"/>
            <w:tcMar>
              <w:left w:w="51" w:type="dxa"/>
              <w:right w:w="51" w:type="dxa"/>
            </w:tcMar>
            <w:vAlign w:val="bottom"/>
          </w:tcPr>
          <w:p w:rsidR="00000000" w:rsidRDefault="00000000">
            <w:pPr>
              <w:jc w:val="center"/>
              <w:rPr>
                <w:sz w:val="22"/>
                <w:szCs w:val="22"/>
              </w:rPr>
            </w:pPr>
            <w:r>
              <w:rPr>
                <w:sz w:val="22"/>
                <w:szCs w:val="22"/>
              </w:rPr>
              <w:t>100,0</w:t>
            </w:r>
          </w:p>
        </w:tc>
      </w:tr>
      <w:tr w:rsidR="00000000">
        <w:tc>
          <w:tcPr>
            <w:tcW w:w="1537" w:type="dxa"/>
            <w:tcMar>
              <w:left w:w="51" w:type="dxa"/>
              <w:right w:w="51" w:type="dxa"/>
            </w:tcMar>
          </w:tcPr>
          <w:p w:rsidR="00000000" w:rsidRDefault="00000000">
            <w:pPr>
              <w:rPr>
                <w:sz w:val="22"/>
                <w:szCs w:val="22"/>
              </w:rPr>
            </w:pPr>
            <w:r>
              <w:rPr>
                <w:sz w:val="22"/>
                <w:szCs w:val="22"/>
              </w:rPr>
              <w:t>Sara</w:t>
            </w:r>
          </w:p>
        </w:tc>
        <w:tc>
          <w:tcPr>
            <w:tcW w:w="968" w:type="dxa"/>
            <w:tcMar>
              <w:left w:w="51" w:type="dxa"/>
              <w:right w:w="51" w:type="dxa"/>
            </w:tcMar>
            <w:vAlign w:val="bottom"/>
          </w:tcPr>
          <w:p w:rsidR="00000000" w:rsidRDefault="00000000">
            <w:pPr>
              <w:tabs>
                <w:tab w:val="decimal" w:pos="479"/>
              </w:tabs>
              <w:rPr>
                <w:sz w:val="22"/>
                <w:szCs w:val="22"/>
              </w:rPr>
            </w:pPr>
            <w:r>
              <w:rPr>
                <w:sz w:val="22"/>
                <w:szCs w:val="22"/>
              </w:rPr>
              <w:t>5,2</w:t>
            </w:r>
          </w:p>
        </w:tc>
        <w:tc>
          <w:tcPr>
            <w:tcW w:w="885" w:type="dxa"/>
            <w:tcMar>
              <w:left w:w="51" w:type="dxa"/>
              <w:right w:w="51" w:type="dxa"/>
            </w:tcMar>
            <w:vAlign w:val="bottom"/>
          </w:tcPr>
          <w:p w:rsidR="00000000" w:rsidRDefault="00000000">
            <w:pPr>
              <w:tabs>
                <w:tab w:val="decimal" w:pos="421"/>
              </w:tabs>
              <w:rPr>
                <w:sz w:val="22"/>
                <w:szCs w:val="22"/>
              </w:rPr>
            </w:pPr>
            <w:r>
              <w:rPr>
                <w:sz w:val="22"/>
                <w:szCs w:val="22"/>
              </w:rPr>
              <w:t>51,9</w:t>
            </w:r>
          </w:p>
        </w:tc>
        <w:tc>
          <w:tcPr>
            <w:tcW w:w="1227" w:type="dxa"/>
            <w:tcMar>
              <w:left w:w="51" w:type="dxa"/>
              <w:right w:w="51" w:type="dxa"/>
            </w:tcMar>
            <w:vAlign w:val="bottom"/>
          </w:tcPr>
          <w:p w:rsidR="00000000" w:rsidRDefault="00000000">
            <w:pPr>
              <w:tabs>
                <w:tab w:val="decimal" w:pos="600"/>
              </w:tabs>
              <w:rPr>
                <w:sz w:val="22"/>
                <w:szCs w:val="22"/>
              </w:rPr>
            </w:pPr>
            <w:r>
              <w:rPr>
                <w:sz w:val="22"/>
                <w:szCs w:val="22"/>
              </w:rPr>
              <w:t>1,7</w:t>
            </w:r>
          </w:p>
        </w:tc>
        <w:tc>
          <w:tcPr>
            <w:tcW w:w="1178" w:type="dxa"/>
            <w:tcMar>
              <w:left w:w="51" w:type="dxa"/>
              <w:right w:w="51" w:type="dxa"/>
            </w:tcMar>
            <w:vAlign w:val="bottom"/>
          </w:tcPr>
          <w:p w:rsidR="00000000" w:rsidRDefault="00000000">
            <w:pPr>
              <w:tabs>
                <w:tab w:val="decimal" w:pos="577"/>
              </w:tabs>
              <w:rPr>
                <w:sz w:val="22"/>
                <w:szCs w:val="22"/>
              </w:rPr>
            </w:pPr>
            <w:r>
              <w:rPr>
                <w:sz w:val="22"/>
                <w:szCs w:val="22"/>
              </w:rPr>
              <w:t>33,3</w:t>
            </w:r>
          </w:p>
        </w:tc>
        <w:tc>
          <w:tcPr>
            <w:tcW w:w="640" w:type="dxa"/>
            <w:tcMar>
              <w:left w:w="51" w:type="dxa"/>
              <w:right w:w="51" w:type="dxa"/>
            </w:tcMar>
            <w:vAlign w:val="bottom"/>
          </w:tcPr>
          <w:p w:rsidR="00000000" w:rsidRDefault="00000000">
            <w:pPr>
              <w:tabs>
                <w:tab w:val="decimal" w:pos="252"/>
              </w:tabs>
              <w:rPr>
                <w:sz w:val="22"/>
                <w:szCs w:val="22"/>
              </w:rPr>
            </w:pPr>
            <w:r>
              <w:rPr>
                <w:sz w:val="22"/>
                <w:szCs w:val="22"/>
              </w:rPr>
              <w:t>1,5</w:t>
            </w:r>
          </w:p>
        </w:tc>
        <w:tc>
          <w:tcPr>
            <w:tcW w:w="910" w:type="dxa"/>
            <w:tcMar>
              <w:left w:w="51" w:type="dxa"/>
              <w:right w:w="51" w:type="dxa"/>
            </w:tcMar>
            <w:vAlign w:val="bottom"/>
          </w:tcPr>
          <w:p w:rsidR="00000000" w:rsidRDefault="00000000">
            <w:pPr>
              <w:tabs>
                <w:tab w:val="decimal" w:pos="382"/>
              </w:tabs>
              <w:rPr>
                <w:sz w:val="22"/>
                <w:szCs w:val="22"/>
              </w:rPr>
            </w:pPr>
            <w:r>
              <w:rPr>
                <w:sz w:val="22"/>
                <w:szCs w:val="22"/>
              </w:rPr>
              <w:t>6,1</w:t>
            </w:r>
          </w:p>
        </w:tc>
        <w:tc>
          <w:tcPr>
            <w:tcW w:w="1508" w:type="dxa"/>
            <w:tcMar>
              <w:left w:w="51" w:type="dxa"/>
              <w:right w:w="51" w:type="dxa"/>
            </w:tcMar>
            <w:vAlign w:val="bottom"/>
          </w:tcPr>
          <w:p w:rsidR="00000000" w:rsidRDefault="00000000">
            <w:pPr>
              <w:tabs>
                <w:tab w:val="decimal" w:pos="690"/>
              </w:tabs>
              <w:rPr>
                <w:sz w:val="22"/>
                <w:szCs w:val="22"/>
              </w:rPr>
            </w:pPr>
            <w:r>
              <w:rPr>
                <w:sz w:val="22"/>
                <w:szCs w:val="22"/>
              </w:rPr>
              <w:t>0,3</w:t>
            </w:r>
          </w:p>
        </w:tc>
        <w:tc>
          <w:tcPr>
            <w:tcW w:w="604" w:type="dxa"/>
            <w:tcMar>
              <w:left w:w="51" w:type="dxa"/>
              <w:right w:w="51" w:type="dxa"/>
            </w:tcMar>
            <w:vAlign w:val="bottom"/>
          </w:tcPr>
          <w:p w:rsidR="00000000" w:rsidRDefault="00000000">
            <w:pPr>
              <w:jc w:val="center"/>
              <w:rPr>
                <w:sz w:val="22"/>
                <w:szCs w:val="22"/>
              </w:rPr>
            </w:pPr>
            <w:r>
              <w:rPr>
                <w:sz w:val="22"/>
                <w:szCs w:val="22"/>
              </w:rPr>
              <w:t>100,0</w:t>
            </w:r>
          </w:p>
        </w:tc>
      </w:tr>
      <w:tr w:rsidR="00000000">
        <w:tc>
          <w:tcPr>
            <w:tcW w:w="1537" w:type="dxa"/>
            <w:tcMar>
              <w:left w:w="51" w:type="dxa"/>
              <w:right w:w="51" w:type="dxa"/>
            </w:tcMar>
          </w:tcPr>
          <w:p w:rsidR="00000000" w:rsidRDefault="00000000">
            <w:pPr>
              <w:rPr>
                <w:sz w:val="22"/>
                <w:szCs w:val="22"/>
              </w:rPr>
            </w:pPr>
            <w:r>
              <w:rPr>
                <w:sz w:val="22"/>
                <w:szCs w:val="22"/>
              </w:rPr>
              <w:t>Tandjilé</w:t>
            </w:r>
          </w:p>
        </w:tc>
        <w:tc>
          <w:tcPr>
            <w:tcW w:w="968" w:type="dxa"/>
            <w:tcMar>
              <w:left w:w="51" w:type="dxa"/>
              <w:right w:w="51" w:type="dxa"/>
            </w:tcMar>
            <w:vAlign w:val="bottom"/>
          </w:tcPr>
          <w:p w:rsidR="00000000" w:rsidRDefault="00000000">
            <w:pPr>
              <w:tabs>
                <w:tab w:val="decimal" w:pos="479"/>
              </w:tabs>
              <w:rPr>
                <w:sz w:val="22"/>
                <w:szCs w:val="22"/>
              </w:rPr>
            </w:pPr>
            <w:r>
              <w:rPr>
                <w:sz w:val="22"/>
                <w:szCs w:val="22"/>
              </w:rPr>
              <w:t>6,9</w:t>
            </w:r>
          </w:p>
        </w:tc>
        <w:tc>
          <w:tcPr>
            <w:tcW w:w="885" w:type="dxa"/>
            <w:tcMar>
              <w:left w:w="51" w:type="dxa"/>
              <w:right w:w="51" w:type="dxa"/>
            </w:tcMar>
            <w:vAlign w:val="bottom"/>
          </w:tcPr>
          <w:p w:rsidR="00000000" w:rsidRDefault="00000000">
            <w:pPr>
              <w:tabs>
                <w:tab w:val="decimal" w:pos="421"/>
              </w:tabs>
              <w:rPr>
                <w:sz w:val="22"/>
                <w:szCs w:val="22"/>
              </w:rPr>
            </w:pPr>
            <w:r>
              <w:rPr>
                <w:sz w:val="22"/>
                <w:szCs w:val="22"/>
              </w:rPr>
              <w:t>49,0</w:t>
            </w:r>
          </w:p>
        </w:tc>
        <w:tc>
          <w:tcPr>
            <w:tcW w:w="1227" w:type="dxa"/>
            <w:tcMar>
              <w:left w:w="51" w:type="dxa"/>
              <w:right w:w="51" w:type="dxa"/>
            </w:tcMar>
            <w:vAlign w:val="bottom"/>
          </w:tcPr>
          <w:p w:rsidR="00000000" w:rsidRDefault="00000000">
            <w:pPr>
              <w:tabs>
                <w:tab w:val="decimal" w:pos="600"/>
              </w:tabs>
              <w:rPr>
                <w:sz w:val="22"/>
                <w:szCs w:val="22"/>
              </w:rPr>
            </w:pPr>
            <w:r>
              <w:rPr>
                <w:sz w:val="22"/>
                <w:szCs w:val="22"/>
              </w:rPr>
              <w:t>2,0</w:t>
            </w:r>
          </w:p>
        </w:tc>
        <w:tc>
          <w:tcPr>
            <w:tcW w:w="1178" w:type="dxa"/>
            <w:tcMar>
              <w:left w:w="51" w:type="dxa"/>
              <w:right w:w="51" w:type="dxa"/>
            </w:tcMar>
            <w:vAlign w:val="bottom"/>
          </w:tcPr>
          <w:p w:rsidR="00000000" w:rsidRDefault="00000000">
            <w:pPr>
              <w:tabs>
                <w:tab w:val="decimal" w:pos="577"/>
              </w:tabs>
              <w:rPr>
                <w:sz w:val="22"/>
                <w:szCs w:val="22"/>
              </w:rPr>
            </w:pPr>
            <w:r>
              <w:rPr>
                <w:sz w:val="22"/>
                <w:szCs w:val="22"/>
              </w:rPr>
              <w:t>36,2</w:t>
            </w:r>
          </w:p>
        </w:tc>
        <w:tc>
          <w:tcPr>
            <w:tcW w:w="640" w:type="dxa"/>
            <w:tcMar>
              <w:left w:w="51" w:type="dxa"/>
              <w:right w:w="51" w:type="dxa"/>
            </w:tcMar>
            <w:vAlign w:val="bottom"/>
          </w:tcPr>
          <w:p w:rsidR="00000000" w:rsidRDefault="00000000">
            <w:pPr>
              <w:tabs>
                <w:tab w:val="decimal" w:pos="252"/>
              </w:tabs>
              <w:rPr>
                <w:sz w:val="22"/>
                <w:szCs w:val="22"/>
              </w:rPr>
            </w:pPr>
            <w:r>
              <w:rPr>
                <w:sz w:val="22"/>
                <w:szCs w:val="22"/>
              </w:rPr>
              <w:t>0,6</w:t>
            </w:r>
          </w:p>
        </w:tc>
        <w:tc>
          <w:tcPr>
            <w:tcW w:w="910" w:type="dxa"/>
            <w:tcMar>
              <w:left w:w="51" w:type="dxa"/>
              <w:right w:w="51" w:type="dxa"/>
            </w:tcMar>
            <w:vAlign w:val="bottom"/>
          </w:tcPr>
          <w:p w:rsidR="00000000" w:rsidRDefault="00000000">
            <w:pPr>
              <w:tabs>
                <w:tab w:val="decimal" w:pos="382"/>
              </w:tabs>
              <w:rPr>
                <w:sz w:val="22"/>
                <w:szCs w:val="22"/>
              </w:rPr>
            </w:pPr>
            <w:r>
              <w:rPr>
                <w:sz w:val="22"/>
                <w:szCs w:val="22"/>
              </w:rPr>
              <w:t>4,8</w:t>
            </w:r>
          </w:p>
        </w:tc>
        <w:tc>
          <w:tcPr>
            <w:tcW w:w="1508" w:type="dxa"/>
            <w:tcMar>
              <w:left w:w="51" w:type="dxa"/>
              <w:right w:w="51" w:type="dxa"/>
            </w:tcMar>
            <w:vAlign w:val="bottom"/>
          </w:tcPr>
          <w:p w:rsidR="00000000" w:rsidRDefault="00000000">
            <w:pPr>
              <w:tabs>
                <w:tab w:val="decimal" w:pos="690"/>
              </w:tabs>
              <w:rPr>
                <w:sz w:val="22"/>
                <w:szCs w:val="22"/>
              </w:rPr>
            </w:pPr>
            <w:r>
              <w:rPr>
                <w:sz w:val="22"/>
                <w:szCs w:val="22"/>
              </w:rPr>
              <w:t>0,3</w:t>
            </w:r>
          </w:p>
        </w:tc>
        <w:tc>
          <w:tcPr>
            <w:tcW w:w="604" w:type="dxa"/>
            <w:tcMar>
              <w:left w:w="51" w:type="dxa"/>
              <w:right w:w="51" w:type="dxa"/>
            </w:tcMar>
            <w:vAlign w:val="bottom"/>
          </w:tcPr>
          <w:p w:rsidR="00000000" w:rsidRDefault="00000000">
            <w:pPr>
              <w:jc w:val="center"/>
              <w:rPr>
                <w:sz w:val="22"/>
                <w:szCs w:val="22"/>
              </w:rPr>
            </w:pPr>
            <w:r>
              <w:rPr>
                <w:sz w:val="22"/>
                <w:szCs w:val="22"/>
              </w:rPr>
              <w:t>100,0</w:t>
            </w:r>
          </w:p>
        </w:tc>
      </w:tr>
      <w:tr w:rsidR="00000000">
        <w:tc>
          <w:tcPr>
            <w:tcW w:w="1537" w:type="dxa"/>
            <w:tcMar>
              <w:left w:w="51" w:type="dxa"/>
              <w:right w:w="51" w:type="dxa"/>
            </w:tcMar>
          </w:tcPr>
          <w:p w:rsidR="00000000" w:rsidRDefault="00000000">
            <w:pPr>
              <w:rPr>
                <w:sz w:val="22"/>
                <w:szCs w:val="22"/>
              </w:rPr>
            </w:pPr>
            <w:r>
              <w:rPr>
                <w:sz w:val="22"/>
                <w:szCs w:val="22"/>
              </w:rPr>
              <w:t>Otras</w:t>
            </w:r>
          </w:p>
        </w:tc>
        <w:tc>
          <w:tcPr>
            <w:tcW w:w="968" w:type="dxa"/>
            <w:tcMar>
              <w:left w:w="51" w:type="dxa"/>
              <w:right w:w="51" w:type="dxa"/>
            </w:tcMar>
            <w:vAlign w:val="bottom"/>
          </w:tcPr>
          <w:p w:rsidR="00000000" w:rsidRDefault="00000000">
            <w:pPr>
              <w:tabs>
                <w:tab w:val="decimal" w:pos="479"/>
              </w:tabs>
              <w:rPr>
                <w:sz w:val="22"/>
                <w:szCs w:val="22"/>
              </w:rPr>
            </w:pPr>
            <w:r>
              <w:rPr>
                <w:sz w:val="22"/>
                <w:szCs w:val="22"/>
              </w:rPr>
              <w:t>2,9</w:t>
            </w:r>
          </w:p>
        </w:tc>
        <w:tc>
          <w:tcPr>
            <w:tcW w:w="885" w:type="dxa"/>
            <w:tcMar>
              <w:left w:w="51" w:type="dxa"/>
              <w:right w:w="51" w:type="dxa"/>
            </w:tcMar>
            <w:vAlign w:val="bottom"/>
          </w:tcPr>
          <w:p w:rsidR="00000000" w:rsidRDefault="00000000">
            <w:pPr>
              <w:tabs>
                <w:tab w:val="decimal" w:pos="421"/>
              </w:tabs>
              <w:rPr>
                <w:sz w:val="22"/>
                <w:szCs w:val="22"/>
              </w:rPr>
            </w:pPr>
            <w:r>
              <w:rPr>
                <w:sz w:val="22"/>
                <w:szCs w:val="22"/>
              </w:rPr>
              <w:t>3,6</w:t>
            </w:r>
          </w:p>
        </w:tc>
        <w:tc>
          <w:tcPr>
            <w:tcW w:w="1227" w:type="dxa"/>
            <w:tcMar>
              <w:left w:w="51" w:type="dxa"/>
              <w:right w:w="51" w:type="dxa"/>
            </w:tcMar>
            <w:vAlign w:val="bottom"/>
          </w:tcPr>
          <w:p w:rsidR="00000000" w:rsidRDefault="00000000">
            <w:pPr>
              <w:tabs>
                <w:tab w:val="decimal" w:pos="600"/>
              </w:tabs>
              <w:rPr>
                <w:sz w:val="22"/>
                <w:szCs w:val="22"/>
              </w:rPr>
            </w:pPr>
            <w:r>
              <w:rPr>
                <w:sz w:val="22"/>
                <w:szCs w:val="22"/>
              </w:rPr>
              <w:t>89,0</w:t>
            </w:r>
          </w:p>
        </w:tc>
        <w:tc>
          <w:tcPr>
            <w:tcW w:w="1178" w:type="dxa"/>
            <w:tcMar>
              <w:left w:w="51" w:type="dxa"/>
              <w:right w:w="51" w:type="dxa"/>
            </w:tcMar>
            <w:vAlign w:val="bottom"/>
          </w:tcPr>
          <w:p w:rsidR="00000000" w:rsidRDefault="00000000">
            <w:pPr>
              <w:tabs>
                <w:tab w:val="decimal" w:pos="577"/>
              </w:tabs>
              <w:rPr>
                <w:sz w:val="22"/>
                <w:szCs w:val="22"/>
              </w:rPr>
            </w:pPr>
            <w:r>
              <w:rPr>
                <w:sz w:val="22"/>
                <w:szCs w:val="22"/>
              </w:rPr>
              <w:t>3,3</w:t>
            </w:r>
          </w:p>
        </w:tc>
        <w:tc>
          <w:tcPr>
            <w:tcW w:w="640" w:type="dxa"/>
            <w:tcMar>
              <w:left w:w="51" w:type="dxa"/>
              <w:right w:w="51" w:type="dxa"/>
            </w:tcMar>
            <w:vAlign w:val="bottom"/>
          </w:tcPr>
          <w:p w:rsidR="00000000" w:rsidRDefault="00000000">
            <w:pPr>
              <w:tabs>
                <w:tab w:val="decimal" w:pos="252"/>
              </w:tabs>
              <w:rPr>
                <w:sz w:val="22"/>
                <w:szCs w:val="22"/>
              </w:rPr>
            </w:pPr>
            <w:r>
              <w:rPr>
                <w:sz w:val="22"/>
                <w:szCs w:val="22"/>
              </w:rPr>
              <w:t>0,1</w:t>
            </w:r>
          </w:p>
        </w:tc>
        <w:tc>
          <w:tcPr>
            <w:tcW w:w="910" w:type="dxa"/>
            <w:tcMar>
              <w:left w:w="51" w:type="dxa"/>
              <w:right w:w="51" w:type="dxa"/>
            </w:tcMar>
            <w:vAlign w:val="bottom"/>
          </w:tcPr>
          <w:p w:rsidR="00000000" w:rsidRDefault="00000000">
            <w:pPr>
              <w:tabs>
                <w:tab w:val="decimal" w:pos="382"/>
              </w:tabs>
              <w:rPr>
                <w:sz w:val="22"/>
                <w:szCs w:val="22"/>
              </w:rPr>
            </w:pPr>
            <w:r>
              <w:rPr>
                <w:sz w:val="22"/>
                <w:szCs w:val="22"/>
              </w:rPr>
              <w:t>0,7</w:t>
            </w:r>
          </w:p>
        </w:tc>
        <w:tc>
          <w:tcPr>
            <w:tcW w:w="1508" w:type="dxa"/>
            <w:tcMar>
              <w:left w:w="51" w:type="dxa"/>
              <w:right w:w="51" w:type="dxa"/>
            </w:tcMar>
            <w:vAlign w:val="bottom"/>
          </w:tcPr>
          <w:p w:rsidR="00000000" w:rsidRDefault="00000000">
            <w:pPr>
              <w:tabs>
                <w:tab w:val="decimal" w:pos="690"/>
              </w:tabs>
              <w:rPr>
                <w:sz w:val="22"/>
                <w:szCs w:val="22"/>
              </w:rPr>
            </w:pPr>
            <w:r>
              <w:rPr>
                <w:sz w:val="22"/>
                <w:szCs w:val="22"/>
              </w:rPr>
              <w:t>0,4</w:t>
            </w:r>
          </w:p>
        </w:tc>
        <w:tc>
          <w:tcPr>
            <w:tcW w:w="604" w:type="dxa"/>
            <w:tcMar>
              <w:left w:w="51" w:type="dxa"/>
              <w:right w:w="51" w:type="dxa"/>
            </w:tcMar>
            <w:vAlign w:val="bottom"/>
          </w:tcPr>
          <w:p w:rsidR="00000000" w:rsidRDefault="00000000">
            <w:pPr>
              <w:jc w:val="center"/>
              <w:rPr>
                <w:sz w:val="22"/>
                <w:szCs w:val="22"/>
              </w:rPr>
            </w:pPr>
            <w:r>
              <w:rPr>
                <w:sz w:val="22"/>
                <w:szCs w:val="22"/>
              </w:rPr>
              <w:t>100,0</w:t>
            </w:r>
          </w:p>
        </w:tc>
      </w:tr>
      <w:tr w:rsidR="00000000">
        <w:tc>
          <w:tcPr>
            <w:tcW w:w="1537" w:type="dxa"/>
            <w:tcMar>
              <w:left w:w="51" w:type="dxa"/>
              <w:right w:w="51" w:type="dxa"/>
            </w:tcMar>
          </w:tcPr>
          <w:p w:rsidR="00000000" w:rsidRDefault="00000000">
            <w:pPr>
              <w:rPr>
                <w:sz w:val="22"/>
                <w:szCs w:val="22"/>
              </w:rPr>
            </w:pPr>
            <w:r>
              <w:rPr>
                <w:sz w:val="22"/>
                <w:szCs w:val="22"/>
              </w:rPr>
              <w:t>Varios</w:t>
            </w:r>
          </w:p>
        </w:tc>
        <w:tc>
          <w:tcPr>
            <w:tcW w:w="968" w:type="dxa"/>
            <w:tcMar>
              <w:left w:w="51" w:type="dxa"/>
              <w:right w:w="51" w:type="dxa"/>
            </w:tcMar>
            <w:vAlign w:val="bottom"/>
          </w:tcPr>
          <w:p w:rsidR="00000000" w:rsidRDefault="00000000">
            <w:pPr>
              <w:tabs>
                <w:tab w:val="decimal" w:pos="479"/>
              </w:tabs>
              <w:rPr>
                <w:sz w:val="22"/>
                <w:szCs w:val="22"/>
              </w:rPr>
            </w:pPr>
            <w:r>
              <w:rPr>
                <w:sz w:val="22"/>
                <w:szCs w:val="22"/>
              </w:rPr>
              <w:t>0,2</w:t>
            </w:r>
          </w:p>
        </w:tc>
        <w:tc>
          <w:tcPr>
            <w:tcW w:w="885" w:type="dxa"/>
            <w:tcMar>
              <w:left w:w="51" w:type="dxa"/>
              <w:right w:w="51" w:type="dxa"/>
            </w:tcMar>
            <w:vAlign w:val="bottom"/>
          </w:tcPr>
          <w:p w:rsidR="00000000" w:rsidRDefault="00000000">
            <w:pPr>
              <w:tabs>
                <w:tab w:val="decimal" w:pos="421"/>
              </w:tabs>
              <w:rPr>
                <w:sz w:val="22"/>
                <w:szCs w:val="22"/>
              </w:rPr>
            </w:pPr>
            <w:r>
              <w:rPr>
                <w:sz w:val="22"/>
                <w:szCs w:val="22"/>
              </w:rPr>
              <w:t>0,6</w:t>
            </w:r>
          </w:p>
        </w:tc>
        <w:tc>
          <w:tcPr>
            <w:tcW w:w="1227" w:type="dxa"/>
            <w:tcMar>
              <w:left w:w="51" w:type="dxa"/>
              <w:right w:w="51" w:type="dxa"/>
            </w:tcMar>
            <w:vAlign w:val="bottom"/>
          </w:tcPr>
          <w:p w:rsidR="00000000" w:rsidRDefault="00000000">
            <w:pPr>
              <w:tabs>
                <w:tab w:val="decimal" w:pos="600"/>
              </w:tabs>
              <w:rPr>
                <w:sz w:val="22"/>
                <w:szCs w:val="22"/>
              </w:rPr>
            </w:pPr>
            <w:r>
              <w:rPr>
                <w:sz w:val="22"/>
                <w:szCs w:val="22"/>
              </w:rPr>
              <w:t>98,4</w:t>
            </w:r>
          </w:p>
        </w:tc>
        <w:tc>
          <w:tcPr>
            <w:tcW w:w="1178" w:type="dxa"/>
            <w:tcMar>
              <w:left w:w="51" w:type="dxa"/>
              <w:right w:w="51" w:type="dxa"/>
            </w:tcMar>
            <w:vAlign w:val="bottom"/>
          </w:tcPr>
          <w:p w:rsidR="00000000" w:rsidRDefault="00000000">
            <w:pPr>
              <w:tabs>
                <w:tab w:val="decimal" w:pos="577"/>
              </w:tabs>
              <w:rPr>
                <w:sz w:val="22"/>
                <w:szCs w:val="22"/>
              </w:rPr>
            </w:pPr>
            <w:r>
              <w:rPr>
                <w:sz w:val="22"/>
                <w:szCs w:val="22"/>
              </w:rPr>
              <w:t>0,3</w:t>
            </w:r>
          </w:p>
        </w:tc>
        <w:tc>
          <w:tcPr>
            <w:tcW w:w="640" w:type="dxa"/>
            <w:tcMar>
              <w:left w:w="51" w:type="dxa"/>
              <w:right w:w="51" w:type="dxa"/>
            </w:tcMar>
            <w:vAlign w:val="bottom"/>
          </w:tcPr>
          <w:p w:rsidR="00000000" w:rsidRDefault="00000000">
            <w:pPr>
              <w:tabs>
                <w:tab w:val="decimal" w:pos="252"/>
              </w:tabs>
              <w:rPr>
                <w:sz w:val="22"/>
                <w:szCs w:val="22"/>
              </w:rPr>
            </w:pPr>
            <w:r>
              <w:rPr>
                <w:sz w:val="22"/>
                <w:szCs w:val="22"/>
              </w:rPr>
              <w:t>0,0</w:t>
            </w:r>
          </w:p>
        </w:tc>
        <w:tc>
          <w:tcPr>
            <w:tcW w:w="910" w:type="dxa"/>
            <w:tcMar>
              <w:left w:w="51" w:type="dxa"/>
              <w:right w:w="51" w:type="dxa"/>
            </w:tcMar>
            <w:vAlign w:val="bottom"/>
          </w:tcPr>
          <w:p w:rsidR="00000000" w:rsidRDefault="00000000">
            <w:pPr>
              <w:tabs>
                <w:tab w:val="decimal" w:pos="382"/>
              </w:tabs>
              <w:rPr>
                <w:sz w:val="22"/>
                <w:szCs w:val="22"/>
              </w:rPr>
            </w:pPr>
            <w:r>
              <w:rPr>
                <w:sz w:val="22"/>
                <w:szCs w:val="22"/>
              </w:rPr>
              <w:t>0,1</w:t>
            </w:r>
          </w:p>
        </w:tc>
        <w:tc>
          <w:tcPr>
            <w:tcW w:w="1508" w:type="dxa"/>
            <w:tcMar>
              <w:left w:w="51" w:type="dxa"/>
              <w:right w:w="51" w:type="dxa"/>
            </w:tcMar>
            <w:vAlign w:val="bottom"/>
          </w:tcPr>
          <w:p w:rsidR="00000000" w:rsidRDefault="00000000">
            <w:pPr>
              <w:tabs>
                <w:tab w:val="decimal" w:pos="690"/>
              </w:tabs>
              <w:rPr>
                <w:sz w:val="22"/>
                <w:szCs w:val="22"/>
              </w:rPr>
            </w:pPr>
            <w:r>
              <w:rPr>
                <w:sz w:val="22"/>
                <w:szCs w:val="22"/>
              </w:rPr>
              <w:t>0,4</w:t>
            </w:r>
          </w:p>
        </w:tc>
        <w:tc>
          <w:tcPr>
            <w:tcW w:w="604" w:type="dxa"/>
            <w:tcMar>
              <w:left w:w="51" w:type="dxa"/>
              <w:right w:w="51" w:type="dxa"/>
            </w:tcMar>
            <w:vAlign w:val="bottom"/>
          </w:tcPr>
          <w:p w:rsidR="00000000" w:rsidRDefault="00000000">
            <w:pPr>
              <w:jc w:val="center"/>
              <w:rPr>
                <w:sz w:val="22"/>
                <w:szCs w:val="22"/>
              </w:rPr>
            </w:pPr>
            <w:r>
              <w:rPr>
                <w:sz w:val="22"/>
                <w:szCs w:val="22"/>
              </w:rPr>
              <w:t>100,0</w:t>
            </w:r>
          </w:p>
        </w:tc>
      </w:tr>
      <w:tr w:rsidR="00000000">
        <w:tc>
          <w:tcPr>
            <w:tcW w:w="1537" w:type="dxa"/>
            <w:tcMar>
              <w:left w:w="51" w:type="dxa"/>
              <w:right w:w="51" w:type="dxa"/>
            </w:tcMar>
          </w:tcPr>
          <w:p w:rsidR="00000000" w:rsidRDefault="00000000">
            <w:pPr>
              <w:rPr>
                <w:sz w:val="22"/>
                <w:szCs w:val="22"/>
              </w:rPr>
            </w:pPr>
            <w:r>
              <w:rPr>
                <w:sz w:val="22"/>
                <w:szCs w:val="22"/>
              </w:rPr>
              <w:t>Extranjeros</w:t>
            </w:r>
          </w:p>
        </w:tc>
        <w:tc>
          <w:tcPr>
            <w:tcW w:w="968" w:type="dxa"/>
            <w:tcMar>
              <w:left w:w="51" w:type="dxa"/>
              <w:right w:w="51" w:type="dxa"/>
            </w:tcMar>
            <w:vAlign w:val="bottom"/>
          </w:tcPr>
          <w:p w:rsidR="00000000" w:rsidRDefault="00000000">
            <w:pPr>
              <w:tabs>
                <w:tab w:val="decimal" w:pos="479"/>
              </w:tabs>
              <w:rPr>
                <w:sz w:val="22"/>
                <w:szCs w:val="22"/>
              </w:rPr>
            </w:pPr>
            <w:r>
              <w:rPr>
                <w:sz w:val="22"/>
                <w:szCs w:val="22"/>
              </w:rPr>
              <w:t>2,1</w:t>
            </w:r>
          </w:p>
        </w:tc>
        <w:tc>
          <w:tcPr>
            <w:tcW w:w="885" w:type="dxa"/>
            <w:tcMar>
              <w:left w:w="51" w:type="dxa"/>
              <w:right w:w="51" w:type="dxa"/>
            </w:tcMar>
            <w:vAlign w:val="bottom"/>
          </w:tcPr>
          <w:p w:rsidR="00000000" w:rsidRDefault="00000000">
            <w:pPr>
              <w:tabs>
                <w:tab w:val="decimal" w:pos="421"/>
              </w:tabs>
              <w:rPr>
                <w:sz w:val="22"/>
                <w:szCs w:val="22"/>
              </w:rPr>
            </w:pPr>
            <w:r>
              <w:rPr>
                <w:sz w:val="22"/>
                <w:szCs w:val="22"/>
              </w:rPr>
              <w:t>12,7</w:t>
            </w:r>
          </w:p>
        </w:tc>
        <w:tc>
          <w:tcPr>
            <w:tcW w:w="1227" w:type="dxa"/>
            <w:tcMar>
              <w:left w:w="51" w:type="dxa"/>
              <w:right w:w="51" w:type="dxa"/>
            </w:tcMar>
            <w:vAlign w:val="bottom"/>
          </w:tcPr>
          <w:p w:rsidR="00000000" w:rsidRDefault="00000000">
            <w:pPr>
              <w:tabs>
                <w:tab w:val="decimal" w:pos="600"/>
              </w:tabs>
              <w:rPr>
                <w:sz w:val="22"/>
                <w:szCs w:val="22"/>
              </w:rPr>
            </w:pPr>
            <w:r>
              <w:rPr>
                <w:sz w:val="22"/>
                <w:szCs w:val="22"/>
              </w:rPr>
              <w:t>69,7</w:t>
            </w:r>
          </w:p>
        </w:tc>
        <w:tc>
          <w:tcPr>
            <w:tcW w:w="1178" w:type="dxa"/>
            <w:tcMar>
              <w:left w:w="51" w:type="dxa"/>
              <w:right w:w="51" w:type="dxa"/>
            </w:tcMar>
            <w:vAlign w:val="bottom"/>
          </w:tcPr>
          <w:p w:rsidR="00000000" w:rsidRDefault="00000000">
            <w:pPr>
              <w:tabs>
                <w:tab w:val="decimal" w:pos="577"/>
              </w:tabs>
              <w:rPr>
                <w:sz w:val="22"/>
                <w:szCs w:val="22"/>
              </w:rPr>
            </w:pPr>
            <w:r>
              <w:rPr>
                <w:sz w:val="22"/>
                <w:szCs w:val="22"/>
              </w:rPr>
              <w:t>19,2</w:t>
            </w:r>
          </w:p>
        </w:tc>
        <w:tc>
          <w:tcPr>
            <w:tcW w:w="640" w:type="dxa"/>
            <w:tcMar>
              <w:left w:w="51" w:type="dxa"/>
              <w:right w:w="51" w:type="dxa"/>
            </w:tcMar>
            <w:vAlign w:val="bottom"/>
          </w:tcPr>
          <w:p w:rsidR="00000000" w:rsidRDefault="00000000">
            <w:pPr>
              <w:tabs>
                <w:tab w:val="decimal" w:pos="252"/>
              </w:tabs>
              <w:rPr>
                <w:sz w:val="22"/>
                <w:szCs w:val="22"/>
              </w:rPr>
            </w:pPr>
            <w:r>
              <w:rPr>
                <w:sz w:val="22"/>
                <w:szCs w:val="22"/>
              </w:rPr>
              <w:t>0,6</w:t>
            </w:r>
          </w:p>
        </w:tc>
        <w:tc>
          <w:tcPr>
            <w:tcW w:w="910" w:type="dxa"/>
            <w:tcMar>
              <w:left w:w="51" w:type="dxa"/>
              <w:right w:w="51" w:type="dxa"/>
            </w:tcMar>
            <w:vAlign w:val="bottom"/>
          </w:tcPr>
          <w:p w:rsidR="00000000" w:rsidRDefault="00000000">
            <w:pPr>
              <w:tabs>
                <w:tab w:val="decimal" w:pos="382"/>
              </w:tabs>
              <w:rPr>
                <w:sz w:val="22"/>
                <w:szCs w:val="22"/>
              </w:rPr>
            </w:pPr>
            <w:r>
              <w:rPr>
                <w:sz w:val="22"/>
                <w:szCs w:val="22"/>
              </w:rPr>
              <w:t>2,4</w:t>
            </w:r>
          </w:p>
        </w:tc>
        <w:tc>
          <w:tcPr>
            <w:tcW w:w="1508" w:type="dxa"/>
            <w:tcMar>
              <w:left w:w="51" w:type="dxa"/>
              <w:right w:w="51" w:type="dxa"/>
            </w:tcMar>
            <w:vAlign w:val="bottom"/>
          </w:tcPr>
          <w:p w:rsidR="00000000" w:rsidRDefault="00000000">
            <w:pPr>
              <w:tabs>
                <w:tab w:val="decimal" w:pos="690"/>
              </w:tabs>
              <w:rPr>
                <w:sz w:val="22"/>
                <w:szCs w:val="22"/>
              </w:rPr>
            </w:pPr>
            <w:r>
              <w:rPr>
                <w:sz w:val="22"/>
                <w:szCs w:val="22"/>
              </w:rPr>
              <w:t>0,5</w:t>
            </w:r>
          </w:p>
        </w:tc>
        <w:tc>
          <w:tcPr>
            <w:tcW w:w="604" w:type="dxa"/>
            <w:tcMar>
              <w:left w:w="51" w:type="dxa"/>
              <w:right w:w="51" w:type="dxa"/>
            </w:tcMar>
            <w:vAlign w:val="bottom"/>
          </w:tcPr>
          <w:p w:rsidR="00000000" w:rsidRDefault="00000000">
            <w:pPr>
              <w:jc w:val="center"/>
              <w:rPr>
                <w:sz w:val="22"/>
                <w:szCs w:val="22"/>
              </w:rPr>
            </w:pPr>
            <w:r>
              <w:rPr>
                <w:sz w:val="22"/>
                <w:szCs w:val="22"/>
              </w:rPr>
              <w:t>100,0</w:t>
            </w:r>
          </w:p>
        </w:tc>
      </w:tr>
      <w:tr w:rsidR="00000000">
        <w:tc>
          <w:tcPr>
            <w:tcW w:w="1537" w:type="dxa"/>
            <w:tcMar>
              <w:left w:w="51" w:type="dxa"/>
              <w:right w:w="51" w:type="dxa"/>
            </w:tcMar>
          </w:tcPr>
          <w:p w:rsidR="00000000" w:rsidRDefault="00000000">
            <w:pPr>
              <w:rPr>
                <w:sz w:val="22"/>
                <w:szCs w:val="22"/>
              </w:rPr>
            </w:pPr>
            <w:r>
              <w:rPr>
                <w:sz w:val="22"/>
                <w:szCs w:val="22"/>
              </w:rPr>
              <w:t>Indeterminados</w:t>
            </w:r>
          </w:p>
        </w:tc>
        <w:tc>
          <w:tcPr>
            <w:tcW w:w="968" w:type="dxa"/>
            <w:tcMar>
              <w:left w:w="51" w:type="dxa"/>
              <w:right w:w="51" w:type="dxa"/>
            </w:tcMar>
            <w:vAlign w:val="bottom"/>
          </w:tcPr>
          <w:p w:rsidR="00000000" w:rsidRDefault="00000000">
            <w:pPr>
              <w:tabs>
                <w:tab w:val="decimal" w:pos="479"/>
              </w:tabs>
              <w:rPr>
                <w:sz w:val="22"/>
                <w:szCs w:val="22"/>
              </w:rPr>
            </w:pPr>
            <w:r>
              <w:rPr>
                <w:sz w:val="22"/>
                <w:szCs w:val="22"/>
              </w:rPr>
              <w:t>6,9</w:t>
            </w:r>
          </w:p>
        </w:tc>
        <w:tc>
          <w:tcPr>
            <w:tcW w:w="885" w:type="dxa"/>
            <w:tcMar>
              <w:left w:w="51" w:type="dxa"/>
              <w:right w:w="51" w:type="dxa"/>
            </w:tcMar>
            <w:vAlign w:val="bottom"/>
          </w:tcPr>
          <w:p w:rsidR="00000000" w:rsidRDefault="00000000">
            <w:pPr>
              <w:tabs>
                <w:tab w:val="decimal" w:pos="421"/>
              </w:tabs>
              <w:rPr>
                <w:sz w:val="22"/>
                <w:szCs w:val="22"/>
              </w:rPr>
            </w:pPr>
            <w:r>
              <w:rPr>
                <w:sz w:val="22"/>
                <w:szCs w:val="22"/>
              </w:rPr>
              <w:t>8,5</w:t>
            </w:r>
          </w:p>
        </w:tc>
        <w:tc>
          <w:tcPr>
            <w:tcW w:w="1227" w:type="dxa"/>
            <w:tcMar>
              <w:left w:w="51" w:type="dxa"/>
              <w:right w:w="51" w:type="dxa"/>
            </w:tcMar>
            <w:vAlign w:val="bottom"/>
          </w:tcPr>
          <w:p w:rsidR="00000000" w:rsidRDefault="00000000">
            <w:pPr>
              <w:tabs>
                <w:tab w:val="decimal" w:pos="600"/>
              </w:tabs>
              <w:rPr>
                <w:sz w:val="22"/>
                <w:szCs w:val="22"/>
              </w:rPr>
            </w:pPr>
            <w:r>
              <w:rPr>
                <w:sz w:val="22"/>
                <w:szCs w:val="22"/>
              </w:rPr>
              <w:t>69,7</w:t>
            </w:r>
          </w:p>
        </w:tc>
        <w:tc>
          <w:tcPr>
            <w:tcW w:w="1178" w:type="dxa"/>
            <w:tcMar>
              <w:left w:w="51" w:type="dxa"/>
              <w:right w:w="51" w:type="dxa"/>
            </w:tcMar>
            <w:vAlign w:val="bottom"/>
          </w:tcPr>
          <w:p w:rsidR="00000000" w:rsidRDefault="00000000">
            <w:pPr>
              <w:tabs>
                <w:tab w:val="decimal" w:pos="577"/>
              </w:tabs>
              <w:rPr>
                <w:sz w:val="22"/>
                <w:szCs w:val="22"/>
              </w:rPr>
            </w:pPr>
            <w:r>
              <w:rPr>
                <w:sz w:val="22"/>
                <w:szCs w:val="22"/>
              </w:rPr>
              <w:t>5,5</w:t>
            </w:r>
          </w:p>
        </w:tc>
        <w:tc>
          <w:tcPr>
            <w:tcW w:w="640" w:type="dxa"/>
            <w:tcMar>
              <w:left w:w="51" w:type="dxa"/>
              <w:right w:w="51" w:type="dxa"/>
            </w:tcMar>
            <w:vAlign w:val="bottom"/>
          </w:tcPr>
          <w:p w:rsidR="00000000" w:rsidRDefault="00000000">
            <w:pPr>
              <w:tabs>
                <w:tab w:val="decimal" w:pos="252"/>
              </w:tabs>
              <w:rPr>
                <w:sz w:val="22"/>
                <w:szCs w:val="22"/>
              </w:rPr>
            </w:pPr>
            <w:r>
              <w:rPr>
                <w:sz w:val="22"/>
                <w:szCs w:val="22"/>
              </w:rPr>
              <w:t>0,2</w:t>
            </w:r>
          </w:p>
        </w:tc>
        <w:tc>
          <w:tcPr>
            <w:tcW w:w="910" w:type="dxa"/>
            <w:tcMar>
              <w:left w:w="51" w:type="dxa"/>
              <w:right w:w="51" w:type="dxa"/>
            </w:tcMar>
            <w:vAlign w:val="bottom"/>
          </w:tcPr>
          <w:p w:rsidR="00000000" w:rsidRDefault="00000000">
            <w:pPr>
              <w:tabs>
                <w:tab w:val="decimal" w:pos="382"/>
              </w:tabs>
              <w:rPr>
                <w:sz w:val="22"/>
                <w:szCs w:val="22"/>
              </w:rPr>
            </w:pPr>
            <w:r>
              <w:rPr>
                <w:sz w:val="22"/>
                <w:szCs w:val="22"/>
              </w:rPr>
              <w:t>2,4</w:t>
            </w:r>
          </w:p>
        </w:tc>
        <w:tc>
          <w:tcPr>
            <w:tcW w:w="1508" w:type="dxa"/>
            <w:tcMar>
              <w:left w:w="51" w:type="dxa"/>
              <w:right w:w="51" w:type="dxa"/>
            </w:tcMar>
            <w:vAlign w:val="bottom"/>
          </w:tcPr>
          <w:p w:rsidR="00000000" w:rsidRDefault="00000000">
            <w:pPr>
              <w:tabs>
                <w:tab w:val="decimal" w:pos="690"/>
              </w:tabs>
              <w:rPr>
                <w:sz w:val="22"/>
                <w:szCs w:val="22"/>
              </w:rPr>
            </w:pPr>
            <w:r>
              <w:rPr>
                <w:sz w:val="22"/>
                <w:szCs w:val="22"/>
              </w:rPr>
              <w:t>6,7</w:t>
            </w:r>
          </w:p>
        </w:tc>
        <w:tc>
          <w:tcPr>
            <w:tcW w:w="604" w:type="dxa"/>
            <w:tcMar>
              <w:left w:w="51" w:type="dxa"/>
              <w:right w:w="51" w:type="dxa"/>
            </w:tcMar>
            <w:vAlign w:val="bottom"/>
          </w:tcPr>
          <w:p w:rsidR="00000000" w:rsidRDefault="00000000">
            <w:pPr>
              <w:jc w:val="center"/>
              <w:rPr>
                <w:sz w:val="22"/>
                <w:szCs w:val="22"/>
              </w:rPr>
            </w:pPr>
            <w:r>
              <w:rPr>
                <w:sz w:val="22"/>
                <w:szCs w:val="22"/>
              </w:rPr>
              <w:t>100,0</w:t>
            </w:r>
          </w:p>
        </w:tc>
      </w:tr>
      <w:tr w:rsidR="00000000">
        <w:tc>
          <w:tcPr>
            <w:tcW w:w="1537" w:type="dxa"/>
            <w:tcMar>
              <w:left w:w="51" w:type="dxa"/>
              <w:right w:w="51" w:type="dxa"/>
            </w:tcMar>
          </w:tcPr>
          <w:p w:rsidR="00000000" w:rsidRDefault="00000000">
            <w:pPr>
              <w:ind w:left="224"/>
              <w:rPr>
                <w:b/>
                <w:sz w:val="22"/>
                <w:szCs w:val="22"/>
              </w:rPr>
            </w:pPr>
            <w:r>
              <w:rPr>
                <w:b/>
                <w:sz w:val="22"/>
                <w:szCs w:val="22"/>
              </w:rPr>
              <w:t>Total</w:t>
            </w:r>
          </w:p>
        </w:tc>
        <w:tc>
          <w:tcPr>
            <w:tcW w:w="968" w:type="dxa"/>
            <w:tcMar>
              <w:left w:w="51" w:type="dxa"/>
              <w:right w:w="51" w:type="dxa"/>
            </w:tcMar>
            <w:vAlign w:val="bottom"/>
          </w:tcPr>
          <w:p w:rsidR="00000000" w:rsidRDefault="00000000">
            <w:pPr>
              <w:tabs>
                <w:tab w:val="decimal" w:pos="479"/>
              </w:tabs>
              <w:rPr>
                <w:b/>
                <w:bCs/>
                <w:sz w:val="22"/>
                <w:szCs w:val="22"/>
              </w:rPr>
            </w:pPr>
            <w:r>
              <w:rPr>
                <w:b/>
                <w:bCs/>
                <w:sz w:val="22"/>
                <w:szCs w:val="22"/>
              </w:rPr>
              <w:t>7,4</w:t>
            </w:r>
          </w:p>
        </w:tc>
        <w:tc>
          <w:tcPr>
            <w:tcW w:w="885" w:type="dxa"/>
            <w:tcMar>
              <w:left w:w="51" w:type="dxa"/>
              <w:right w:w="51" w:type="dxa"/>
            </w:tcMar>
            <w:vAlign w:val="bottom"/>
          </w:tcPr>
          <w:p w:rsidR="00000000" w:rsidRDefault="00000000">
            <w:pPr>
              <w:tabs>
                <w:tab w:val="decimal" w:pos="421"/>
              </w:tabs>
              <w:rPr>
                <w:b/>
                <w:bCs/>
                <w:sz w:val="22"/>
                <w:szCs w:val="22"/>
              </w:rPr>
            </w:pPr>
            <w:r>
              <w:rPr>
                <w:b/>
                <w:bCs/>
                <w:sz w:val="22"/>
                <w:szCs w:val="22"/>
              </w:rPr>
              <w:t>20,4</w:t>
            </w:r>
          </w:p>
        </w:tc>
        <w:tc>
          <w:tcPr>
            <w:tcW w:w="1227" w:type="dxa"/>
            <w:tcMar>
              <w:left w:w="51" w:type="dxa"/>
              <w:right w:w="51" w:type="dxa"/>
            </w:tcMar>
            <w:vAlign w:val="bottom"/>
          </w:tcPr>
          <w:p w:rsidR="00000000" w:rsidRDefault="00000000">
            <w:pPr>
              <w:tabs>
                <w:tab w:val="decimal" w:pos="600"/>
              </w:tabs>
              <w:rPr>
                <w:b/>
                <w:bCs/>
                <w:sz w:val="22"/>
                <w:szCs w:val="22"/>
              </w:rPr>
            </w:pPr>
            <w:r>
              <w:rPr>
                <w:b/>
                <w:bCs/>
                <w:sz w:val="22"/>
                <w:szCs w:val="22"/>
              </w:rPr>
              <w:t>53,9</w:t>
            </w:r>
          </w:p>
        </w:tc>
        <w:tc>
          <w:tcPr>
            <w:tcW w:w="1178" w:type="dxa"/>
            <w:tcMar>
              <w:left w:w="51" w:type="dxa"/>
              <w:right w:w="51" w:type="dxa"/>
            </w:tcMar>
            <w:vAlign w:val="bottom"/>
          </w:tcPr>
          <w:p w:rsidR="00000000" w:rsidRDefault="00000000">
            <w:pPr>
              <w:tabs>
                <w:tab w:val="decimal" w:pos="577"/>
              </w:tabs>
              <w:rPr>
                <w:b/>
                <w:bCs/>
                <w:sz w:val="22"/>
                <w:szCs w:val="22"/>
              </w:rPr>
            </w:pPr>
            <w:r>
              <w:rPr>
                <w:b/>
                <w:bCs/>
                <w:sz w:val="22"/>
                <w:szCs w:val="22"/>
              </w:rPr>
              <w:t>14,4</w:t>
            </w:r>
          </w:p>
        </w:tc>
        <w:tc>
          <w:tcPr>
            <w:tcW w:w="640" w:type="dxa"/>
            <w:tcMar>
              <w:left w:w="51" w:type="dxa"/>
              <w:right w:w="51" w:type="dxa"/>
            </w:tcMar>
            <w:vAlign w:val="bottom"/>
          </w:tcPr>
          <w:p w:rsidR="00000000" w:rsidRDefault="00000000">
            <w:pPr>
              <w:tabs>
                <w:tab w:val="decimal" w:pos="252"/>
              </w:tabs>
              <w:rPr>
                <w:b/>
                <w:bCs/>
                <w:sz w:val="22"/>
                <w:szCs w:val="22"/>
              </w:rPr>
            </w:pPr>
            <w:r>
              <w:rPr>
                <w:b/>
                <w:bCs/>
                <w:sz w:val="22"/>
                <w:szCs w:val="22"/>
              </w:rPr>
              <w:t>0,5</w:t>
            </w:r>
          </w:p>
        </w:tc>
        <w:tc>
          <w:tcPr>
            <w:tcW w:w="910" w:type="dxa"/>
            <w:tcMar>
              <w:left w:w="51" w:type="dxa"/>
              <w:right w:w="51" w:type="dxa"/>
            </w:tcMar>
            <w:vAlign w:val="bottom"/>
          </w:tcPr>
          <w:p w:rsidR="00000000" w:rsidRDefault="00000000">
            <w:pPr>
              <w:tabs>
                <w:tab w:val="decimal" w:pos="382"/>
              </w:tabs>
              <w:rPr>
                <w:b/>
                <w:bCs/>
                <w:sz w:val="22"/>
                <w:szCs w:val="22"/>
              </w:rPr>
            </w:pPr>
            <w:r>
              <w:rPr>
                <w:b/>
                <w:bCs/>
                <w:sz w:val="22"/>
                <w:szCs w:val="22"/>
              </w:rPr>
              <w:t>3,1</w:t>
            </w:r>
          </w:p>
        </w:tc>
        <w:tc>
          <w:tcPr>
            <w:tcW w:w="1508" w:type="dxa"/>
            <w:tcMar>
              <w:left w:w="51" w:type="dxa"/>
              <w:right w:w="51" w:type="dxa"/>
            </w:tcMar>
            <w:vAlign w:val="bottom"/>
          </w:tcPr>
          <w:p w:rsidR="00000000" w:rsidRDefault="00000000">
            <w:pPr>
              <w:tabs>
                <w:tab w:val="decimal" w:pos="690"/>
              </w:tabs>
              <w:rPr>
                <w:b/>
                <w:bCs/>
                <w:sz w:val="22"/>
                <w:szCs w:val="22"/>
              </w:rPr>
            </w:pPr>
            <w:r>
              <w:rPr>
                <w:b/>
                <w:bCs/>
                <w:sz w:val="22"/>
                <w:szCs w:val="22"/>
              </w:rPr>
              <w:t>0,4</w:t>
            </w:r>
          </w:p>
        </w:tc>
        <w:tc>
          <w:tcPr>
            <w:tcW w:w="604" w:type="dxa"/>
            <w:tcMar>
              <w:left w:w="51" w:type="dxa"/>
              <w:right w:w="51" w:type="dxa"/>
            </w:tcMar>
            <w:vAlign w:val="bottom"/>
          </w:tcPr>
          <w:p w:rsidR="00000000" w:rsidRDefault="00000000">
            <w:pPr>
              <w:jc w:val="center"/>
              <w:rPr>
                <w:b/>
                <w:bCs/>
                <w:sz w:val="22"/>
                <w:szCs w:val="22"/>
              </w:rPr>
            </w:pPr>
            <w:r>
              <w:rPr>
                <w:b/>
                <w:bCs/>
                <w:sz w:val="22"/>
                <w:szCs w:val="22"/>
              </w:rPr>
              <w:t>100,0</w:t>
            </w:r>
          </w:p>
        </w:tc>
      </w:tr>
    </w:tbl>
    <w:p w:rsidR="00000000" w:rsidRDefault="00000000">
      <w:pPr>
        <w:spacing w:before="220" w:after="480"/>
        <w:rPr>
          <w:sz w:val="22"/>
          <w:szCs w:val="22"/>
        </w:rPr>
      </w:pPr>
      <w:r>
        <w:rPr>
          <w:i/>
          <w:sz w:val="22"/>
          <w:szCs w:val="22"/>
        </w:rPr>
        <w:t>Fuente:</w:t>
      </w:r>
      <w:r>
        <w:rPr>
          <w:sz w:val="22"/>
          <w:szCs w:val="22"/>
        </w:rPr>
        <w:t xml:space="preserve">  RGPH de 1993.</w:t>
      </w:r>
    </w:p>
    <w:p w:rsidR="00000000" w:rsidRDefault="00000000">
      <w:pPr>
        <w:spacing w:after="240"/>
      </w:pPr>
      <w:r>
        <w:t>46.</w:t>
      </w:r>
      <w:r>
        <w:tab/>
        <w:t>Los factores que obstaculizan el pleno goce de los derechos de la mujer enunciados en la Convención son de orden consuetudinario y cultural y, mientras el Chad no disponga de un código de la persona y de la familia, la Constitución, en particular sus artículos 156 y 157, se aplicará en detrimento de la mujer.</w:t>
      </w:r>
    </w:p>
    <w:p w:rsidR="00000000" w:rsidRDefault="00000000">
      <w:pPr>
        <w:spacing w:after="240"/>
      </w:pPr>
      <w:r>
        <w:t>47.</w:t>
      </w:r>
      <w:r>
        <w:tab/>
        <w:t>De igual modo, los regímenes matrimonial y de sucesiones se rigen por las normas consuetudinarias.  Estas disposiciones sólo se deben aplicar con el consentimiento de las partes interesadas y, a falta de consentimiento, sólo es aplicable la legislación nacional, pero se aplica sistemáticamente dichas disposiciones porque, desde el punto de vista consuetudinario, la mujer carece de opinión.</w:t>
      </w:r>
    </w:p>
    <w:p w:rsidR="00000000" w:rsidRDefault="00000000">
      <w:pPr>
        <w:spacing w:after="240"/>
      </w:pPr>
      <w:r>
        <w:t>48.</w:t>
      </w:r>
      <w:r>
        <w:tab/>
        <w:t>Aunque se precisa claramente que las costumbres contrarias al orden público o que predican la desigualdad entre los ciudadanos están prohibidas, es notorio y también admitido desde el punto de vista consuetudinario que la mujer no es igual al hombre.  Por esta razón, sería a menudo difícil denunciar en el plano consuetudinario una perturbación del orden público por una discriminación de que fuese víctima una mujer.</w:t>
      </w:r>
    </w:p>
    <w:p w:rsidR="00000000" w:rsidRDefault="00000000">
      <w:pPr>
        <w:spacing w:after="240"/>
      </w:pPr>
      <w:r>
        <w:t>49.</w:t>
      </w:r>
      <w:r>
        <w:tab/>
        <w:t xml:space="preserve">Las religiones refuerzan por su parte esta creencia de que el hombre no es igual a la mujer.  El islam no concede igual estatuto al hombre y a la mujer en materia de sucesión y discrimina entre los herederos descendientes de una unión legítima y los descendientes de una unión libre.  El cristianismo por su parte no autoriza a la mujer a dirigir una asamblea en la que participen hombres. </w:t>
      </w:r>
    </w:p>
    <w:p w:rsidR="00000000" w:rsidRDefault="00000000">
      <w:pPr>
        <w:spacing w:after="240"/>
      </w:pPr>
      <w:r>
        <w:t>50.</w:t>
      </w:r>
      <w:r>
        <w:tab/>
        <w:t>Tampoco se concede en el derecho consuetudinario animista de ciertas comunidades igual calidad al hombre que a la mujer y el niño.  Por ejemplo, la mujer no puede concurrir a la sucesión junto con el hombre y no puede poseer tierras.  En otras comunidades, los daños y perjuicios en reparación de un daño se valoran en función del sexo de la víctima o de su estatuto social.</w:t>
      </w:r>
    </w:p>
    <w:p w:rsidR="00000000" w:rsidRDefault="00000000">
      <w:pPr>
        <w:spacing w:after="480"/>
      </w:pPr>
      <w:r>
        <w:t>51.</w:t>
      </w:r>
      <w:r>
        <w:tab/>
        <w:t>Esta discriminación tiende a desvanecerse en las grandes ciudades, donde las mujeres y los niños se dirigen cada vez más a los tribunales para revindicar su derecho a la sucesión.</w:t>
      </w:r>
    </w:p>
    <w:p w:rsidR="00000000" w:rsidRDefault="00000000">
      <w:pPr>
        <w:spacing w:after="240"/>
        <w:jc w:val="center"/>
        <w:rPr>
          <w:b/>
        </w:rPr>
      </w:pPr>
      <w:r>
        <w:rPr>
          <w:b/>
        </w:rPr>
        <w:t>II.  INFORMACIÓN SOBRE LOS ARTÍCULOS 2 A 7</w:t>
      </w:r>
      <w:r>
        <w:rPr>
          <w:b/>
        </w:rPr>
        <w:br/>
        <w:t>DE LA CONVENCIÓN</w:t>
      </w:r>
    </w:p>
    <w:p w:rsidR="00000000" w:rsidRDefault="00000000">
      <w:pPr>
        <w:spacing w:after="240"/>
        <w:rPr>
          <w:b/>
        </w:rPr>
      </w:pPr>
      <w:r>
        <w:rPr>
          <w:b/>
        </w:rPr>
        <w:t>Artículo 2</w:t>
      </w:r>
    </w:p>
    <w:p w:rsidR="00000000" w:rsidRDefault="00000000">
      <w:pPr>
        <w:spacing w:after="240"/>
      </w:pPr>
      <w:r>
        <w:t>52.</w:t>
      </w:r>
      <w:r>
        <w:tab/>
        <w:t>La Ley fundamental del Chad, fuente de todas las demás leyes de menor rango o a la cual esas leyes se deben conformar, condena la discriminación en todas sus formas y afirma, además, la voluntad del pueblo chadiano de vivir en el respeto de la diversidad étnica, religiosa, regional y cultural.  A tal efecto, se han adoptado medidas legislativas, administrativas y judiciales encaminadas a eliminar la discriminación.</w:t>
      </w:r>
    </w:p>
    <w:p w:rsidR="00000000" w:rsidRDefault="00000000">
      <w:pPr>
        <w:spacing w:after="240"/>
        <w:jc w:val="center"/>
        <w:rPr>
          <w:b/>
        </w:rPr>
      </w:pPr>
      <w:r>
        <w:rPr>
          <w:b/>
        </w:rPr>
        <w:t>A.  Legislación</w:t>
      </w:r>
    </w:p>
    <w:p w:rsidR="00000000" w:rsidRDefault="00000000">
      <w:pPr>
        <w:spacing w:after="240"/>
        <w:ind w:left="567" w:hanging="567"/>
        <w:rPr>
          <w:b/>
        </w:rPr>
      </w:pPr>
      <w:r>
        <w:rPr>
          <w:b/>
        </w:rPr>
        <w:t>1.</w:t>
      </w:r>
      <w:r>
        <w:rPr>
          <w:b/>
        </w:rPr>
        <w:tab/>
        <w:t>La Constitución de 31 de marzo de 1996, revisada por la Ley constitucional Nº 08/PR/2005, de 5 de julio de 2005</w:t>
      </w:r>
    </w:p>
    <w:p w:rsidR="00000000" w:rsidRDefault="00000000">
      <w:pPr>
        <w:spacing w:after="240"/>
      </w:pPr>
      <w:r>
        <w:t>53.</w:t>
      </w:r>
      <w:r>
        <w:tab/>
        <w:t>El preámbulo de la Constitución dispone:  "Los diferentes regímenes que se han sucedido y han creado y alimentado el regionalismo, el tribalismo, el nepotismo, las desigualdades sociales y las violaciones de los derechos humanos y las libertades fundamentales individuales y colectivas han tenido como consecuencia la guerra, la violencia política, el odio, la intolerancia y la desconfianza entre las diferentes comunidades que componen la nación chadiana.  El pueblo chadiano ha sacado las oportunas enseñanzas y afirma su voluntad de construir un estado de derecho y una nación unida fundada en las libertades públicas y los derechos humanos, la dignidad de la persona humana y el pluralismo político y en los valores africanos de solidaridad y de fraternidad.  Entre otras cosas, el pueblo chadiano afirma su oposición total a todo régimen cuya política se funde en la arbitrariedad, la dictadura, la injusticia, la corrupción activa y pasiva, el nepotismo, el clanismo, el tribalismo, el confesionalismo y la discriminación racial".</w:t>
      </w:r>
    </w:p>
    <w:p w:rsidR="00000000" w:rsidRDefault="00000000">
      <w:pPr>
        <w:spacing w:after="240"/>
      </w:pPr>
      <w:r>
        <w:t>54.</w:t>
      </w:r>
      <w:r>
        <w:tab/>
        <w:t>La Constitución prohíbe las prácticas discriminatorias en general y en sectores concretos.  El párrafo 2 del artículo 3 de la Constitución establece:  "Ninguna comunidad, o corporación, ningún partido político, o asociación, ninguna organización sindical, persona o grupo de personas podría atribuirse el ejercicio de la soberanía".</w:t>
      </w:r>
    </w:p>
    <w:p w:rsidR="00000000" w:rsidRDefault="00000000">
      <w:pPr>
        <w:spacing w:after="240"/>
      </w:pPr>
      <w:r>
        <w:t>55.</w:t>
      </w:r>
      <w:r>
        <w:tab/>
        <w:t>En su artículo 5, la Constitución especifica que:  "Está prohibida toda propaganda de carácter étnico, tribal, regional o confesional que tienda a menoscabar la unidad nacional o la laicidad del Estado".</w:t>
      </w:r>
    </w:p>
    <w:p w:rsidR="00000000" w:rsidRDefault="00000000">
      <w:pPr>
        <w:spacing w:after="240"/>
      </w:pPr>
      <w:r>
        <w:t>56.</w:t>
      </w:r>
      <w:r>
        <w:tab/>
        <w:t>La Constitución garantiza al ciudadano el derecho a disfrutar de la libertad y los derechos fundamentales, pero impone también a todos la obligación de cumplir su deber.</w:t>
      </w:r>
    </w:p>
    <w:p w:rsidR="00000000" w:rsidRDefault="00000000">
      <w:pPr>
        <w:spacing w:after="240"/>
      </w:pPr>
      <w:r>
        <w:t>57.</w:t>
      </w:r>
      <w:r>
        <w:tab/>
        <w:t>Además, el artículo 13 precisa lo siguiente:  "Los chadianos de ambos sexos tienen los mismos derechos y las mismas obligaciones y son iguales ante la ley".  El artículo 14 añade lo siguiente:  "El Estado garantiza a todos la igualdad ante la ley sin distinción de origen, raza, sexo, religión, opinión política o posición social.  Tiene el deber de velar por que se eliminen todas las formas de discriminación contra la mujer y de proteger sus derechos en todos los campos de la vida privada y pública".</w:t>
      </w:r>
    </w:p>
    <w:p w:rsidR="00000000" w:rsidRDefault="00000000">
      <w:pPr>
        <w:spacing w:after="240"/>
      </w:pPr>
      <w:r>
        <w:t>58.</w:t>
      </w:r>
      <w:r>
        <w:tab/>
        <w:t>Por su parte, el artículo 15 dispone:  "Con excepción de los derechos políticos, los extranjeros que residan legalmente en el territorio de la República del Chad gozarán de iguales derechos y libertades que los nacionales, dentro de los límites fijados por la ley y deben respetar la Constitución, las leyes y los reglamentos de la República".</w:t>
      </w:r>
    </w:p>
    <w:p w:rsidR="00000000" w:rsidRDefault="00000000">
      <w:pPr>
        <w:spacing w:after="240"/>
      </w:pPr>
      <w:r>
        <w:t>59.</w:t>
      </w:r>
      <w:r>
        <w:tab/>
        <w:t>En cuanto al empleo, el artículo 31 de la Constitución decreta que:  "Todos los chadianos sin discriminación pueden acceder a un empleo en la administración pública, a reserva de las condiciones propias de cada empleo".</w:t>
      </w:r>
    </w:p>
    <w:p w:rsidR="00000000" w:rsidRDefault="00000000">
      <w:pPr>
        <w:spacing w:after="240"/>
      </w:pPr>
      <w:r>
        <w:t>60.</w:t>
      </w:r>
      <w:r>
        <w:tab/>
        <w:t xml:space="preserve">Además, el artículo 32 reconoce a todos los ciudadanos el derecho al trabajo y en el párrafo 3 del mismo artículo se establece que nadie podrá ser perjudicado en su trabajo a causa de sus orígenes, opiniones, creencias, sexo o estado civil. </w:t>
      </w:r>
    </w:p>
    <w:p w:rsidR="00000000" w:rsidRDefault="00000000">
      <w:pPr>
        <w:spacing w:after="240"/>
        <w:rPr>
          <w:b/>
        </w:rPr>
      </w:pPr>
      <w:r>
        <w:rPr>
          <w:b/>
        </w:rPr>
        <w:t>2.</w:t>
      </w:r>
      <w:r>
        <w:rPr>
          <w:b/>
        </w:rPr>
        <w:tab/>
        <w:t>Otra legislación</w:t>
      </w:r>
    </w:p>
    <w:p w:rsidR="00000000" w:rsidRDefault="00000000">
      <w:pPr>
        <w:spacing w:after="240"/>
      </w:pPr>
      <w:r>
        <w:t>61.</w:t>
      </w:r>
      <w:r>
        <w:tab/>
        <w:t>Los textos legislativos que regulan los diferentes sectores contienen siempre salvaguardias en materia de discriminación.</w:t>
      </w:r>
    </w:p>
    <w:p w:rsidR="00000000" w:rsidRDefault="00000000">
      <w:pPr>
        <w:spacing w:after="240"/>
        <w:ind w:left="567"/>
        <w:rPr>
          <w:b/>
        </w:rPr>
      </w:pPr>
      <w:r>
        <w:rPr>
          <w:b/>
        </w:rPr>
        <w:t>a)</w:t>
      </w:r>
      <w:r>
        <w:rPr>
          <w:b/>
        </w:rPr>
        <w:tab/>
        <w:t>Ley de educación del Chad</w:t>
      </w:r>
    </w:p>
    <w:p w:rsidR="00000000" w:rsidRDefault="00000000">
      <w:pPr>
        <w:spacing w:after="240"/>
      </w:pPr>
      <w:r>
        <w:t>62.</w:t>
      </w:r>
      <w:r>
        <w:tab/>
        <w:t xml:space="preserve">El artículo 4 de la Ley Nº 16/PR/06, de 13 de marzo de 2006, sobre la orientación del sistema educativo del Chad dispone:  "Se reconoce a todos el derecho a la educación y a la formación, sin distinción de edad, sexo u origen regional, social, étnico o religioso". </w:t>
      </w:r>
    </w:p>
    <w:p w:rsidR="00000000" w:rsidRDefault="00000000">
      <w:pPr>
        <w:spacing w:after="240"/>
      </w:pPr>
      <w:r>
        <w:t>63.</w:t>
      </w:r>
      <w:r>
        <w:tab/>
        <w:t>Las disposiciones del artículo 4 de la ley corresponden al párrafo 1 del artículo 35, de la Constitución, según el cual "Todo ciudadano tiene derecho a la instrucción".</w:t>
      </w:r>
    </w:p>
    <w:p w:rsidR="00000000" w:rsidRDefault="00000000">
      <w:pPr>
        <w:spacing w:after="240"/>
      </w:pPr>
      <w:r>
        <w:t>64.</w:t>
      </w:r>
      <w:r>
        <w:tab/>
        <w:t>El artículo 12 de dicha ley encomienda la siguiente misión al sistema educativo del Chad:</w:t>
      </w:r>
    </w:p>
    <w:p w:rsidR="00000000" w:rsidRDefault="00000000">
      <w:pPr>
        <w:spacing w:after="240"/>
        <w:ind w:left="1134" w:hanging="567"/>
      </w:pPr>
      <w:r>
        <w:t>a)</w:t>
      </w:r>
      <w:r>
        <w:tab/>
        <w:t>Fomentar entre los jóvenes el amor de la patria, la consciencia de la identidad nacional, el sentimiento de pertenencia a una civilización de dimensión nacional y africana y el reforzamiento de la apertura a una civilización universal;</w:t>
      </w:r>
    </w:p>
    <w:p w:rsidR="00000000" w:rsidRDefault="00000000">
      <w:pPr>
        <w:spacing w:after="240"/>
        <w:ind w:left="1134" w:hanging="567"/>
      </w:pPr>
      <w:r>
        <w:t>b)</w:t>
      </w:r>
      <w:r>
        <w:tab/>
        <w:t>Enraizar todos los valores cívicos y morales compartidos por los chadianos y que se fundan en la primacía del conocimiento, el trabajo, la solidaridad, la tolerancia y la moderación.</w:t>
      </w:r>
    </w:p>
    <w:p w:rsidR="00000000" w:rsidRDefault="00000000">
      <w:pPr>
        <w:spacing w:after="240"/>
      </w:pPr>
      <w:r>
        <w:t>65.</w:t>
      </w:r>
      <w:r>
        <w:tab/>
        <w:t>El sistema educativo debe así garantizar la instauración de una sociedad democrática, profundamente apegada a su identidad cultural, abierta a la modernidad e inspirada por los ideales humanistas y los principios universales de libertad, justicia social y derechos humanos.</w:t>
      </w:r>
    </w:p>
    <w:p w:rsidR="00000000" w:rsidRDefault="00000000">
      <w:pPr>
        <w:spacing w:after="240"/>
      </w:pPr>
      <w:r>
        <w:t>66.</w:t>
      </w:r>
      <w:r>
        <w:tab/>
        <w:t>Para mejorar las estadísticas sobre la escolarización que denotan el bajo nivel de acceso al sistema educativo y la distribución desigual por sexo y zona geográfica, el programa decenal de apoyo a la reforma educativa aprobado en 2002 por el Gobierno aspira, entre otras cosas, a promover la escolarización de las niñas.</w:t>
      </w:r>
    </w:p>
    <w:p w:rsidR="00000000" w:rsidRDefault="00000000">
      <w:pPr>
        <w:keepNext/>
        <w:keepLines/>
        <w:spacing w:after="240"/>
      </w:pPr>
      <w:r>
        <w:t>67.</w:t>
      </w:r>
      <w:r>
        <w:tab/>
        <w:t>Esta política gubernamental de promoción de la escolarización de las niñas es una estrategia para vencer ciertos factores culturales que violan su derecho a la educación.  Su objetivo es garantizar el ejercicio de todos los derechos consagrados en la Convención, en pie de igualdad y sin discriminación racial alguna.</w:t>
      </w:r>
    </w:p>
    <w:p w:rsidR="00000000" w:rsidRDefault="00000000">
      <w:pPr>
        <w:spacing w:after="240"/>
        <w:ind w:left="567"/>
        <w:rPr>
          <w:i/>
        </w:rPr>
      </w:pPr>
      <w:r>
        <w:rPr>
          <w:b/>
        </w:rPr>
        <w:t>b)</w:t>
      </w:r>
      <w:r>
        <w:rPr>
          <w:b/>
        </w:rPr>
        <w:tab/>
        <w:t>Ley sobre el derecho al empleo</w:t>
      </w:r>
    </w:p>
    <w:p w:rsidR="00000000" w:rsidRDefault="00000000">
      <w:pPr>
        <w:spacing w:after="240"/>
        <w:ind w:left="567"/>
        <w:rPr>
          <w:i/>
        </w:rPr>
      </w:pPr>
      <w:r>
        <w:rPr>
          <w:i/>
        </w:rPr>
        <w:t>i)</w:t>
      </w:r>
      <w:r>
        <w:rPr>
          <w:i/>
        </w:rPr>
        <w:tab/>
        <w:t>En la administración pública</w:t>
      </w:r>
    </w:p>
    <w:p w:rsidR="00000000" w:rsidRDefault="00000000">
      <w:pPr>
        <w:spacing w:after="240"/>
      </w:pPr>
      <w:r>
        <w:t>68.</w:t>
      </w:r>
      <w:r>
        <w:tab/>
        <w:t>El estatuto de la función pública se reformó por la Ley Nº 17/PR/01, de 31 de diciembre de 2001, que reemplaza al antiguo estatuto de 1986 aprobado por la Ordenanza Nº 15/PR/86, de 20 de septiembre de 1986.  En su artículo 5, el nuevo estatuto general de la función pública dispone que:  "Todos los ciudadanos podrán acceder a un empleo en la administración pública, en pie de igualdad y sin distinción de género, religión, origen, raza, opinión, opinión política, ni posición social... ".  Para garantizar la igualdad de acceso a todos los chadianos, se estableció la contratación por concurso en la función pública, de conformidad con las siguientes disposiciones del artículo 41:  "La contratación se efectúa por concurso.  Sin embargo, para responder a necesidades específicas y claramente identificadas y, en particular, en empleos altamente técnicos para los cuales el número de candidatos se ha revelado inferior al número de vacantes, se ha previsto una modalidad de contratación por puesto.  Las condiciones y las modalidades de este tipo de contratación están definidas en un decreto del Consejo de Ministros".</w:t>
      </w:r>
    </w:p>
    <w:p w:rsidR="00000000" w:rsidRDefault="00000000">
      <w:pPr>
        <w:spacing w:after="240"/>
      </w:pPr>
      <w:r>
        <w:t>69.</w:t>
      </w:r>
      <w:r>
        <w:tab/>
        <w:t>Asimismo, se reconoce a los funcionarios la libertad de opinión y se prohíbe su discriminación por motivos de sexo u opiniones políticas, sindicales, filosóficas o religiosas.  Sin embargo, se les pide que no expresen sus opiniones filosóficas o religiosas en el trabajo.  Además, esas opiniones no deben figurar en el expediente del funcionario (art. 10).  El Estado no podrá tomar en cuenta la pertenencia a una organización sindical, política, filosófica, religiosa o corporativa para tomar medidas disciplinarias contra el funcionario.</w:t>
      </w:r>
    </w:p>
    <w:p w:rsidR="00000000" w:rsidRDefault="00000000">
      <w:pPr>
        <w:spacing w:after="240"/>
      </w:pPr>
      <w:r>
        <w:t>70.</w:t>
      </w:r>
      <w:r>
        <w:tab/>
        <w:t>En virtud de los artículos 41 y 43 de la misma ley, la contratación se lleva a cabo mediante un concurso cuyas modalidades de organización se determinan por decreto del Consejo de Ministros.  Sin embargo, se ha previsto una modalidad de contratación por puesto para atender necesidades ocasionales y claramente identificadas, en particular para puestos altamente especializados y para los cuales el número de candidatos es menor que el de vacantes.</w:t>
      </w:r>
    </w:p>
    <w:p w:rsidR="00000000" w:rsidRDefault="00000000">
      <w:pPr>
        <w:spacing w:after="240"/>
      </w:pPr>
      <w:r>
        <w:t>71.</w:t>
      </w:r>
      <w:r>
        <w:tab/>
        <w:t>Según el artículo 42, además, en cada concurso se establece una lista por orden de mérito de los candidatos admitidos por el jurado.  Este jurado crea, en el mismo orden, una lista complementaria o una lista de espera para permitir la sustitución automática de los candidatos de la lista principal en caso de cancelación.</w:t>
      </w:r>
    </w:p>
    <w:p w:rsidR="00000000" w:rsidRDefault="00000000">
      <w:pPr>
        <w:spacing w:after="240"/>
        <w:ind w:left="567"/>
        <w:rPr>
          <w:i/>
        </w:rPr>
      </w:pPr>
      <w:r>
        <w:rPr>
          <w:i/>
        </w:rPr>
        <w:t>ii)</w:t>
      </w:r>
      <w:r>
        <w:rPr>
          <w:i/>
        </w:rPr>
        <w:tab/>
        <w:t>En el sector privado o paraestatal</w:t>
      </w:r>
    </w:p>
    <w:p w:rsidR="00000000" w:rsidRDefault="00000000">
      <w:pPr>
        <w:spacing w:after="240"/>
      </w:pPr>
      <w:r>
        <w:t>72.</w:t>
      </w:r>
      <w:r>
        <w:tab/>
        <w:t>El sector privado se rige por la Ley Nº 038/PR/96, de 11 de diciembre de 1996, que promulgó el Código del Trabajo.  Se considera trabajador o empleado, en virtud del artículo 3 de esa ley, a toda persona física, cualesquiera que sean su sexo y nacionalidad, que se ha comprometido a desplegar su actividad profesional, a cambio de una remuneración, bajo la dirección y la autoridad de una persona física llamada empleador.</w:t>
      </w:r>
    </w:p>
    <w:p w:rsidR="00000000" w:rsidRDefault="00000000">
      <w:pPr>
        <w:spacing w:after="240"/>
      </w:pPr>
      <w:r>
        <w:t>73.</w:t>
      </w:r>
      <w:r>
        <w:tab/>
        <w:t>El artículo 6 añade que ningún empleador podrá tener en cuenta el sexo, la edad o la nacionalidad de los trabajadores para tomar decisiones sobre la contratación, la realización y la distribución del trabajo, la formación profesional, el ascenso, la promoción, la remuneración, la concesión de prestaciones sociales, la disciplina o la rescisión del contrato de trabajo, salvo "disposición expresa del presente Código o de otro texto legislativo o reglamentario que proteja a las mujeres y los niños o disposiciones relativas a la condición de los extranjeros".</w:t>
      </w:r>
    </w:p>
    <w:p w:rsidR="00000000" w:rsidRDefault="00000000">
      <w:pPr>
        <w:spacing w:after="240"/>
      </w:pPr>
      <w:r>
        <w:t>74.</w:t>
      </w:r>
      <w:r>
        <w:tab/>
        <w:t>Por su parte el artículo 7 estipula que "para adoptar las decisiones previstas en el artículo 6, el empleador no podrá tener en cuenta la afiliación o no a un sindicato, la actividad sindical, el origen, ni las opiniones, en especial religiosas y políticas, del trabajador".</w:t>
      </w:r>
    </w:p>
    <w:p w:rsidR="00000000" w:rsidRDefault="00000000">
      <w:pPr>
        <w:spacing w:after="240"/>
      </w:pPr>
      <w:r>
        <w:t>75.</w:t>
      </w:r>
      <w:r>
        <w:tab/>
        <w:t>El convenio colectivo general de 12 de diciembre de 2002, en su artículo 9, garantiza a los trabajadores del sector privado la libertad de opinión y el derecho a adherirse a un sindicato constituido de conformidad con la ley.  A tal efecto, los empleadores se comprometen a:</w:t>
      </w:r>
    </w:p>
    <w:p w:rsidR="00000000" w:rsidRDefault="00000000">
      <w:pPr>
        <w:spacing w:after="240"/>
        <w:ind w:left="1134" w:hanging="567"/>
      </w:pPr>
      <w:r>
        <w:t>a)</w:t>
      </w:r>
      <w:r>
        <w:tab/>
        <w:t>No tener en cuenta la afiliación o no a un sindicato, ni el desempeño de cargos de responsabilidad en él;</w:t>
      </w:r>
    </w:p>
    <w:p w:rsidR="00000000" w:rsidRDefault="00000000">
      <w:pPr>
        <w:spacing w:after="240"/>
        <w:ind w:left="1134" w:hanging="567"/>
      </w:pPr>
      <w:r>
        <w:t>b)</w:t>
      </w:r>
      <w:r>
        <w:tab/>
        <w:t>No tener en cuenta las opiniones políticas o filosóficas ni los orígenes sociales, raciales, nacionales, tribales u otros de los trabajadores para tomar decisiones en materia de contratación, realización u organización del trabajo, medidas disciplinarias en materia de remuneración, despido o promoción, la concesión de prestaciones sociales y la formación profesional;</w:t>
      </w:r>
    </w:p>
    <w:p w:rsidR="00000000" w:rsidRDefault="00000000">
      <w:pPr>
        <w:spacing w:after="240"/>
        <w:ind w:left="1134" w:hanging="567"/>
      </w:pPr>
      <w:r>
        <w:t>c)</w:t>
      </w:r>
      <w:r>
        <w:tab/>
        <w:t>No ejercer presión ni tomar medidas discriminatorias en favor o en contra de los miembros de una organización sindical.</w:t>
      </w:r>
    </w:p>
    <w:p w:rsidR="00000000" w:rsidRDefault="00000000">
      <w:pPr>
        <w:spacing w:after="240"/>
        <w:rPr>
          <w:b/>
        </w:rPr>
      </w:pPr>
      <w:r>
        <w:rPr>
          <w:b/>
        </w:rPr>
        <w:t>3.</w:t>
      </w:r>
      <w:r>
        <w:rPr>
          <w:b/>
        </w:rPr>
        <w:tab/>
        <w:t>Leyes que rigen la actividad de los medios de comunicación en el Chad</w:t>
      </w:r>
    </w:p>
    <w:p w:rsidR="00000000" w:rsidRDefault="00000000">
      <w:pPr>
        <w:spacing w:after="240"/>
      </w:pPr>
      <w:r>
        <w:t>76.</w:t>
      </w:r>
      <w:r>
        <w:tab/>
        <w:t>La actividad de los medios de comunicación se rige por tres leyes diferentes, a saber, la Ley sobre el régimen de la prensa, la Ley sobre la comunicación audiovisual y la Ley sobre la creación del Consejo Superior de la Comunicación.</w:t>
      </w:r>
    </w:p>
    <w:p w:rsidR="00000000" w:rsidRDefault="00000000">
      <w:pPr>
        <w:spacing w:after="240"/>
      </w:pPr>
      <w:r>
        <w:t>77.</w:t>
      </w:r>
      <w:r>
        <w:tab/>
        <w:t>La Ley Nº 29/PR/94, sobre el régimen de la prensa, de 22 de agosto de 1994, establece, en su artículo 1, que "se reconoce a todos los ciudadanos la libertad de expresar ideas y opiniones por todos los medios de comunicación; el derecho a la información es uno de los derechos inalienables del ciudadano".  El artículo 2 consagra la libertad de la prensa y la imprenta.</w:t>
      </w:r>
    </w:p>
    <w:p w:rsidR="00000000" w:rsidRDefault="00000000">
      <w:pPr>
        <w:spacing w:after="240"/>
      </w:pPr>
      <w:r>
        <w:t>78.</w:t>
      </w:r>
      <w:r>
        <w:tab/>
        <w:t>En esta ley se define además la calidad de periodista, periodista independiente, corresponsal de prensa y órgano de información.  El artículo 12 determina las características de la tarjeta de periodista profesional que facilita a éste el ejercicio de su profesión.</w:t>
      </w:r>
    </w:p>
    <w:p w:rsidR="00000000" w:rsidRDefault="00000000">
      <w:pPr>
        <w:spacing w:after="240"/>
      </w:pPr>
      <w:r>
        <w:t>79.</w:t>
      </w:r>
      <w:r>
        <w:tab/>
        <w:t>La publicación de un diario u otro órgano de prensa periódico no necesita autorización previa ni garantía alguna, pero debe ser objeto de una declaración al ministerio público.  El director de la publicación y todos los colaboradores son responsables de los delitos de prensa que su órgano pueda cometer.</w:t>
      </w:r>
    </w:p>
    <w:p w:rsidR="00000000" w:rsidRDefault="00000000">
      <w:pPr>
        <w:spacing w:after="240"/>
      </w:pPr>
      <w:r>
        <w:t>80.</w:t>
      </w:r>
      <w:r>
        <w:tab/>
        <w:t>En su artículo 47, la Ley Nº 29 reprime la difamación de un grupo de personas pertenecientes a una etnia, región o religión con el fin de suscitar el odio tribal o religioso o incitar a la violencia entre personas.</w:t>
      </w:r>
    </w:p>
    <w:p w:rsidR="00000000" w:rsidRDefault="00000000">
      <w:pPr>
        <w:spacing w:after="240"/>
      </w:pPr>
      <w:r>
        <w:t>81.</w:t>
      </w:r>
      <w:r>
        <w:tab/>
        <w:t>A causa de la gravedad de este delito, el ministerio público podrá actuar de oficio, mientras que sólo actuará a instancia de parte si se difama a una persona.  La sanción es una pena de uno a tres años de cárcel más una multa de 100.000 a 500.000 francos CFA.</w:t>
      </w:r>
    </w:p>
    <w:p w:rsidR="00000000" w:rsidRDefault="00000000">
      <w:pPr>
        <w:spacing w:after="240"/>
      </w:pPr>
      <w:r>
        <w:t>82.</w:t>
      </w:r>
      <w:r>
        <w:tab/>
        <w:t>La comunicación audiovisual se rige por la Ley Nº 43/PR/94, de 8 de noviembre de 1994.  Esta ley consagra la libertad de la comunicación audiovisual (art. 1).  Las empresas de comunicación audiovisual públicas y privadas gozan de libertad de expresión y deciden libremente su programación (art. 19).</w:t>
      </w:r>
    </w:p>
    <w:p w:rsidR="00000000" w:rsidRDefault="00000000">
      <w:pPr>
        <w:spacing w:after="240"/>
      </w:pPr>
      <w:r>
        <w:t>83.</w:t>
      </w:r>
      <w:r>
        <w:tab/>
        <w:t>El Consejo Superior de la Comunicación, órgano constitucional creado por la Ley Nº 12/PR/94, de 9 de abril de 1994, tiene por misión garantizar la libertad y la protección de la prensa y de todos los medios de comunicación de masa, la independencia de los medios de comunicación públicos, el libre acceso a las fuentes de información y el acceso racional y equitativo de los partidos políticos, los sindicatos, las asociaciones y los ciudadanos a los medios públicos de información y de comunicación.  Además, debe velar por el respeto de la deontología y la expresión pluralista de las corrientes de pensamiento y opinión en la prensa y en la comunicación audiovisual.  Así, decide en los casos de violación del código de deontología profesional, previa denuncia de los particulares o del Estado.</w:t>
      </w:r>
    </w:p>
    <w:p w:rsidR="00000000" w:rsidRDefault="00000000">
      <w:pPr>
        <w:spacing w:after="240"/>
      </w:pPr>
      <w:r>
        <w:t>84.</w:t>
      </w:r>
      <w:r>
        <w:tab/>
        <w:t>El Consejo Superior de la Comunicación administra el fondo de ayuda a la prensa creado por la ley para contribuir a la libertad de expresión y lo distribuye equitativamente entre todos los órganos de la prensa escrita y audiovisual.</w:t>
      </w:r>
    </w:p>
    <w:p w:rsidR="00000000" w:rsidRDefault="00000000">
      <w:pPr>
        <w:spacing w:after="240"/>
        <w:rPr>
          <w:b/>
        </w:rPr>
      </w:pPr>
      <w:r>
        <w:rPr>
          <w:b/>
        </w:rPr>
        <w:t>4.</w:t>
      </w:r>
      <w:r>
        <w:rPr>
          <w:b/>
        </w:rPr>
        <w:tab/>
        <w:t>Leyes sobre el derecho a un recurso ante los tribunales</w:t>
      </w:r>
    </w:p>
    <w:p w:rsidR="00000000" w:rsidRDefault="00000000">
      <w:pPr>
        <w:spacing w:after="240"/>
      </w:pPr>
      <w:r>
        <w:t>85.</w:t>
      </w:r>
      <w:r>
        <w:tab/>
        <w:t>Al disponer, en su artículo 14 que el Estado garantiza a todos la igualdad ante la ley sin distinción de raza, sexo, religión, opinión pública o posición social y en su artículo 144 que las decisiones judiciales se pronuncian en nombre del pueblo chadiano, la Constitución reconoce a todos los ciudadanos el acceso a los tribunales sin discriminación de ningún tipo.  Además, toda persona víctima de una discriminación o de cualquier otro perjuicio puede obtener reparación ante los tribunales.</w:t>
      </w:r>
    </w:p>
    <w:p w:rsidR="00000000" w:rsidRDefault="00000000">
      <w:pPr>
        <w:spacing w:after="240"/>
        <w:rPr>
          <w:b/>
        </w:rPr>
      </w:pPr>
      <w:r>
        <w:rPr>
          <w:b/>
        </w:rPr>
        <w:t>5.</w:t>
      </w:r>
      <w:r>
        <w:rPr>
          <w:b/>
        </w:rPr>
        <w:tab/>
        <w:t>Código de Procedimiento Civil</w:t>
      </w:r>
    </w:p>
    <w:p w:rsidR="00000000" w:rsidRDefault="00000000">
      <w:pPr>
        <w:spacing w:after="240"/>
      </w:pPr>
      <w:r>
        <w:t>86.</w:t>
      </w:r>
      <w:r>
        <w:tab/>
        <w:t>En primera instancia, los juicios en materia civil competen a los tribunales de primera instancia y los jueces de paz.</w:t>
      </w:r>
    </w:p>
    <w:p w:rsidR="00000000" w:rsidRDefault="00000000">
      <w:pPr>
        <w:keepNext/>
        <w:keepLines/>
        <w:spacing w:after="240"/>
      </w:pPr>
      <w:r>
        <w:t>87.</w:t>
      </w:r>
      <w:r>
        <w:tab/>
        <w:t>El procedimiento civil se rige por el Código Civil, promulgado el 9 de junio de 1967.  En su artículo 6, el Código establece lo siguiente:  "Puede iniciar una acción civil todo aquel que haya sufrido personalmente un daño directo causado por una infracción".  Además, en su artículo 1 precisa que la parte agraviada puede entablar una acción pública.</w:t>
      </w:r>
    </w:p>
    <w:p w:rsidR="00000000" w:rsidRDefault="00000000">
      <w:pPr>
        <w:spacing w:after="240"/>
      </w:pPr>
      <w:r>
        <w:t>88.</w:t>
      </w:r>
      <w:r>
        <w:tab/>
        <w:t xml:space="preserve">De igual modo se reconoce a todos el derecho de presentar un recurso ante los tribunales, se reconoce asimismo el derecho de ejercer las diferentes vías de recurso previstas contra una decisión insatisfactoria o pronunciada en rebeldía.  Las vías de recurso son: </w:t>
      </w:r>
    </w:p>
    <w:p w:rsidR="00000000" w:rsidRDefault="00000000">
      <w:pPr>
        <w:spacing w:after="240"/>
        <w:ind w:left="1134" w:hanging="567"/>
      </w:pPr>
      <w:r>
        <w:t>a)</w:t>
      </w:r>
      <w:r>
        <w:tab/>
        <w:t>Oposición a la sentencia dictada en rebeldía;</w:t>
      </w:r>
    </w:p>
    <w:p w:rsidR="00000000" w:rsidRDefault="00000000">
      <w:pPr>
        <w:spacing w:after="240"/>
        <w:ind w:left="1134" w:hanging="567"/>
      </w:pPr>
      <w:r>
        <w:t>b)</w:t>
      </w:r>
      <w:r>
        <w:tab/>
        <w:t>Apelación;</w:t>
      </w:r>
    </w:p>
    <w:p w:rsidR="00000000" w:rsidRDefault="00000000">
      <w:pPr>
        <w:spacing w:after="240"/>
        <w:ind w:left="1134" w:hanging="567"/>
      </w:pPr>
      <w:r>
        <w:t>c)</w:t>
      </w:r>
      <w:r>
        <w:tab/>
        <w:t>Solicitud de revisión;</w:t>
      </w:r>
    </w:p>
    <w:p w:rsidR="00000000" w:rsidRDefault="00000000">
      <w:pPr>
        <w:spacing w:after="240"/>
        <w:ind w:left="1134" w:hanging="567"/>
      </w:pPr>
      <w:r>
        <w:t>d)</w:t>
      </w:r>
      <w:r>
        <w:tab/>
        <w:t>Recurso de casación.</w:t>
      </w:r>
    </w:p>
    <w:p w:rsidR="00000000" w:rsidRDefault="00000000">
      <w:pPr>
        <w:spacing w:after="240"/>
      </w:pPr>
      <w:r>
        <w:t>89.</w:t>
      </w:r>
      <w:r>
        <w:tab/>
        <w:t>El Tribunal de Apelación examina los recursos y la casación compete a la Sala Judicial del Tribunal Supremo.</w:t>
      </w:r>
    </w:p>
    <w:p w:rsidR="00000000" w:rsidRDefault="00000000">
      <w:pPr>
        <w:spacing w:after="240"/>
        <w:rPr>
          <w:b/>
        </w:rPr>
      </w:pPr>
      <w:r>
        <w:rPr>
          <w:b/>
        </w:rPr>
        <w:t>6.</w:t>
      </w:r>
      <w:r>
        <w:rPr>
          <w:b/>
        </w:rPr>
        <w:tab/>
        <w:t>Código de Procedimiento Penal</w:t>
      </w:r>
    </w:p>
    <w:p w:rsidR="00000000" w:rsidRDefault="00000000">
      <w:pPr>
        <w:spacing w:after="240"/>
      </w:pPr>
      <w:r>
        <w:t>90.</w:t>
      </w:r>
      <w:r>
        <w:tab/>
        <w:t>En materia penal, las instancias competentes son los jueces de paz, los tribunales de primera instancia y los tribunales penales.</w:t>
      </w:r>
    </w:p>
    <w:p w:rsidR="00000000" w:rsidRDefault="00000000">
      <w:pPr>
        <w:spacing w:after="240"/>
      </w:pPr>
      <w:r>
        <w:t>91.</w:t>
      </w:r>
      <w:r>
        <w:tab/>
        <w:t>El procedimiento penal se rige por el Código de Procedimientos Penal, promulgado por la Ordenanza Nº 013-PR-MJ, de 9 de junio de 1967.  De acuerdo con su artículo 1, los magistrados o los funcionarios designados por la ley inician y ejercen la acción pública para la aplicación de penas.  También puede entablar la acción la parte agraviada.</w:t>
      </w:r>
    </w:p>
    <w:p w:rsidR="00000000" w:rsidRDefault="00000000">
      <w:pPr>
        <w:spacing w:after="240"/>
      </w:pPr>
      <w:r>
        <w:t>92.</w:t>
      </w:r>
      <w:r>
        <w:tab/>
        <w:t>Las personas que han sufrido personalmente el daño directamente causado por la infracción entablan una acción civil (art. 6).  La acción civil y la acción penal se pueden ejercer simultáneamente ante el mismo tribunal (art. 7).</w:t>
      </w:r>
    </w:p>
    <w:p w:rsidR="00000000" w:rsidRDefault="00000000">
      <w:pPr>
        <w:spacing w:after="240"/>
      </w:pPr>
      <w:r>
        <w:t>93.</w:t>
      </w:r>
      <w:r>
        <w:tab/>
        <w:t>Las partes agraviadas pueden renunciar a la acción civil, pero esta renuncia no puede detener ni suspender la acción penal, salvo cuando por ley sólo sea incoable a instancia de parte (art. 12), como sucede con la difamación o el adulterio.</w:t>
      </w:r>
    </w:p>
    <w:p w:rsidR="00000000" w:rsidRDefault="00000000">
      <w:pPr>
        <w:spacing w:after="240"/>
        <w:rPr>
          <w:b/>
        </w:rPr>
      </w:pPr>
      <w:r>
        <w:rPr>
          <w:b/>
        </w:rPr>
        <w:t>7.</w:t>
      </w:r>
      <w:r>
        <w:rPr>
          <w:b/>
        </w:rPr>
        <w:tab/>
        <w:t>Ley orgánica de la judicatura</w:t>
      </w:r>
    </w:p>
    <w:p w:rsidR="00000000" w:rsidRDefault="00000000">
      <w:pPr>
        <w:spacing w:after="240"/>
      </w:pPr>
      <w:r>
        <w:t>94.</w:t>
      </w:r>
      <w:r>
        <w:tab/>
        <w:t>La organización judicial en el Chad se rige por la Ley Nº 004/PR/98, de 28 de mayo de 1998.  Según su artículo 1, el sistema judicial de la República del Chad está compuesto de los órganos siguientes:  el Tribunal Supremo, los tribunales de apelación, los tribunales penales, los tribunales de primera instancia, los tribunales del trabajo, los tribunales del comercio, los juzgados de paz.  Esas instancias entienden en todos los asuntos civiles, comerciales, administrativos, sociales y penales.</w:t>
      </w:r>
    </w:p>
    <w:p w:rsidR="00000000" w:rsidRDefault="00000000">
      <w:pPr>
        <w:keepNext/>
        <w:keepLines/>
        <w:spacing w:after="240"/>
      </w:pPr>
      <w:r>
        <w:t>95.</w:t>
      </w:r>
      <w:r>
        <w:tab/>
        <w:t>La justicia se dicta en nombre del pueblo chadiano y sólo las instancias previstas por la ley pueden pronunciar condenas.  Se exige que todas las sentencias, decisiones y mandatos de justicia así como las copias ejecutoriadas y certificaciones de contratos y de todos los actos de ejecución forzada vayan precedidos por las palabras:</w:t>
      </w:r>
    </w:p>
    <w:p w:rsidR="00000000" w:rsidRDefault="00000000">
      <w:pPr>
        <w:keepNext/>
        <w:keepLines/>
        <w:spacing w:after="240"/>
        <w:ind w:left="567"/>
      </w:pPr>
      <w:r>
        <w:t>"República del Chad"</w:t>
      </w:r>
    </w:p>
    <w:p w:rsidR="00000000" w:rsidRDefault="00000000">
      <w:pPr>
        <w:spacing w:after="240"/>
        <w:ind w:left="567"/>
      </w:pPr>
      <w:r>
        <w:t>"En nombre del pueblo chadiano"</w:t>
      </w:r>
    </w:p>
    <w:p w:rsidR="00000000" w:rsidRDefault="00000000">
      <w:pPr>
        <w:spacing w:after="240"/>
      </w:pPr>
      <w:r>
        <w:t>96.</w:t>
      </w:r>
      <w:r>
        <w:tab/>
        <w:t>Ello pone claramente de manifiesto que la justicia está al servicio del pueblo a través de su sistema judicial.  Así, con miras a facilitar a todos el acceso a la justicia, en la misma ley se prevé la creación de otros tribunales de apelación además del Tribunal de Apelación de N'Djaména.  El 21 de septiembre de 2004, el Gobierno creó otros dos tribunales de apelación en las ciudades de Abéché y de Moundou.  Además, las antiguas secciones de los tribunales de primera instancia pasaron a ser tribunales, lo que aumentó a 20 el número de tribunales de primera instancia en el conjunto del territorio.</w:t>
      </w:r>
    </w:p>
    <w:p w:rsidR="00000000" w:rsidRDefault="00000000">
      <w:pPr>
        <w:spacing w:after="240"/>
      </w:pPr>
      <w:r>
        <w:t>97.</w:t>
      </w:r>
      <w:r>
        <w:tab/>
        <w:t xml:space="preserve">Las diferentes medidas adoptadas para acercar la justicia a la población y fortalecer su capacidad de acción constituye la respuesta a las recomendaciones del Comité, que en sus sesiones 1060ª y 1025ª insistió particularmente en el fortalecimiento del aparato judicial, condición </w:t>
      </w:r>
      <w:r>
        <w:rPr>
          <w:i/>
        </w:rPr>
        <w:t>sine qua non</w:t>
      </w:r>
      <w:r>
        <w:t xml:space="preserve"> para el restablecimiento del estado de derecho (véase A/50/18, párr. 666).</w:t>
      </w:r>
    </w:p>
    <w:p w:rsidR="00000000" w:rsidRDefault="00000000">
      <w:pPr>
        <w:spacing w:after="240"/>
      </w:pPr>
      <w:r>
        <w:t>98.</w:t>
      </w:r>
      <w:r>
        <w:tab/>
        <w:t>De hecho, en 2003 se convocó la Asamblea General de la justicia a causa del funcionamiento deficiente del aparato judicial.  Cabe congratularse de que en el orden del día de esa reunión se hayan inscrito muchas de las preocupaciones expresadas por el Comité en 1993, 1994 y 1995, y que se las haya debatido exhaustiva y libremente, sin complacencia.  Los participantes señalaron entre otros fallos de la justicia, los siguientes:</w:t>
      </w:r>
    </w:p>
    <w:p w:rsidR="00000000" w:rsidRDefault="00000000">
      <w:pPr>
        <w:spacing w:after="240"/>
        <w:ind w:left="924" w:hanging="357"/>
      </w:pPr>
      <w:r>
        <w:t>-</w:t>
      </w:r>
      <w:r>
        <w:tab/>
        <w:t>La politización de la justicia y, en particular, la inobservancia de las incompatibilidades previstas en el estatuto y del procedimiento de nombramiento y acceso a los puestos de responsabilidad;</w:t>
      </w:r>
    </w:p>
    <w:p w:rsidR="00000000" w:rsidRDefault="00000000">
      <w:pPr>
        <w:spacing w:after="240"/>
        <w:ind w:left="924" w:hanging="357"/>
      </w:pPr>
      <w:r>
        <w:t>-</w:t>
      </w:r>
      <w:r>
        <w:tab/>
        <w:t>La injerencia del poder ejecutivo en el funcionamiento del poder judicial;</w:t>
      </w:r>
    </w:p>
    <w:p w:rsidR="00000000" w:rsidRDefault="00000000">
      <w:pPr>
        <w:spacing w:after="240"/>
        <w:ind w:left="924" w:hanging="357"/>
      </w:pPr>
      <w:r>
        <w:t>-</w:t>
      </w:r>
      <w:r>
        <w:tab/>
        <w:t xml:space="preserve">La parálisis del sistema judicial por la falta de medios de los tribunales; </w:t>
      </w:r>
    </w:p>
    <w:p w:rsidR="00000000" w:rsidRDefault="00000000">
      <w:pPr>
        <w:spacing w:after="240"/>
        <w:ind w:left="924" w:hanging="357"/>
      </w:pPr>
      <w:r>
        <w:t>-</w:t>
      </w:r>
      <w:r>
        <w:tab/>
        <w:t xml:space="preserve">La impunidad alimentada por el poder; </w:t>
      </w:r>
    </w:p>
    <w:p w:rsidR="00000000" w:rsidRDefault="00000000">
      <w:pPr>
        <w:spacing w:after="240"/>
        <w:ind w:left="924" w:hanging="357"/>
      </w:pPr>
      <w:r>
        <w:t>-</w:t>
      </w:r>
      <w:r>
        <w:tab/>
        <w:t>La injerencia de la costumbre en la justicia moderna;</w:t>
      </w:r>
    </w:p>
    <w:p w:rsidR="00000000" w:rsidRDefault="00000000">
      <w:pPr>
        <w:spacing w:after="240"/>
        <w:ind w:left="924" w:hanging="357"/>
      </w:pPr>
      <w:r>
        <w:t>-</w:t>
      </w:r>
      <w:r>
        <w:tab/>
        <w:t>La corrupción;</w:t>
      </w:r>
    </w:p>
    <w:p w:rsidR="00000000" w:rsidRDefault="00000000">
      <w:pPr>
        <w:spacing w:after="240"/>
        <w:ind w:left="924" w:hanging="357"/>
      </w:pPr>
      <w:r>
        <w:t>-</w:t>
      </w:r>
      <w:r>
        <w:tab/>
        <w:t>La crisis de confianza entre el ciudadano y la justicia;</w:t>
      </w:r>
    </w:p>
    <w:p w:rsidR="00000000" w:rsidRDefault="00000000">
      <w:pPr>
        <w:spacing w:after="240"/>
        <w:ind w:left="924" w:hanging="357"/>
      </w:pPr>
      <w:r>
        <w:t>-</w:t>
      </w:r>
      <w:r>
        <w:tab/>
        <w:t xml:space="preserve">La insuficiente formación del personal judicial que se caracteriza por una carencia total de especialización en las normas internacionales de derechos humanos; </w:t>
      </w:r>
    </w:p>
    <w:p w:rsidR="00000000" w:rsidRDefault="00000000">
      <w:pPr>
        <w:spacing w:after="240"/>
        <w:ind w:left="924" w:hanging="357"/>
      </w:pPr>
      <w:r>
        <w:t>-</w:t>
      </w:r>
      <w:r>
        <w:tab/>
        <w:t xml:space="preserve">La inseguridad en que viven los jueces. </w:t>
      </w:r>
    </w:p>
    <w:p w:rsidR="00000000" w:rsidRDefault="00000000">
      <w:pPr>
        <w:spacing w:after="240"/>
      </w:pPr>
      <w:r>
        <w:t>99.</w:t>
      </w:r>
      <w:r>
        <w:tab/>
        <w:t>El programa de reforma judicial elaborado sobre la base del documento de trabajo de la Asamblea General de la justicia fue aprobado por el Decreto Nº 065/PR/PM/MJ/2005, de 18 de febrero de 2005.  Se determinaron seis esferas principales de intervención, a saber:</w:t>
      </w:r>
    </w:p>
    <w:p w:rsidR="00000000" w:rsidRDefault="00000000">
      <w:pPr>
        <w:spacing w:after="240"/>
        <w:ind w:left="924" w:hanging="357"/>
      </w:pPr>
      <w:r>
        <w:t>-</w:t>
      </w:r>
      <w:r>
        <w:tab/>
        <w:t xml:space="preserve">La reforma y la revisión de los textos y la documentación; </w:t>
      </w:r>
    </w:p>
    <w:p w:rsidR="00000000" w:rsidRDefault="00000000">
      <w:pPr>
        <w:spacing w:after="240"/>
        <w:ind w:left="924" w:hanging="357"/>
      </w:pPr>
      <w:r>
        <w:t>-</w:t>
      </w:r>
      <w:r>
        <w:tab/>
        <w:t xml:space="preserve">El fortalecimiento de los tribunales en materia de recursos humanos; </w:t>
      </w:r>
    </w:p>
    <w:p w:rsidR="00000000" w:rsidRDefault="00000000">
      <w:pPr>
        <w:spacing w:after="240"/>
        <w:ind w:left="924" w:hanging="357"/>
      </w:pPr>
      <w:r>
        <w:t>-</w:t>
      </w:r>
      <w:r>
        <w:tab/>
        <w:t xml:space="preserve">La promoción y la protección de los derechos humanos; </w:t>
      </w:r>
    </w:p>
    <w:p w:rsidR="00000000" w:rsidRDefault="00000000">
      <w:pPr>
        <w:spacing w:after="240"/>
        <w:ind w:left="924" w:hanging="357"/>
      </w:pPr>
      <w:r>
        <w:t>-</w:t>
      </w:r>
      <w:r>
        <w:tab/>
        <w:t>La información, la educación y la comunicación;</w:t>
      </w:r>
    </w:p>
    <w:p w:rsidR="00000000" w:rsidRDefault="00000000">
      <w:pPr>
        <w:spacing w:after="240"/>
        <w:ind w:left="924" w:hanging="357"/>
      </w:pPr>
      <w:r>
        <w:t>-</w:t>
      </w:r>
      <w:r>
        <w:tab/>
        <w:t>La infraestructura y el equipo;</w:t>
      </w:r>
    </w:p>
    <w:p w:rsidR="00000000" w:rsidRDefault="00000000">
      <w:pPr>
        <w:spacing w:after="240"/>
        <w:ind w:left="924" w:hanging="357"/>
      </w:pPr>
      <w:r>
        <w:t>-</w:t>
      </w:r>
      <w:r>
        <w:tab/>
        <w:t>La lucha contra la corrupción y la impunidad;</w:t>
      </w:r>
    </w:p>
    <w:p w:rsidR="00000000" w:rsidRDefault="00000000">
      <w:pPr>
        <w:spacing w:after="240"/>
        <w:ind w:left="924" w:hanging="357"/>
      </w:pPr>
      <w:r>
        <w:t>-</w:t>
      </w:r>
      <w:r>
        <w:tab/>
        <w:t>La armonización del arsenal jurídico y judicial con los tratados de derechos humanos.</w:t>
      </w:r>
    </w:p>
    <w:p w:rsidR="00000000" w:rsidRDefault="00000000">
      <w:pPr>
        <w:spacing w:after="240"/>
      </w:pPr>
      <w:r>
        <w:t>100.</w:t>
      </w:r>
      <w:r>
        <w:tab/>
        <w:t>El coste total de esta reforma se estima en 16.997.437 francos CFA.  Varios donantes han expresado interés en acompañar el proceso de reforma.  Sus contribuciones y su esfera de interés se resumen en el siguiente cuadro: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2546"/>
        <w:gridCol w:w="1932"/>
        <w:gridCol w:w="5013"/>
      </w:tblGrid>
      <w:tr w:rsidR="00000000">
        <w:tc>
          <w:tcPr>
            <w:tcW w:w="1341" w:type="pct"/>
            <w:tcMar>
              <w:left w:w="68" w:type="dxa"/>
              <w:right w:w="68" w:type="dxa"/>
            </w:tcMar>
            <w:vAlign w:val="center"/>
          </w:tcPr>
          <w:p w:rsidR="00000000" w:rsidRDefault="00000000">
            <w:pPr>
              <w:jc w:val="center"/>
              <w:rPr>
                <w:b/>
                <w:iCs/>
              </w:rPr>
            </w:pPr>
            <w:r>
              <w:rPr>
                <w:b/>
                <w:iCs/>
              </w:rPr>
              <w:t>Asociados</w:t>
            </w:r>
          </w:p>
        </w:tc>
        <w:tc>
          <w:tcPr>
            <w:tcW w:w="1018" w:type="pct"/>
            <w:tcMar>
              <w:left w:w="68" w:type="dxa"/>
              <w:right w:w="68" w:type="dxa"/>
            </w:tcMar>
            <w:vAlign w:val="center"/>
          </w:tcPr>
          <w:p w:rsidR="00000000" w:rsidRDefault="00000000">
            <w:pPr>
              <w:jc w:val="center"/>
              <w:rPr>
                <w:b/>
                <w:iCs/>
              </w:rPr>
            </w:pPr>
            <w:r>
              <w:rPr>
                <w:b/>
                <w:iCs/>
              </w:rPr>
              <w:t>Monto de la contribución</w:t>
            </w:r>
          </w:p>
        </w:tc>
        <w:tc>
          <w:tcPr>
            <w:tcW w:w="2641" w:type="pct"/>
            <w:tcMar>
              <w:left w:w="68" w:type="dxa"/>
              <w:right w:w="68" w:type="dxa"/>
            </w:tcMar>
            <w:vAlign w:val="center"/>
          </w:tcPr>
          <w:p w:rsidR="00000000" w:rsidRDefault="00000000">
            <w:pPr>
              <w:jc w:val="center"/>
              <w:rPr>
                <w:b/>
                <w:iCs/>
              </w:rPr>
            </w:pPr>
            <w:r>
              <w:rPr>
                <w:b/>
                <w:iCs/>
              </w:rPr>
              <w:t>Campos de interés</w:t>
            </w:r>
          </w:p>
        </w:tc>
      </w:tr>
      <w:tr w:rsidR="00000000">
        <w:tc>
          <w:tcPr>
            <w:tcW w:w="1341" w:type="pct"/>
            <w:tcMar>
              <w:left w:w="68" w:type="dxa"/>
              <w:right w:w="68" w:type="dxa"/>
            </w:tcMar>
          </w:tcPr>
          <w:p w:rsidR="00000000" w:rsidRDefault="00000000">
            <w:r>
              <w:t>Embajada de los Estados Unidos de América</w:t>
            </w:r>
          </w:p>
        </w:tc>
        <w:tc>
          <w:tcPr>
            <w:tcW w:w="1018" w:type="pct"/>
            <w:tcMar>
              <w:left w:w="68" w:type="dxa"/>
              <w:right w:w="68" w:type="dxa"/>
            </w:tcMar>
          </w:tcPr>
          <w:p w:rsidR="00000000" w:rsidRDefault="00000000">
            <w:r>
              <w:t>105 millones</w:t>
            </w:r>
          </w:p>
        </w:tc>
        <w:tc>
          <w:tcPr>
            <w:tcW w:w="2641" w:type="pct"/>
            <w:tcMar>
              <w:left w:w="68" w:type="dxa"/>
              <w:right w:w="68" w:type="dxa"/>
            </w:tcMar>
          </w:tcPr>
          <w:p w:rsidR="00000000" w:rsidRDefault="00000000">
            <w:pPr>
              <w:tabs>
                <w:tab w:val="left" w:pos="309"/>
              </w:tabs>
              <w:spacing w:after="240"/>
            </w:pPr>
            <w:r>
              <w:t>­</w:t>
            </w:r>
            <w:r>
              <w:tab/>
              <w:t>Equipo (compra de máquinas);</w:t>
            </w:r>
          </w:p>
          <w:p w:rsidR="00000000" w:rsidRDefault="00000000">
            <w:pPr>
              <w:tabs>
                <w:tab w:val="left" w:pos="309"/>
              </w:tabs>
              <w:spacing w:after="240"/>
              <w:ind w:left="309" w:hanging="309"/>
            </w:pPr>
            <w:r>
              <w:t>­</w:t>
            </w:r>
            <w:r>
              <w:tab/>
              <w:t>Reproducción de documentos judiciales;</w:t>
            </w:r>
          </w:p>
          <w:p w:rsidR="00000000" w:rsidRDefault="00000000">
            <w:pPr>
              <w:tabs>
                <w:tab w:val="left" w:pos="309"/>
              </w:tabs>
              <w:ind w:left="306" w:hanging="306"/>
            </w:pPr>
            <w:r>
              <w:t>­</w:t>
            </w:r>
            <w:r>
              <w:tab/>
              <w:t xml:space="preserve">Formación de magistrados y de agentes de la policía judicial. </w:t>
            </w:r>
          </w:p>
        </w:tc>
      </w:tr>
      <w:tr w:rsidR="00000000">
        <w:tc>
          <w:tcPr>
            <w:tcW w:w="1341" w:type="pct"/>
            <w:tcMar>
              <w:left w:w="68" w:type="dxa"/>
              <w:right w:w="68" w:type="dxa"/>
            </w:tcMar>
          </w:tcPr>
          <w:p w:rsidR="00000000" w:rsidRDefault="00000000">
            <w:pPr>
              <w:rPr>
                <w:lang w:val="fr-FR"/>
              </w:rPr>
            </w:pPr>
            <w:r>
              <w:rPr>
                <w:lang w:val="fr-FR"/>
              </w:rPr>
              <w:t>Agence intergouvernementale de la Francophonie</w:t>
            </w:r>
          </w:p>
        </w:tc>
        <w:tc>
          <w:tcPr>
            <w:tcW w:w="1018" w:type="pct"/>
            <w:tcMar>
              <w:left w:w="68" w:type="dxa"/>
              <w:right w:w="68" w:type="dxa"/>
            </w:tcMar>
          </w:tcPr>
          <w:p w:rsidR="00000000" w:rsidRDefault="00000000">
            <w:r>
              <w:t>15 millones</w:t>
            </w:r>
          </w:p>
        </w:tc>
        <w:tc>
          <w:tcPr>
            <w:tcW w:w="2641" w:type="pct"/>
            <w:tcMar>
              <w:left w:w="68" w:type="dxa"/>
              <w:right w:w="68" w:type="dxa"/>
            </w:tcMar>
          </w:tcPr>
          <w:p w:rsidR="00000000" w:rsidRDefault="00000000">
            <w:pPr>
              <w:tabs>
                <w:tab w:val="left" w:pos="309"/>
              </w:tabs>
              <w:ind w:left="309" w:hanging="309"/>
            </w:pPr>
            <w:r>
              <w:t>­</w:t>
            </w:r>
            <w:r>
              <w:tab/>
              <w:t>Equipo (compra de seis ordenadores para apoyar a las oficinas judiciales).</w:t>
            </w:r>
          </w:p>
        </w:tc>
      </w:tr>
      <w:tr w:rsidR="00000000">
        <w:tc>
          <w:tcPr>
            <w:tcW w:w="1341" w:type="pct"/>
            <w:tcMar>
              <w:left w:w="68" w:type="dxa"/>
              <w:right w:w="68" w:type="dxa"/>
            </w:tcMar>
          </w:tcPr>
          <w:p w:rsidR="00000000" w:rsidRDefault="00000000">
            <w:r>
              <w:t>Proyecto PNUD/UE</w:t>
            </w:r>
          </w:p>
        </w:tc>
        <w:tc>
          <w:tcPr>
            <w:tcW w:w="1018" w:type="pct"/>
            <w:tcMar>
              <w:left w:w="68" w:type="dxa"/>
              <w:right w:w="68" w:type="dxa"/>
            </w:tcMar>
          </w:tcPr>
          <w:p w:rsidR="00000000" w:rsidRDefault="00000000">
            <w:r>
              <w:t>609.000 dólares de los EE.UU.</w:t>
            </w:r>
          </w:p>
        </w:tc>
        <w:tc>
          <w:tcPr>
            <w:tcW w:w="2641" w:type="pct"/>
            <w:tcMar>
              <w:left w:w="68" w:type="dxa"/>
              <w:right w:w="68" w:type="dxa"/>
            </w:tcMar>
          </w:tcPr>
          <w:p w:rsidR="00000000" w:rsidRDefault="00000000">
            <w:pPr>
              <w:tabs>
                <w:tab w:val="left" w:pos="309"/>
              </w:tabs>
              <w:spacing w:after="240"/>
              <w:ind w:left="306" w:hanging="306"/>
            </w:pPr>
            <w:r>
              <w:t>­</w:t>
            </w:r>
            <w:r>
              <w:tab/>
              <w:t>Apoyo al Tribunal de Apelación de Abéché y de Moundou;</w:t>
            </w:r>
          </w:p>
          <w:p w:rsidR="00000000" w:rsidRDefault="00000000">
            <w:pPr>
              <w:tabs>
                <w:tab w:val="left" w:pos="309"/>
              </w:tabs>
              <w:rPr>
                <w:lang w:val="fr-FR"/>
              </w:rPr>
            </w:pPr>
            <w:r>
              <w:rPr>
                <w:lang w:val="fr-FR"/>
              </w:rPr>
              <w:t>­</w:t>
            </w:r>
            <w:r>
              <w:rPr>
                <w:lang w:val="fr-FR"/>
              </w:rPr>
              <w:tab/>
              <w:t>Divulgación de textos.</w:t>
            </w:r>
          </w:p>
        </w:tc>
      </w:tr>
      <w:tr w:rsidR="00000000">
        <w:tc>
          <w:tcPr>
            <w:tcW w:w="1341" w:type="pct"/>
            <w:tcMar>
              <w:left w:w="68" w:type="dxa"/>
              <w:right w:w="68" w:type="dxa"/>
            </w:tcMar>
          </w:tcPr>
          <w:p w:rsidR="00000000" w:rsidRDefault="00000000">
            <w:r>
              <w:t>Apoyo del Banco Africano de Desarrollo (BAD)</w:t>
            </w:r>
          </w:p>
        </w:tc>
        <w:tc>
          <w:tcPr>
            <w:tcW w:w="1018" w:type="pct"/>
            <w:tcMar>
              <w:left w:w="68" w:type="dxa"/>
              <w:right w:w="68" w:type="dxa"/>
            </w:tcMar>
          </w:tcPr>
          <w:p w:rsidR="00000000" w:rsidRDefault="00000000">
            <w:r>
              <w:t>150 millones aproximadamente</w:t>
            </w:r>
          </w:p>
        </w:tc>
        <w:tc>
          <w:tcPr>
            <w:tcW w:w="2641" w:type="pct"/>
            <w:tcMar>
              <w:left w:w="68" w:type="dxa"/>
              <w:right w:w="68" w:type="dxa"/>
            </w:tcMar>
          </w:tcPr>
          <w:p w:rsidR="00000000" w:rsidRDefault="00000000">
            <w:pPr>
              <w:tabs>
                <w:tab w:val="left" w:pos="309"/>
              </w:tabs>
              <w:ind w:left="309" w:hanging="309"/>
            </w:pPr>
            <w:r>
              <w:t>­</w:t>
            </w:r>
            <w:r>
              <w:tab/>
              <w:t xml:space="preserve">Formación del personal judicial en el derecho de la Organización para la Armonización del Derecho mercantil en África en el marco de la lucha contra la delincuencia económica. </w:t>
            </w:r>
          </w:p>
        </w:tc>
      </w:tr>
    </w:tbl>
    <w:p w:rsidR="00000000" w:rsidRDefault="00000000">
      <w:pPr>
        <w:spacing w:before="240" w:after="480"/>
      </w:pPr>
      <w:r>
        <w:rPr>
          <w:i/>
        </w:rPr>
        <w:t>Fuente:</w:t>
      </w:r>
      <w:r>
        <w:t xml:space="preserve">  Comité de seguimiento de las recomendaciones de la Asamblea General de la justicia.</w:t>
      </w:r>
    </w:p>
    <w:p w:rsidR="00000000" w:rsidRDefault="00000000">
      <w:pPr>
        <w:spacing w:after="240"/>
      </w:pPr>
      <w:r>
        <w:t>101.</w:t>
      </w:r>
      <w:r>
        <w:tab/>
        <w:t>Este apoyo financiero ha permitido ejecutar cierto número de actividades, algunas de las cuales están en curso.  Respecto de las actividades cuya ejecución no tiene repercusiones financieras, se ha dirigido correspondencia a los servicios responsables.  Se han previsto misiones y contactos para evaluar los progresos en el marco de la aplicación de las recomendaciones de la Asamblea General de la justicia.</w:t>
      </w:r>
    </w:p>
    <w:p w:rsidR="00000000" w:rsidRDefault="00000000">
      <w:pPr>
        <w:spacing w:after="240"/>
        <w:rPr>
          <w:b/>
        </w:rPr>
      </w:pPr>
      <w:r>
        <w:rPr>
          <w:b/>
        </w:rPr>
        <w:t>8.</w:t>
      </w:r>
      <w:r>
        <w:rPr>
          <w:b/>
        </w:rPr>
        <w:tab/>
        <w:t>Ley orgánica y de funcionamiento del Consejo Constitucional</w:t>
      </w:r>
    </w:p>
    <w:p w:rsidR="00000000" w:rsidRDefault="00000000">
      <w:pPr>
        <w:spacing w:after="240"/>
      </w:pPr>
      <w:r>
        <w:t>102.</w:t>
      </w:r>
      <w:r>
        <w:tab/>
        <w:t>La Ley orgánica Nº 19/PR/98, de 2 de noviembre de 1998, sobre la organización y el funcionamiento del Consejo Constitucional rige los recursos contra la constitucionalidad de las leyes.  En principio, sólo pueden interponer este recurso el Presidente de la República, el Primer Ministro, el Presidente de la Asamblea Nacional y una décima parte de los miembros de la Asamblea Nacional (art. 18).</w:t>
      </w:r>
    </w:p>
    <w:p w:rsidR="00000000" w:rsidRDefault="00000000">
      <w:pPr>
        <w:spacing w:after="240"/>
      </w:pPr>
      <w:r>
        <w:t>103.</w:t>
      </w:r>
      <w:r>
        <w:tab/>
        <w:t>Excepcionalmente, la ley ofrece a los ciudadanos la posibilidad de presentar el recurso de inconstitucionalidad ante un tribunal en un asunto que les ataña.  En tal caso, la instancia correspondiente se abstiene y somete el asunto al Consejo Constitucional, que debe pronunciarse en un plazo máximo de 45 días (art. 19).</w:t>
      </w:r>
    </w:p>
    <w:p w:rsidR="00000000" w:rsidRDefault="00000000">
      <w:pPr>
        <w:spacing w:after="240"/>
      </w:pPr>
      <w:r>
        <w:t>104.</w:t>
      </w:r>
      <w:r>
        <w:tab/>
        <w:t xml:space="preserve">También puede apelar al Consejo Constitucional todo ciudadano que se haya presentado como candidato o todo partido político que haya presentado una lista de candidatos cuando se impugne una candidatura o los resultados de una elección (art. 20). </w:t>
      </w:r>
    </w:p>
    <w:p w:rsidR="00000000" w:rsidRDefault="00000000">
      <w:pPr>
        <w:spacing w:after="240"/>
        <w:rPr>
          <w:b/>
        </w:rPr>
      </w:pPr>
      <w:r>
        <w:rPr>
          <w:b/>
        </w:rPr>
        <w:t>9.</w:t>
      </w:r>
      <w:r>
        <w:rPr>
          <w:b/>
        </w:rPr>
        <w:tab/>
        <w:t>Ley de partidos políticos</w:t>
      </w:r>
    </w:p>
    <w:p w:rsidR="00000000" w:rsidRDefault="00000000">
      <w:pPr>
        <w:spacing w:after="240"/>
      </w:pPr>
      <w:r>
        <w:t>105.</w:t>
      </w:r>
      <w:r>
        <w:tab/>
        <w:t>El marco legal de las actividades de los partidos políticos del Chad se define en la Ley Nº 45/PR/94 sobre la carta de los partidos políticos.  En su artículo 6 se dispone lo siguiente:  "En su programa y sus actividades, los partidos políticos deberán proscribir la intolerancia, el tribalismo, el regionalismo y el confesionalismo, la xenofobia y la incitación o el recurso a la violencia en todas sus formas".</w:t>
      </w:r>
    </w:p>
    <w:p w:rsidR="00000000" w:rsidRDefault="00000000">
      <w:pPr>
        <w:spacing w:after="240"/>
      </w:pPr>
      <w:r>
        <w:t>106.</w:t>
      </w:r>
      <w:r>
        <w:tab/>
        <w:t>En virtud del artículo 10 de la misma ley, no se autorizará el funcionamiento de un partido político fundado en una causa ilícita o con un fin ilícito, contrarios a la ley, y a las buenas costumbres o cuyo objeto sea menoscabar la independencia, la soberanía, la integridad, la seguridad del territorio nacional, la forma republicana de gobierno, la laicidad del Estado y la unidad nacional.</w:t>
      </w:r>
    </w:p>
    <w:p w:rsidR="00000000" w:rsidRDefault="00000000">
      <w:pPr>
        <w:spacing w:after="240"/>
        <w:rPr>
          <w:b/>
        </w:rPr>
      </w:pPr>
      <w:r>
        <w:rPr>
          <w:b/>
        </w:rPr>
        <w:t>10.</w:t>
      </w:r>
      <w:r>
        <w:rPr>
          <w:b/>
        </w:rPr>
        <w:tab/>
        <w:t>Ley sobre el Código Electoral</w:t>
      </w:r>
    </w:p>
    <w:p w:rsidR="00000000" w:rsidRDefault="00000000">
      <w:pPr>
        <w:spacing w:after="240"/>
      </w:pPr>
      <w:r>
        <w:t>107.</w:t>
      </w:r>
      <w:r>
        <w:tab/>
        <w:t>El artículo 3 de la Ley Nº 021/PR/2000 sobre el Código Electoral, de 18 de agosto de 2000, dispone lo siguiente:  "Son electores todo los chadianos de uno y otro sexos que tengan 18 años cumplidos al día de la elección y en pleno uso de sus derechos cívicos y políticos, y estén inscritos en las listas electorales, y sobre los que no pese ninguna inhabilitación prevista por la ley".</w:t>
      </w:r>
    </w:p>
    <w:p w:rsidR="00000000" w:rsidRDefault="00000000">
      <w:pPr>
        <w:spacing w:after="240"/>
      </w:pPr>
      <w:r>
        <w:t>108.</w:t>
      </w:r>
      <w:r>
        <w:tab/>
        <w:t>En aplicación del artículo 115 del Código Electoral, todo ciudadano chadiano puede ser candidato y ser elegido, siempre que cumpla las condiciones de edad, no esté inhabilitado y sea elegible de acuerdo con la ley.</w:t>
      </w:r>
    </w:p>
    <w:p w:rsidR="00000000" w:rsidRDefault="00000000">
      <w:pPr>
        <w:spacing w:after="240"/>
      </w:pPr>
      <w:r>
        <w:t>109.</w:t>
      </w:r>
      <w:r>
        <w:tab/>
        <w:t>Las mismas condiciones se aplican a la candidatura a la Presidencia de la República, a la que pueden aspirar todos los chadianos de ambos sexos que cumplan las condiciones previstas por la ley, sobre la base del artículo 131 del Código Electoral.</w:t>
      </w:r>
    </w:p>
    <w:p w:rsidR="00000000" w:rsidRDefault="00000000">
      <w:pPr>
        <w:keepNext/>
        <w:keepLines/>
        <w:spacing w:after="240"/>
        <w:rPr>
          <w:b/>
        </w:rPr>
      </w:pPr>
      <w:r>
        <w:rPr>
          <w:b/>
        </w:rPr>
        <w:t>11.</w:t>
      </w:r>
      <w:r>
        <w:rPr>
          <w:b/>
        </w:rPr>
        <w:tab/>
        <w:t>Ley de asociaciones</w:t>
      </w:r>
    </w:p>
    <w:p w:rsidR="00000000" w:rsidRDefault="00000000">
      <w:pPr>
        <w:spacing w:after="240"/>
      </w:pPr>
      <w:r>
        <w:t>110.</w:t>
      </w:r>
      <w:r>
        <w:tab/>
        <w:t xml:space="preserve">Las asociaciones de la sociedad civil se rigen por la Ordenanza Nº 27-SUR, de 28 de julio de 1962, sobre la reglamentación de las asociaciones.  En su artículo 2 se establece la nulidad de pleno derecho de toda asociación fundada en una causa o con un fin contrario a la ley y a las buenas costumbres o tenga por objeto solamente la posibilidad de atentar contra la integridad del territorio nacional, la Constitución o la forma de Gobierno.  </w:t>
      </w:r>
    </w:p>
    <w:p w:rsidR="00000000" w:rsidRDefault="00000000">
      <w:pPr>
        <w:spacing w:after="240"/>
      </w:pPr>
      <w:r>
        <w:t>111.</w:t>
      </w:r>
      <w:r>
        <w:tab/>
        <w:t>Conforme al artículo 30 de la Constitución, esta nulidad sólo se puede declarar por decisión de justicia o en las condiciones previstas en los estatutos.</w:t>
      </w:r>
    </w:p>
    <w:p w:rsidR="00000000" w:rsidRDefault="00000000">
      <w:pPr>
        <w:spacing w:after="240"/>
        <w:jc w:val="center"/>
        <w:rPr>
          <w:b/>
        </w:rPr>
      </w:pPr>
      <w:r>
        <w:rPr>
          <w:b/>
        </w:rPr>
        <w:t>B.  Medidas judiciales</w:t>
      </w:r>
    </w:p>
    <w:p w:rsidR="00000000" w:rsidRDefault="00000000">
      <w:pPr>
        <w:spacing w:after="240"/>
      </w:pPr>
      <w:r>
        <w:t>112.</w:t>
      </w:r>
      <w:r>
        <w:tab/>
        <w:t>La Sala de lo contencioso administrativo del Tribunal Supremo es competente para conocer en los recursos por abuso de poder contra los actos de la administración y ha tenido la ocasión de dictar numerosas decisiones, que se resumen a continuación a título ilustrativo y de las cuales al menos dos se relacionan con la prohibición de discriminar.</w:t>
      </w:r>
    </w:p>
    <w:p w:rsidR="00000000" w:rsidRDefault="00000000">
      <w:pPr>
        <w:spacing w:after="240"/>
      </w:pPr>
      <w:r>
        <w:t>113.</w:t>
      </w:r>
      <w:r>
        <w:tab/>
        <w:t xml:space="preserve">La primera decisión de esa elevada institución corresponde a un asunto relativo a la exclusión de un alumno albino de una academia de formación de docentes, so pretexto de que su apariencia física amedrentaría a sus futuros alumnos.  Como consecuencia del recurso de urgencia interpuesto por la parte interesada, que tenía por finalidad la suspensión de la medida tomada en una nota de servicio por el Director de la academia, la administración de la academia se vio obligada a retractarse y revocar el acto impugnado por orden del Ministro Nacional de Educación.  De todos modos, en su sentencia de 9 de julio de 2001, el Tribunal declaró que la nota de servicio era discriminatoria en virtud de los artículos 13 y 35 de la Constitución relativos a la igualdad entre los chadianos y el derecho de todos a la educación. </w:t>
      </w:r>
    </w:p>
    <w:p w:rsidR="00000000" w:rsidRDefault="00000000">
      <w:pPr>
        <w:spacing w:after="240"/>
      </w:pPr>
      <w:r>
        <w:t>114.</w:t>
      </w:r>
      <w:r>
        <w:tab/>
        <w:t>En el segundo caso que dio lugar a una sentencia del Tribunal Supremo, dictada el 13 de diciembre de 2005, oponía la Sociedad de mujeres comisionistas de aduanas del Chad al Estado chadiano.  La sentencia dejó sin efecto la nota de servicio Nº 102/DGDDI/DLDCCS/DLR/05, de 21 de noviembre de 2005, del Director general de aduanas y derechos indirectos, que prohibía el acceso de esas mujeres a las oficinas de aduanas, en razón de que esa asociación, integrada exclusivamente por mujeres, debía hacerse representar por hombres para realizar cualquier operación.  El Tribunal Supremo consideró que, al negar de ese modo a las comisionistas de aduanas la posibilidad de hacer su trabajo por el mero hecho de ser mujeres, el Director general de aduanas y derechos indirectos había hecho caso omiso de las disposiciones del artículo 13 de la Ley constitucional Nº 08/PR/05, de 15 de julio de 2005, así como de las del artículo 13 de la Convención sobre la eliminación de todas las formas de discriminación contra la mujer, que disponen, respectivamente, que los chadianos de ambos sexos tienen los mismos derechos y las mismas obligaciones y que "Los Estados partes adoptarán todas las medidas apropiadas para eliminar la discriminación contra la mujer en otras esferas de la vida económica y social a fin de asegurar, en condiciones de igualdad entre hombres y mujeres…".</w:t>
      </w:r>
    </w:p>
    <w:p w:rsidR="00000000" w:rsidRDefault="00000000">
      <w:pPr>
        <w:keepNext/>
        <w:keepLines/>
        <w:spacing w:after="240"/>
        <w:jc w:val="center"/>
        <w:rPr>
          <w:b/>
        </w:rPr>
      </w:pPr>
      <w:r>
        <w:rPr>
          <w:b/>
        </w:rPr>
        <w:t>C.  Medidas administrativas</w:t>
      </w:r>
    </w:p>
    <w:p w:rsidR="00000000" w:rsidRDefault="00000000">
      <w:pPr>
        <w:keepNext/>
        <w:keepLines/>
        <w:spacing w:after="240"/>
        <w:rPr>
          <w:b/>
        </w:rPr>
      </w:pPr>
      <w:r>
        <w:rPr>
          <w:b/>
        </w:rPr>
        <w:t>1.</w:t>
      </w:r>
      <w:r>
        <w:rPr>
          <w:b/>
        </w:rPr>
        <w:tab/>
        <w:t>Comisión Nacional de Derechos Humanos (CNDH)</w:t>
      </w:r>
    </w:p>
    <w:p w:rsidR="00000000" w:rsidRDefault="00000000">
      <w:pPr>
        <w:spacing w:after="240"/>
      </w:pPr>
      <w:r>
        <w:t>115.</w:t>
      </w:r>
      <w:r>
        <w:tab/>
        <w:t>El Decreto Nº163/PR/98, de 2 de abril de 1996, por el que se establecen las modalidades de funcionamiento de la Comisión Nacional de Derechos Humanos (CNDH), creada en virtud de la Ley Nº 31/PR/94, de 9 de septiembre de 1994, dispone en su artículo 11 que la Comisión, además de tener la facultad de actuar por iniciativa propia, puede recibir solicitudes de cualquier persona que se considere víctima de la violación de un derecho civil, social o cultural, como consecuencia de una acción o inacción de la administración o de cualquier otra persona física o jurídica.</w:t>
      </w:r>
    </w:p>
    <w:p w:rsidR="00000000" w:rsidRDefault="00000000">
      <w:pPr>
        <w:spacing w:after="240"/>
      </w:pPr>
      <w:r>
        <w:t>116.</w:t>
      </w:r>
      <w:r>
        <w:tab/>
        <w:t>En respuesta a una de las recomendaciones del Comité, que había solicitado precisiones sobre la representación de grupos étnicos vulnerables en el seno de la CNDH, es oportuno señalar que esa institución está integrada por representantes de departamentos ministeriales, asociaciones de defensa de los derechos humanos, confederaciones sindicales y personalidades elegidas por su integridad y competencia en materia de derechos humanos por el Presidente de la República, el Primer Ministro y el poder legislativo.</w:t>
      </w:r>
    </w:p>
    <w:p w:rsidR="00000000" w:rsidRDefault="00000000">
      <w:pPr>
        <w:spacing w:after="240"/>
      </w:pPr>
      <w:r>
        <w:t>117.</w:t>
      </w:r>
      <w:r>
        <w:tab/>
        <w:t>La composición de esas instituciones nacionales y la designación de sus miembros deben responder a los principios rectores relativos al estatuto de las instituciones nacionales, también denominados Principios de París, que ofrecen garantías de independencia y de pluralismo.  En esos principios no se hace mención alguna de la representación de grupos étnicos vulnerables en el seno de las instituciones nacionales.  Sin embargo, se tiene en cuenta la representación de las organizaciones de lucha contra la discriminación racial.</w:t>
      </w:r>
    </w:p>
    <w:p w:rsidR="00000000" w:rsidRDefault="00000000">
      <w:pPr>
        <w:spacing w:after="240"/>
      </w:pPr>
      <w:r>
        <w:t>118.</w:t>
      </w:r>
      <w:r>
        <w:tab/>
        <w:t>En lo que respecta al Chad, las organizaciones no gubernamentales que despliegan actividades en la esfera de los derechos humanos y la lucha contra la discriminación racial son descritas con el nombre de asociaciones de defensa de los derechos humanos.  Estas asociaciones son, por otra parte, las más representativas en el seno de la CNDH.</w:t>
      </w:r>
    </w:p>
    <w:p w:rsidR="00000000" w:rsidRDefault="00000000">
      <w:pPr>
        <w:spacing w:after="240"/>
        <w:rPr>
          <w:b/>
        </w:rPr>
      </w:pPr>
      <w:r>
        <w:rPr>
          <w:b/>
        </w:rPr>
        <w:t>2.</w:t>
      </w:r>
      <w:r>
        <w:rPr>
          <w:b/>
        </w:rPr>
        <w:tab/>
        <w:t>Código de Deontología de la Policía Nacional</w:t>
      </w:r>
    </w:p>
    <w:p w:rsidR="00000000" w:rsidRDefault="00000000">
      <w:pPr>
        <w:spacing w:after="240"/>
      </w:pPr>
      <w:r>
        <w:t>119.</w:t>
      </w:r>
      <w:r>
        <w:tab/>
        <w:t>El Decreto Nº 269/PR/95, de 4 de abril de 1995, creó el Código de Deontología de la Policía Nacional del Chad.  De conformidad con el párrafo 3 de su artículo 7, los agentes de policía deben un respeto absoluto a las personas, con independencia de su nacionalidad u origen, su condición social o su convicción política, religiosa o filosófica.</w:t>
      </w:r>
    </w:p>
    <w:p w:rsidR="00000000" w:rsidRDefault="00000000">
      <w:pPr>
        <w:spacing w:after="240"/>
      </w:pPr>
      <w:r>
        <w:t>120.</w:t>
      </w:r>
      <w:r>
        <w:tab/>
        <w:t>Los agentes de policía deben actuar con imparcialidad en el cumplimiento de su misión.</w:t>
      </w:r>
    </w:p>
    <w:p w:rsidR="00000000" w:rsidRDefault="00000000">
      <w:pPr>
        <w:spacing w:after="240"/>
        <w:rPr>
          <w:b/>
        </w:rPr>
      </w:pPr>
      <w:r>
        <w:rPr>
          <w:b/>
        </w:rPr>
        <w:t>3</w:t>
      </w:r>
      <w:r>
        <w:t>.</w:t>
      </w:r>
      <w:r>
        <w:tab/>
      </w:r>
      <w:r>
        <w:rPr>
          <w:b/>
        </w:rPr>
        <w:t>Oficina Nacional de Mediación</w:t>
      </w:r>
    </w:p>
    <w:p w:rsidR="00000000" w:rsidRDefault="00000000">
      <w:pPr>
        <w:spacing w:after="240"/>
      </w:pPr>
      <w:r>
        <w:t>121.</w:t>
      </w:r>
      <w:r>
        <w:tab/>
        <w:t>Por Decreto Nº 340/PR/PM/97, de 12 de agosto de 1997, se creó el cargo de Mediador nacional, que debe trabajar por la restauración y el mantenimiento de la paz civil y política en el Chad (art. 2).</w:t>
      </w:r>
    </w:p>
    <w:p w:rsidR="00000000" w:rsidRDefault="00000000">
      <w:pPr>
        <w:keepNext/>
        <w:keepLines/>
        <w:spacing w:after="240"/>
      </w:pPr>
      <w:r>
        <w:t>122.</w:t>
      </w:r>
      <w:r>
        <w:tab/>
        <w:t>El Mediador nacional dirigió una comunicación a la Asamblea General de los ejércitos, en la que se quejaba de la limitación de sus facultades.  Esa limitación está en realidad vinculada a la naturaleza del texto por el que se establecía el cargo, que debió haber sido una ley y no un reglamento.  A pesar de ese inconveniente, el Mediador actuó con éxito en diversas esferas, como la solución de conflictos intercomunitarios y la gestión de crisis con las rebeliones armadas.</w:t>
      </w:r>
    </w:p>
    <w:p w:rsidR="00000000" w:rsidRDefault="00000000">
      <w:pPr>
        <w:spacing w:after="240"/>
      </w:pPr>
      <w:r>
        <w:t>123.</w:t>
      </w:r>
      <w:r>
        <w:tab/>
        <w:t>La creación del puesto de mediador se justifica principalmente por la persistencia de las tensiones y los conflictos intercomunitarios, que a menudo enfrentan a agricultores y ganaderos por el acceso a recursos naturales como el agua, los campos de pastoreo y las tierras cultivables.</w:t>
      </w:r>
    </w:p>
    <w:p w:rsidR="00000000" w:rsidRDefault="00000000">
      <w:pPr>
        <w:spacing w:after="240"/>
      </w:pPr>
      <w:r>
        <w:t>124.</w:t>
      </w:r>
      <w:r>
        <w:tab/>
        <w:t>Los ejemplos más recientes de conflictos, que enlutaron a numerosas familias chadianas y obligaron al Gobierno a pronunciar el estado de emergencia sobre una parte del territorio nacional son los enfrentamientos intercomunitarios en las regiones de Dar Sila y Salamat.</w:t>
      </w:r>
    </w:p>
    <w:p w:rsidR="00000000" w:rsidRDefault="00000000">
      <w:pPr>
        <w:spacing w:after="240"/>
      </w:pPr>
      <w:r>
        <w:t>125.</w:t>
      </w:r>
      <w:r>
        <w:tab/>
        <w:t>La crisis en la región vecina de Darfur (Sudán) y la explotación política que se hace de ella son algunos de los factores que agravan esas crisis, que entretanto se resolvían por negociación entre los beligerantes.</w:t>
      </w:r>
    </w:p>
    <w:p w:rsidR="00000000" w:rsidRDefault="00000000">
      <w:pPr>
        <w:spacing w:after="240"/>
      </w:pPr>
      <w:r>
        <w:t>126.</w:t>
      </w:r>
      <w:r>
        <w:tab/>
        <w:t xml:space="preserve">Se está tramitando la aprobación de un proyecto de ley para otorgar mayores facultades y la autonomía necesaria al Mediador a fin de que pueda cumplir eficazmente su misión.  En el proyecto se prevé la posibilidad de que pueda iniciar de oficio investigaciones sobre cuestiones de interés general o que afecten los derechos de grupos que no puedan ser objeto de reclamaciones individuales. </w:t>
      </w:r>
    </w:p>
    <w:p w:rsidR="00000000" w:rsidRDefault="00000000">
      <w:pPr>
        <w:spacing w:after="240"/>
        <w:rPr>
          <w:b/>
        </w:rPr>
      </w:pPr>
      <w:r>
        <w:rPr>
          <w:b/>
        </w:rPr>
        <w:t>4.</w:t>
      </w:r>
      <w:r>
        <w:rPr>
          <w:b/>
        </w:rPr>
        <w:tab/>
        <w:t>Acción de las asociaciones de la sociedad civil</w:t>
      </w:r>
    </w:p>
    <w:p w:rsidR="00000000" w:rsidRDefault="00000000">
      <w:pPr>
        <w:spacing w:after="240"/>
      </w:pPr>
      <w:r>
        <w:t>127.</w:t>
      </w:r>
      <w:r>
        <w:tab/>
        <w:t>La institución judicial y sus procedimientos no son siempre suficientemente conocidos por la población, que es mayoritariamente analfabeta.  Las dificultades de orientación con que tropiezan en los tribunales las personas que recurren al sistema de justicia se deben a la falta de una estructura de acogida y un personal debidamente formado a estos efectos.  Ese vacío permitió la aparición de un grupo de personas poco escrupulosas, denominadas gestores o intermediarios, autores de corrupción y de otras estafas en relación con la justicia.</w:t>
      </w:r>
    </w:p>
    <w:p w:rsidR="00000000" w:rsidRDefault="00000000">
      <w:pPr>
        <w:spacing w:after="240"/>
      </w:pPr>
      <w:r>
        <w:t>128.</w:t>
      </w:r>
      <w:r>
        <w:tab/>
        <w:t>El apoyo de las asociaciones de defensa de los derechos humanos es útil para facilitar a los inculpados la comprensión de los procedimientos judiciales y protegerlos de estafas mediante centros de asesoramiento jurídico, orientación o asistencia jurídica y judicial.  Esta saludable iniciativa fue una de las recomendaciones de la Asamblea General de la justicia, por la que se alentaba al Estado a prestarles un apoyo decidido.  Ese apoyo permitirá resolver la cuestión de la asistencia judicial prevista en el artículo 38 del Código de Procedimiento Civil, cuya concreción tropieza con dificultades.</w:t>
      </w:r>
    </w:p>
    <w:p w:rsidR="00000000" w:rsidRDefault="00000000">
      <w:pPr>
        <w:spacing w:after="240"/>
        <w:jc w:val="center"/>
        <w:rPr>
          <w:b/>
        </w:rPr>
      </w:pPr>
      <w:r>
        <w:rPr>
          <w:b/>
        </w:rPr>
        <w:t>D.  Medidas especiales</w:t>
      </w:r>
    </w:p>
    <w:p w:rsidR="00000000" w:rsidRDefault="00000000">
      <w:pPr>
        <w:spacing w:after="240"/>
      </w:pPr>
      <w:r>
        <w:t>129.</w:t>
      </w:r>
      <w:r>
        <w:tab/>
        <w:t>La necesidad de otorgar una protección adecuada en ciertos ámbitos o a ciertas categorías de personas vulnerables ha llevado a cabo al Gobierno a elaborar medidas especiales de protección ya adoptadas o en curso de adopción.</w:t>
      </w:r>
    </w:p>
    <w:p w:rsidR="00000000" w:rsidRDefault="00000000">
      <w:pPr>
        <w:spacing w:after="240"/>
      </w:pPr>
      <w:r>
        <w:t>130.</w:t>
      </w:r>
      <w:r>
        <w:tab/>
        <w:t>A fin de garantizar una protección especial en materia de salud reproductiva y, para poner término, en particular a las prácticas tradicionales nefastas que afectan al sector, el Gobierno promulgó la Ley Nº 006/PR/02, de 15 de abril de 2000, de promoción de la salud reproductiva.  Esta ley otorga a todas las personas los mismos derechos y la misma dignidad en materia de salud reproductiva, sin discriminación alguna por motivos de edad, sexo, aspecto físico, religión, grupo étnico, estado civil u otra situación cualesquiera (art. 3).</w:t>
      </w:r>
    </w:p>
    <w:p w:rsidR="00000000" w:rsidRDefault="00000000">
      <w:pPr>
        <w:spacing w:after="240"/>
      </w:pPr>
      <w:r>
        <w:t>131.</w:t>
      </w:r>
      <w:r>
        <w:tab/>
        <w:t>La protección de las personas con discapacidad es una de las principales preocupaciones del Gobierno, que llevó a la creación del Ministerio de Acción Social.  Ese Ministerio, que comprende una dirección encargada de personas con discapacidad, trata de favorecer en el plano legal a esa categoría de personas el ejercicio de todos sus derechos.</w:t>
      </w:r>
    </w:p>
    <w:p w:rsidR="00000000" w:rsidRDefault="00000000">
      <w:pPr>
        <w:spacing w:after="240"/>
      </w:pPr>
      <w:r>
        <w:t>132.</w:t>
      </w:r>
      <w:r>
        <w:tab/>
        <w:t>Su situación de vulnerabilidad los expone en ciertos casos a un trato en cierta medida discriminatorio.  Por esa razón, el Ministerio de Acción Social y Familia, por medio de su dirección técnica encargada de las personas con discapacidad, ha presentado un proyecto de ley que les otorga protección.</w:t>
      </w:r>
    </w:p>
    <w:p w:rsidR="00000000" w:rsidRDefault="00000000">
      <w:pPr>
        <w:spacing w:after="240"/>
      </w:pPr>
      <w:r>
        <w:t>133.</w:t>
      </w:r>
      <w:r>
        <w:tab/>
        <w:t>El proyecto de ley sobre la protección de las personas con discapacidad, que ha sido examinado en el Consejo de Ministros, impone, en su artículo 15, al Estado y a las colectividades locales descentralizadas, la obligación de crear condiciones que incentiven la contratación de personas con discapacidad.  Además, se prevé la protección de las personas con discapacidad contra toda forma de explotación y trato discriminatorio en el ejercicio de sus funciones.</w:t>
      </w:r>
    </w:p>
    <w:p w:rsidR="00000000" w:rsidRDefault="00000000">
      <w:pPr>
        <w:spacing w:after="240"/>
        <w:ind w:left="567" w:hanging="567"/>
        <w:rPr>
          <w:b/>
        </w:rPr>
      </w:pPr>
      <w:r>
        <w:rPr>
          <w:b/>
        </w:rPr>
        <w:t>1.</w:t>
      </w:r>
      <w:r>
        <w:rPr>
          <w:b/>
        </w:rPr>
        <w:tab/>
        <w:t>Proyecto de ley de lucha contra el VIH/SIDA y las enfermedades de transmisión sexual y de protección de las personas que viven con el VIH/SIDA</w:t>
      </w:r>
    </w:p>
    <w:p w:rsidR="00000000" w:rsidRDefault="00000000">
      <w:pPr>
        <w:spacing w:after="240"/>
      </w:pPr>
      <w:r>
        <w:t>134.</w:t>
      </w:r>
      <w:r>
        <w:tab/>
        <w:t>La tasa total de seroprevalencia del VIH/SIDA en el Chad se estima en un 7%.  Esa tasa, que es elevada y aumenta continuamente, constituye una amenaza grave para el país.  Los cálculos y las proyecciones realizados como parte del estudio sobre los efectos socioeconómicos del VIH/SIDA en el sector de la salud han permitido simular la situación epidemiológica en el futuro y los efectos socioeconómicos de esa pandemia, desde el momento actual hasta el año 2015.  En ese estudio se estima que el número de personas con el VIH/SIDA en 2015 oscilará entre 319.000 y 734.000; el número de enfermos de SIDA entre 39.000 y 64.000 y el número de defunciones relacionadas con el SIDA en personas de 15 a 49 años de edad (la franja más activa desde el punto de vista económico) entre 37.000 y 57.000.</w:t>
      </w:r>
    </w:p>
    <w:p w:rsidR="00000000" w:rsidRDefault="00000000">
      <w:pPr>
        <w:spacing w:after="240"/>
      </w:pPr>
      <w:r>
        <w:t>135.</w:t>
      </w:r>
      <w:r>
        <w:tab/>
        <w:t>A fin de proteger a este sector bastante importante de la población, el Ministerio de Salud Pública elaboró un proyecto de ley de lucha contra el VIH/SIDA/enfermedades de transmisión sexual y protección de personas con el VIH/SIDA.  La discriminación y la estigmatización de que son objeto estas personas a causa de su salud son algunas de las razones que motivaron la elaboración de ese proyecto.  De ahí que las medidas previstas estén encaminadas a combatir las actitudes discriminatorias (artículo 3 del proyecto) y hagan hincapié muy especial en el principio de la no discriminación.</w:t>
      </w:r>
    </w:p>
    <w:p w:rsidR="00000000" w:rsidRDefault="00000000">
      <w:pPr>
        <w:spacing w:after="240"/>
      </w:pPr>
      <w:r>
        <w:t>136.</w:t>
      </w:r>
      <w:r>
        <w:tab/>
        <w:t>Así, en el artículo 13 se establece que se deberán aplicar a las personas que participen en las investigaciones serológicas organizadas por las autoridades sanitarias medidas de protección jurídica y ética adecuadas, en particular contra la discriminación.</w:t>
      </w:r>
    </w:p>
    <w:p w:rsidR="00000000" w:rsidRDefault="00000000">
      <w:pPr>
        <w:spacing w:after="240"/>
      </w:pPr>
      <w:r>
        <w:t>137.</w:t>
      </w:r>
      <w:r>
        <w:tab/>
        <w:t>En el capítulo IV, que versa sobre las medidas de protección contra la discriminación y la estigmatización, figuran varias disposiciones que merece la pena citar.</w:t>
      </w:r>
    </w:p>
    <w:p w:rsidR="00000000" w:rsidRDefault="00000000">
      <w:pPr>
        <w:spacing w:after="240"/>
      </w:pPr>
      <w:r>
        <w:t>138.</w:t>
      </w:r>
      <w:r>
        <w:tab/>
        <w:t>El artículo 21 dispone que nadie podrá ser objeto de medidas discriminatorias, malos tratos o cualquier otra forma de humillación o privación por motivo de su condición serológica.  El artículo 22 garantiza a las personas que viven con el VIH, así como a los niños y huérfanos vulnerables a causa del SIDA, el derecho a la no discriminación, a una protección igual y a la igualdad ante la ley.</w:t>
      </w:r>
    </w:p>
    <w:p w:rsidR="00000000" w:rsidRDefault="00000000">
      <w:pPr>
        <w:spacing w:after="240"/>
      </w:pPr>
      <w:r>
        <w:t>139.</w:t>
      </w:r>
      <w:r>
        <w:tab/>
        <w:t>En el artículo 25 se enumeran los actos que se consideran discriminatorios, a saber:</w:t>
      </w:r>
    </w:p>
    <w:p w:rsidR="00000000" w:rsidRDefault="00000000">
      <w:pPr>
        <w:spacing w:after="240"/>
        <w:ind w:left="924" w:hanging="357"/>
      </w:pPr>
      <w:r>
        <w:t>-</w:t>
      </w:r>
      <w:r>
        <w:tab/>
        <w:t>La utilización de datos sobre personas seropositivas, a menos que ello sea necesario a efectos de la vigilancia epidemiológica nacional;</w:t>
      </w:r>
    </w:p>
    <w:p w:rsidR="00000000" w:rsidRDefault="00000000">
      <w:pPr>
        <w:spacing w:after="240"/>
        <w:ind w:left="924" w:hanging="357"/>
      </w:pPr>
      <w:r>
        <w:t>-</w:t>
      </w:r>
      <w:r>
        <w:tab/>
        <w:t>Los abortos o las esterilizaciones forzadas de madres seropositivas;</w:t>
      </w:r>
    </w:p>
    <w:p w:rsidR="00000000" w:rsidRDefault="00000000">
      <w:pPr>
        <w:spacing w:after="240"/>
        <w:ind w:left="924" w:hanging="357"/>
      </w:pPr>
      <w:r>
        <w:t>-</w:t>
      </w:r>
      <w:r>
        <w:tab/>
        <w:t>La negativa a curar y atender a las personas seropositivas;</w:t>
      </w:r>
    </w:p>
    <w:p w:rsidR="00000000" w:rsidRDefault="00000000">
      <w:pPr>
        <w:spacing w:after="240"/>
        <w:ind w:left="924" w:hanging="357"/>
      </w:pPr>
      <w:r>
        <w:t>-</w:t>
      </w:r>
      <w:r>
        <w:tab/>
        <w:t>El examen de detección obligatoria, cualesquiera que sean las circunstancias;</w:t>
      </w:r>
    </w:p>
    <w:p w:rsidR="00000000" w:rsidRDefault="00000000">
      <w:pPr>
        <w:spacing w:after="240"/>
        <w:ind w:left="924" w:hanging="357"/>
      </w:pPr>
      <w:r>
        <w:t>-</w:t>
      </w:r>
      <w:r>
        <w:tab/>
        <w:t>La negativa a educar a un niño a causa de su condición serológica;</w:t>
      </w:r>
    </w:p>
    <w:p w:rsidR="00000000" w:rsidRDefault="00000000">
      <w:pPr>
        <w:spacing w:after="240"/>
        <w:ind w:left="924" w:hanging="357"/>
      </w:pPr>
      <w:r>
        <w:t>-</w:t>
      </w:r>
      <w:r>
        <w:tab/>
        <w:t>La denegación de acceso al alojamiento o los servicios sociales o a la contratación de personas seropositivas.</w:t>
      </w:r>
    </w:p>
    <w:p w:rsidR="00000000" w:rsidRDefault="00000000">
      <w:pPr>
        <w:spacing w:after="240"/>
      </w:pPr>
      <w:r>
        <w:t>140.</w:t>
      </w:r>
      <w:r>
        <w:tab/>
        <w:t>Se ha celebrado una jornada de sensibilización sobre ese proyecto de ley, orientada a los miembros del Gobierno.  El objetivo de esa jornada, celebrada el 20 de enero de 2007, era sonar la alarma y explicar los fundamentos de esta acción, a fin de lograr la adhesión del Gobierno a dicho proyecto de ley.</w:t>
      </w:r>
    </w:p>
    <w:p w:rsidR="00000000" w:rsidRDefault="00000000">
      <w:pPr>
        <w:spacing w:after="240"/>
        <w:rPr>
          <w:b/>
        </w:rPr>
      </w:pPr>
      <w:r>
        <w:rPr>
          <w:b/>
        </w:rPr>
        <w:t>2.</w:t>
      </w:r>
      <w:r>
        <w:rPr>
          <w:b/>
        </w:rPr>
        <w:tab/>
        <w:t>Factores y dificultades</w:t>
      </w:r>
    </w:p>
    <w:p w:rsidR="00000000" w:rsidRDefault="00000000">
      <w:pPr>
        <w:spacing w:after="240"/>
      </w:pPr>
      <w:r>
        <w:t>141.</w:t>
      </w:r>
      <w:r>
        <w:tab/>
        <w:t>El resurgimiento de rebeliones armadas, los enfrentamientos intercomunitarios y el conflicto de Darfur generan un desplazamiento en masa de poblaciones en las zonas afectadas.  Esos conflictos afectan decididamente la situación de los derechos humanos en el Chad, dado que en esas condiciones, las libertades y los derechos fundamentales son necesariamente objeto de graves violaciones perpetradas tanto por las fuerzas de la oposición armada como por las milicias civiles.</w:t>
      </w:r>
    </w:p>
    <w:p w:rsidR="00000000" w:rsidRDefault="00000000">
      <w:pPr>
        <w:spacing w:after="240"/>
      </w:pPr>
      <w:r>
        <w:t>142.</w:t>
      </w:r>
      <w:r>
        <w:tab/>
        <w:t>Si bien es cierto que la Administración está recuperando poco a poco las zonas atacadas por los rebeldes y que sufren las incursiones de las milicias sudanesas Janjaweed, la actividad judicial sigue siendo inexistente.  El Gobierno está estudiando cómo reanudar esa actividad, mediante el envío de jueces a las localidades en conflicto.</w:t>
      </w:r>
    </w:p>
    <w:p w:rsidR="00000000" w:rsidRDefault="00000000">
      <w:pPr>
        <w:spacing w:after="240"/>
      </w:pPr>
      <w:r>
        <w:t>143.</w:t>
      </w:r>
      <w:r>
        <w:tab/>
        <w:t>Esa inestabilidad se suma a las dificultades creadas por la coexistencia de diversas normas consuetudinarias y el derecho positivo.</w:t>
      </w:r>
    </w:p>
    <w:p w:rsidR="00000000" w:rsidRDefault="00000000">
      <w:pPr>
        <w:spacing w:after="240"/>
      </w:pPr>
      <w:r>
        <w:t>144.</w:t>
      </w:r>
      <w:r>
        <w:tab/>
        <w:t>En el censo general de población y hábitat de 1993 se determinó que existían más de 100 etnias en el Chad.  La Oficina central de censos clasificó la población en 16 grandes grupos étnicos.</w:t>
      </w:r>
    </w:p>
    <w:p w:rsidR="00000000" w:rsidRDefault="00000000">
      <w:pPr>
        <w:spacing w:after="240"/>
      </w:pPr>
      <w:r>
        <w:t>145.</w:t>
      </w:r>
      <w:r>
        <w:tab/>
        <w:t>Esta situación explica la multiplicidad y la diversidad de normas consuetudinarias, que pueden ser contradictorias según la región y según la etnia.  También explica en parte la difícil cohabitación entre ciertos grupos étnicos, que lamentablemente ha adoptado a veces carices políticos, como ocurrió bajo el mando del ex Presidente Hissein Habré, cuando grupos étnicos enteros fueron exterminados debido a la pertenencia étnica de los rebeldes a esos mismos grupos.  Desafortunadamente, esas derivaciones, que se han acentuado, tienden a eternizarse dado que numerosos jóvenes, que temen equivocadamente las represalias del ejército, no cesan de sumarse a la rebelión armada, dando así a las distintas rebeliones la composición monoétnica que las caracteriza.</w:t>
      </w:r>
    </w:p>
    <w:p w:rsidR="00000000" w:rsidRDefault="00000000">
      <w:pPr>
        <w:spacing w:after="240"/>
      </w:pPr>
      <w:r>
        <w:t>146.</w:t>
      </w:r>
      <w:r>
        <w:tab/>
        <w:t>Asimismo, a falta de un Código de la persona y de la familia, las distintas costumbres son aplicables en las comunidades que las reconocen, con excepción de las que se oponen al orden público, según el espíritu del artículo 156 de la Constitución.</w:t>
      </w:r>
    </w:p>
    <w:p w:rsidR="00000000" w:rsidRDefault="00000000">
      <w:pPr>
        <w:spacing w:after="240"/>
      </w:pPr>
      <w:r>
        <w:t>147.</w:t>
      </w:r>
      <w:r>
        <w:tab/>
        <w:t>La contradicción que existe entre ciertas costumbres no permite siempre saber qué costumbres son contrarias al orden público o en qué momentos pueden serlo.  Esa apreciación corresponde al juez, que decide, en última instancia, la conducta que deberá adoptarse.</w:t>
      </w:r>
    </w:p>
    <w:p w:rsidR="00000000" w:rsidRDefault="00000000">
      <w:pPr>
        <w:spacing w:after="240"/>
      </w:pPr>
      <w:r>
        <w:t>148.</w:t>
      </w:r>
      <w:r>
        <w:tab/>
        <w:t>El artículo 157, por su parte, se refiere a los sectores de aplicación de las costumbres, a saber, las sucesiones y los regímenes matrimoniales, pero aún en esos casos es necesario el consentimiento de las partes.  A falta de consentimiento, sólo es aplicable la ley nacional.  Sin embargo, el apego de la población a las costumbres y la persistencia tenaz de éstas hace que la legislación nacional pase muchas veces después de las costumbres.</w:t>
      </w:r>
    </w:p>
    <w:p w:rsidR="00000000" w:rsidRDefault="00000000">
      <w:pPr>
        <w:spacing w:after="240"/>
      </w:pPr>
      <w:r>
        <w:t>149.</w:t>
      </w:r>
      <w:r>
        <w:tab/>
        <w:t>La aplicación de las costumbres se extiende incluso al resarcimiento civil relacionado con las infracciones penales.  Existe una práctica conocida como la Diya o el "precio de la sangre", muy extendida desde la guerra civil de 1979.  Según la Diya, las indemnizaciones no se calculan en función de la gravedad de la infracción que se reprocha, sino en función de la pertenencia al grupo étnico de la víctima.</w:t>
      </w:r>
    </w:p>
    <w:p w:rsidR="00000000" w:rsidRDefault="00000000">
      <w:pPr>
        <w:spacing w:after="240"/>
      </w:pPr>
      <w:r>
        <w:t>150.</w:t>
      </w:r>
      <w:r>
        <w:tab/>
        <w:t>Lamentablemente, esta práctica se lleva a cabo por medio de simples acuerdos extrajurídicos concertados entre los distintos jefes tradicionales y consuetudinarios, que fijan la tasa de la indemnización que debe abonarse a las víctimas o a sus parientes.  Esa tasa varía de una comunidad a otra en caso de delitos o crímenes.  La tendencia es trasplantar esa práctica a otras comunidades no signatarias.</w:t>
      </w:r>
    </w:p>
    <w:p w:rsidR="00000000" w:rsidRDefault="00000000">
      <w:pPr>
        <w:spacing w:after="240"/>
      </w:pPr>
      <w:r>
        <w:t>151.</w:t>
      </w:r>
      <w:r>
        <w:tab/>
        <w:t>Esos acuerdos infringen los artículos 25 y 26 de la Constitución, que disponen, respectivamente, que la pena es personal, que nadie podrá ser declarado responsable ni juzgado por un acto que no haya cometido y que están prohibidas las normas consuetudinarias y tradicionales relativas a la responsabilidad penal colectiva.  Porque a veces, para preservar la vida del culpable, su comunidad se ve obligada a movilizarse para pagar la indemnización, que no sólo puede ser excesiva, sino estar incluso fuera de su alcance.</w:t>
      </w:r>
    </w:p>
    <w:p w:rsidR="00000000" w:rsidRDefault="00000000">
      <w:pPr>
        <w:spacing w:after="240"/>
      </w:pPr>
      <w:r>
        <w:t>152.</w:t>
      </w:r>
      <w:r>
        <w:tab/>
        <w:t>La falta de reciprocidad de esa tasa entre ciertas etnias o la variación de la tasa entre un grupo étnico y otro demuestran claramente que el principio de la no discriminación sigue siendo en la práctica una utopía.  El fenómeno de las castas, siempre presente en ciertos grupos étnicos, es un ejemplo perfecto.  Los miembros de las castas son objeto de discriminación y sufren graves violaciones de sus derechos.  La discriminación llega al extremo de prohibir estrictamente la celebración de matrimonios con miembros de otros grupos.</w:t>
      </w:r>
    </w:p>
    <w:p w:rsidR="00000000" w:rsidRDefault="00000000">
      <w:pPr>
        <w:spacing w:after="240"/>
      </w:pPr>
      <w:r>
        <w:t>153.</w:t>
      </w:r>
      <w:r>
        <w:tab/>
        <w:t>Algunas prácticas, consideradas actualmente actos de violencia contra las personas con arreglo a los instrumentos internacionales de derechos humanos, siguen siendo admitidas en ciertas regiones y generan discriminación.  Es el caso, por ejemplo, de las mutilaciones genitales femeninas, prohibidas en el artículo 9 de la Ley Nº 006/PR/2002, de 15 de abril de 2002, que tiene por finalidad promover la salud reproductiva y que prohíbe toda forma de violencia, como la mutilación genital femenina, los matrimonios precoces, la violencia doméstica y las sevicias sexuales.  Las mujeres que han sufrido una ablación genital se consideran superiores a las que no han pasado por ese rito y no admiten a estas últimas en su círculo.</w:t>
      </w:r>
    </w:p>
    <w:p w:rsidR="00000000" w:rsidRDefault="00000000">
      <w:pPr>
        <w:spacing w:after="240"/>
      </w:pPr>
      <w:r>
        <w:t>154.</w:t>
      </w:r>
      <w:r>
        <w:tab/>
        <w:t xml:space="preserve">Las prácticas de la poligamia y la repudiación todavía subsisten y exponen a la mujer a discriminación.  La mujer representa una inversión para su familia (matrimonio con una elevada dote) y un bien social para su familia política, dado que la mujer sigue estando sujeta a la práctica del levirato y del sororato. </w:t>
      </w:r>
    </w:p>
    <w:p w:rsidR="00000000" w:rsidRDefault="00000000">
      <w:pPr>
        <w:spacing w:after="240"/>
      </w:pPr>
      <w:r>
        <w:t>155.</w:t>
      </w:r>
      <w:r>
        <w:tab/>
        <w:t>Otro factor que obstaculiza la efectiva aplicación del artículo 2 de la Convención es la práctica del criterio llamado "geopolítico" para el otorgamiento o reconocimiento de ciertos derechos.  Este criterio, que se pretendía inicialmente una política de equilibrio y de valorización de ciertos grupos étnicos poco representados en las distintas esferas del Estado y que se aplicaba únicamente para nombramientos políticos, se utiliza hoy ingeniosamente en todas las esferas, favoreciendo así el tribalismo, el regionalismo y todas las demás formas de discriminación.  Por lo tanto, ahora prevalece la mediocridad en detrimento de la excelencia.  A fin de combatir esas prácticas, el Gobierno ha creado el Ministerio de control estatal y moralización.  Es necesario reconocer sin embargo, que es difícil erradicar esta clase de conductas, que cuentan con la complicidad de funcionarios a distintos niveles de la estructura jerárquica del Estado.</w:t>
      </w:r>
    </w:p>
    <w:p w:rsidR="00000000" w:rsidRDefault="00000000">
      <w:pPr>
        <w:spacing w:after="240"/>
      </w:pPr>
      <w:r>
        <w:t>156.</w:t>
      </w:r>
      <w:r>
        <w:tab/>
        <w:t>En cuanto a las dificultades que presenta la aplicación del artículo 2 de la Convención, es preciso destacar la situación general de corrupción que gangrena nuestra administración y la impunidad de que gozan ciertas personas.  La creación del Ministerio de control estatal y moralización contribuye a los esfuerzos del Gobierno por poner fin a esas prácticas nefastas.  A ello cabe agregar el desconocimiento o la ignorancia de los instrumentos jurídicos y los procedimientos judiciales, lo que impide que las víctimas se dirijan a la justicia para obtener reparación.</w:t>
      </w:r>
    </w:p>
    <w:p w:rsidR="00000000" w:rsidRDefault="00000000">
      <w:pPr>
        <w:spacing w:after="240"/>
        <w:rPr>
          <w:b/>
        </w:rPr>
      </w:pPr>
      <w:r>
        <w:rPr>
          <w:b/>
        </w:rPr>
        <w:t>Artículo 3</w:t>
      </w:r>
    </w:p>
    <w:p w:rsidR="00000000" w:rsidRDefault="00000000">
      <w:pPr>
        <w:spacing w:after="240"/>
      </w:pPr>
      <w:r>
        <w:t>157.</w:t>
      </w:r>
      <w:r>
        <w:tab/>
        <w:t xml:space="preserve">El sistema del </w:t>
      </w:r>
      <w:r>
        <w:rPr>
          <w:i/>
        </w:rPr>
        <w:t>apartheid</w:t>
      </w:r>
      <w:r>
        <w:t xml:space="preserve"> y la práctica de la segregación racial como sistema de gobierno no han sido nunca consagrados en un texto fundamental en el Chad.  Muy al contrario, los distintos gobiernos que se han sucedido en el Chad han expresado su profundo repudio del </w:t>
      </w:r>
      <w:r>
        <w:rPr>
          <w:i/>
        </w:rPr>
        <w:t>apartheid</w:t>
      </w:r>
      <w:r>
        <w:t>, con arreglo a lo dispuesto en la Carta y las consignas de la Organización de la Unidad Africana y han preconizado la unidad de la nación chadiana.</w:t>
      </w:r>
    </w:p>
    <w:p w:rsidR="00000000" w:rsidRDefault="00000000">
      <w:pPr>
        <w:spacing w:after="240"/>
        <w:rPr>
          <w:lang w:val="es-ES_tradnl"/>
        </w:rPr>
      </w:pPr>
      <w:r>
        <w:t>158.</w:t>
      </w:r>
      <w:r>
        <w:tab/>
        <w:t xml:space="preserve">La Constitución afirma, no solamente la voluntad del pueblo chadiano de vivir unido en el respeto de la diversidad étnica, religiosa, regional y cultural, sino también de construir un estado de derecho y una nación fundada en las libertades públicas y los derechos humanos fundamentales, la dignidad de la persona, el pluralismo político y los valores africanos de solidaridad y la fraternidad.  En ella se afirma también la adhesión del Chad a los principios de los derechos humanos definidos en la Carta de las Naciones Unidas de 1945, la Declaración Universal de Derechos Humanos de 1948 y la </w:t>
      </w:r>
      <w:r>
        <w:rPr>
          <w:lang w:val="es-ES_tradnl"/>
        </w:rPr>
        <w:t xml:space="preserve">Carta Africana de Derechos Humanos y de los Pueblos de 1981, buena prueba del rechazo de la segregación racial y el </w:t>
      </w:r>
      <w:r>
        <w:rPr>
          <w:i/>
          <w:lang w:val="es-ES_tradnl"/>
        </w:rPr>
        <w:t>apartheid</w:t>
      </w:r>
      <w:r>
        <w:rPr>
          <w:lang w:val="es-ES_tradnl"/>
        </w:rPr>
        <w:t>.</w:t>
      </w:r>
    </w:p>
    <w:p w:rsidR="00000000" w:rsidRDefault="00000000">
      <w:pPr>
        <w:spacing w:after="240"/>
        <w:rPr>
          <w:lang w:val="es-ES_tradnl"/>
        </w:rPr>
      </w:pPr>
      <w:r>
        <w:rPr>
          <w:lang w:val="es-ES_tradnl"/>
        </w:rPr>
        <w:t>159.</w:t>
      </w:r>
      <w:r>
        <w:rPr>
          <w:lang w:val="es-ES_tradnl"/>
        </w:rPr>
        <w:tab/>
        <w:t xml:space="preserve">Los artículos 13, 14 y 15 de la Constitución son muy precisos al respecto y prohíben la exclusión en cualquiera de sus formas, fundándose en la igualdad de todos los ciudadanos.  Esa lógica ha llevado al Chad a adherirse sin reserva a todas las resoluciones de las Naciones Unidas que sancionaban al Gobierno sudafricano en la época del régimen del </w:t>
      </w:r>
      <w:r>
        <w:rPr>
          <w:i/>
          <w:lang w:val="es-ES_tradnl"/>
        </w:rPr>
        <w:t>apartheid</w:t>
      </w:r>
      <w:r>
        <w:rPr>
          <w:lang w:val="es-ES_tradnl"/>
        </w:rPr>
        <w:t>.  Así, el Chad sólo reanudó sus relaciones diplomáticas con Sudáfrica una vez desaparecido dicho régimen y la creación de una Embajada del Chad con residencia en Pretoria data apenas del 23 de marzo de 2004.</w:t>
      </w:r>
    </w:p>
    <w:p w:rsidR="00000000" w:rsidRDefault="00000000">
      <w:pPr>
        <w:spacing w:after="240"/>
      </w:pPr>
      <w:r>
        <w:rPr>
          <w:b/>
        </w:rPr>
        <w:t>Artículo 4</w:t>
      </w:r>
    </w:p>
    <w:p w:rsidR="00000000" w:rsidRDefault="00000000">
      <w:pPr>
        <w:spacing w:after="240"/>
      </w:pPr>
      <w:r>
        <w:t>160.</w:t>
      </w:r>
      <w:r>
        <w:tab/>
        <w:t xml:space="preserve">Como se ha señalado, desde el acceso del Chad a la independencia el 11 de agosto de 1960 ningún régimen político ha tenido que consagrar oficialmente un gobierno basado en el </w:t>
      </w:r>
      <w:r>
        <w:rPr>
          <w:i/>
        </w:rPr>
        <w:t>apartheid</w:t>
      </w:r>
      <w:r>
        <w:t>.  La Constitución vigente no autoriza la propaganda de carácter étnico, tribal, regionalista o confesional que pueda atentar contra la unidad nacional o la laicidad del Estado.</w:t>
      </w:r>
    </w:p>
    <w:p w:rsidR="00000000" w:rsidRDefault="00000000">
      <w:pPr>
        <w:spacing w:after="240"/>
      </w:pPr>
      <w:r>
        <w:t>161.</w:t>
      </w:r>
      <w:r>
        <w:tab/>
        <w:t>A este respecto, las informaciones facilitadas en relación con el artículo 2 del presente informe tratan abundantemente la cuestión y pueden aportar respuestas suficientes en la materia.</w:t>
      </w:r>
    </w:p>
    <w:p w:rsidR="00000000" w:rsidRDefault="00000000">
      <w:pPr>
        <w:spacing w:after="240"/>
      </w:pPr>
      <w:r>
        <w:t>162.</w:t>
      </w:r>
      <w:r>
        <w:tab/>
        <w:t xml:space="preserve">No obstante, en el ámbito consuetudinario existen prácticas que se pueden considerar contrarias al orden público o que propugnan la desigualdad entre los ciudadanos.  No se pierde tampoco de vista la persistencia de estas prácticas tradicionales a la que el Gobierno debe hacer frente y que, por lo tanto, se prohíben en ciertas disposiciones de la Constitución.  </w:t>
      </w:r>
    </w:p>
    <w:p w:rsidR="00000000" w:rsidRDefault="00000000">
      <w:pPr>
        <w:spacing w:after="240"/>
      </w:pPr>
      <w:r>
        <w:t>163.</w:t>
      </w:r>
      <w:r>
        <w:tab/>
        <w:t>Asimismo, la adhesión a la Convención sobre la eliminación de todas las formas de discriminación contra la mujer, a la Carta Africana sobre los Derechos y el Bienestar del Niño y a otros instrumentos internacionales de derechos humanos tiene igualmente por objeto lograr la erradicación rápida, con el apoyo de la comunidad internacional, de esas prácticas nefastas para la salud y la vida de mujeres y niños y que atentan contra la cohesión entre las poblaciones.</w:t>
      </w:r>
    </w:p>
    <w:p w:rsidR="00000000" w:rsidRDefault="00000000">
      <w:pPr>
        <w:spacing w:after="240"/>
      </w:pPr>
      <w:r>
        <w:t>164.</w:t>
      </w:r>
      <w:r>
        <w:tab/>
        <w:t>A fin de apoyar todos los esfuerzos desplegados por el Gobierno, en 1996 el Parlamento provisional de aquel entonces, a saber, el Consejo Superior de Transición, a instancias de una asociación de la sociedad civil encargada de la lucha contra la discriminación, presentó un proyecto de ley relativo a la prohibición de las prácticas discriminatorias en la República del Chad.  Debido a las circunstancias particulares de la época, caracterizada por la consolidación del proceso democrático tras la celebración de la Conferencia Nacional Soberana, el Gobierno consideró inoportuno aprobar este proyecto de ley.  No obstante, sigue dispuesto a reexaminar este proyecto de ley y a tipificar pues como delito las infracciones contenidas en sus disposiciones.</w:t>
      </w:r>
    </w:p>
    <w:p w:rsidR="00000000" w:rsidRDefault="00000000">
      <w:pPr>
        <w:spacing w:after="240"/>
        <w:rPr>
          <w:b/>
        </w:rPr>
      </w:pPr>
      <w:r>
        <w:rPr>
          <w:b/>
        </w:rPr>
        <w:t>Artículo 5</w:t>
      </w:r>
    </w:p>
    <w:p w:rsidR="00000000" w:rsidRDefault="00000000">
      <w:pPr>
        <w:spacing w:after="240"/>
      </w:pPr>
      <w:r>
        <w:t>165.</w:t>
      </w:r>
      <w:r>
        <w:tab/>
        <w:t xml:space="preserve">El Gobierno del Chad desea señalar a los miembros del Comité que, a pesar de las disposiciones de los diferentes textos legislativos citados </w:t>
      </w:r>
      <w:r>
        <w:rPr>
          <w:i/>
        </w:rPr>
        <w:t>supra</w:t>
      </w:r>
      <w:r>
        <w:t>, el Código Penal vigente es mudo en cuanto a la sanción de las prácticas discriminatorias.  Sin embargo, otros textos, como el Código del Trabajo, el Código Electoral y la Ley sobre el régimen de la prensa tratan explícitamente la cuestión y prevén sanciones adecuadas.</w:t>
      </w:r>
    </w:p>
    <w:p w:rsidR="00000000" w:rsidRDefault="00000000">
      <w:pPr>
        <w:spacing w:after="240"/>
        <w:jc w:val="center"/>
        <w:rPr>
          <w:b/>
        </w:rPr>
      </w:pPr>
      <w:r>
        <w:rPr>
          <w:b/>
        </w:rPr>
        <w:t>A.  Derecho a la igualdad de trato en los tribunales</w:t>
      </w:r>
    </w:p>
    <w:p w:rsidR="00000000" w:rsidRDefault="00000000">
      <w:pPr>
        <w:spacing w:after="240"/>
        <w:rPr>
          <w:b/>
        </w:rPr>
      </w:pPr>
      <w:r>
        <w:rPr>
          <w:b/>
        </w:rPr>
        <w:t>1.</w:t>
      </w:r>
      <w:r>
        <w:rPr>
          <w:b/>
        </w:rPr>
        <w:tab/>
        <w:t>Medidas legislativas</w:t>
      </w:r>
    </w:p>
    <w:p w:rsidR="00000000" w:rsidRDefault="00000000">
      <w:pPr>
        <w:spacing w:after="240"/>
      </w:pPr>
      <w:r>
        <w:t>166.</w:t>
      </w:r>
      <w:r>
        <w:tab/>
        <w:t>El derecho a la igualdad de trato en los tribunales, sin distinción de origen, raza, sexo, religión, opinión política o posición social está garantizado por la Constitución en sus artículos 13 y 14.</w:t>
      </w:r>
    </w:p>
    <w:p w:rsidR="00000000" w:rsidRDefault="00000000">
      <w:pPr>
        <w:spacing w:after="240"/>
      </w:pPr>
      <w:r>
        <w:t>167.</w:t>
      </w:r>
      <w:r>
        <w:tab/>
        <w:t>Por otra parte, apoyándose en uno de los grandes principios fundamentales de las Naciones Unidas enunciado en la Carta de esa Organización y en la Declaración Universal de Derechos Humanos, en la que se proclama que todos los seres humanos nacen libres e iguales en dignidad y derechos, la Constitución del Chad prevé en sus artículos 22 y 23, respectivamente, que "nadie podrá permanecer detenido en un establecimiento penitenciario a menos que así lo disponga una ley penal vigente" y que "sólo se podrá detener o acusar a una persona en virtud de una ley promulgada con anterioridad a los hechos que se le imputan".</w:t>
      </w:r>
    </w:p>
    <w:p w:rsidR="00000000" w:rsidRDefault="00000000">
      <w:pPr>
        <w:spacing w:after="240"/>
      </w:pPr>
      <w:r>
        <w:t>168.</w:t>
      </w:r>
      <w:r>
        <w:tab/>
        <w:t>El artículo 24 plantea el principio de la presunción de inocencia, que se reconoce a todo detenido hasta que se establezca su culpabilidad en un proceso que ofrezca las debidas garantías para su defensa.</w:t>
      </w:r>
    </w:p>
    <w:p w:rsidR="00000000" w:rsidRDefault="00000000">
      <w:pPr>
        <w:spacing w:after="240"/>
      </w:pPr>
      <w:r>
        <w:t>169.</w:t>
      </w:r>
      <w:r>
        <w:tab/>
        <w:t xml:space="preserve">Siempre en materia penal, en el párrafo 1 del artículo 42 del Código de Procedimiento Penal se dispone que "todo inculpado o acusado, así como toda parte civil, tiene derecho a elegir a un abogado defensor entre los que, de conformidad con los reglamentos sobre la organización judicial, estén habilitados para cumplir esta función".  En cuanto a la acción civil, el artículo 6 del Código de Procedimiento Civil establece que tiene derecho a incoarla todo aquel que sufra personalmente un daño directo a causa de una infracción. </w:t>
      </w:r>
    </w:p>
    <w:p w:rsidR="00000000" w:rsidRDefault="00000000">
      <w:pPr>
        <w:spacing w:after="240"/>
      </w:pPr>
      <w:r>
        <w:t>170.</w:t>
      </w:r>
      <w:r>
        <w:tab/>
        <w:t xml:space="preserve">Para garantizar la seguridad judicial de toda persona que recurra a los tribunales, se han previsto en varias disposiciones legislativas las garantías siguientes:  la transmisión de la causa de un órgano judicial a otro, la recusación o la abstención, la exigencia de responsabilidad a un funcionario judicial por falta personal cometida en el ejercicio de sus funciones y el recurso por denegación de justicia. </w:t>
      </w:r>
    </w:p>
    <w:p w:rsidR="00000000" w:rsidRDefault="00000000">
      <w:pPr>
        <w:spacing w:after="240"/>
      </w:pPr>
      <w:r>
        <w:t>171.</w:t>
      </w:r>
      <w:r>
        <w:tab/>
        <w:t>En consecuencia, en virtud del artículo 16 del Código de Procedimiento Civil, una causa puede ser trasladada de un tribunal a otro.  Así pues, el Tribunal de Apelación puede, a instancias de un fiscal o de una de las partes, retirar a un tribunal de primera instancia el conocimiento de una causa, bien sea porque legalmente ésta no puede constituirse, o porque la acción de la justicia se ve interrumpida por otras razones, por ejemplo, una sospecha legítima o una razón de seguridad pública, bien sea en interés de una buena administración de la justicia.</w:t>
      </w:r>
    </w:p>
    <w:p w:rsidR="00000000" w:rsidRDefault="00000000">
      <w:pPr>
        <w:spacing w:after="240"/>
      </w:pPr>
      <w:r>
        <w:t>172.</w:t>
      </w:r>
      <w:r>
        <w:tab/>
        <w:t>La recusación o la abstención están previstas en los artículos 35 a 41 del Código de Procedimiento Penal, que se aplican igualmente a los miembros de los tribunales civiles.  Así por ejemplo, según el artículo 35, todo juez puede ser recusado por las causas enunciadas a continuación:</w:t>
      </w:r>
    </w:p>
    <w:p w:rsidR="00000000" w:rsidRDefault="00000000">
      <w:pPr>
        <w:spacing w:after="240"/>
        <w:ind w:left="567"/>
      </w:pPr>
      <w:r>
        <w:tab/>
        <w:t>1)</w:t>
      </w:r>
      <w:r>
        <w:tab/>
        <w:t>Si, por sí mismo, como representante de otro o en la persona de su cónyuge o de alguno de sus familiares o de cualquier otra manera, tiene un interés en la causa;</w:t>
      </w:r>
    </w:p>
    <w:p w:rsidR="00000000" w:rsidRDefault="00000000">
      <w:pPr>
        <w:spacing w:after="240"/>
        <w:ind w:left="567"/>
      </w:pPr>
      <w:r>
        <w:tab/>
        <w:t>2)</w:t>
      </w:r>
      <w:r>
        <w:tab/>
        <w:t>Si ha conocido de la causa como fiscal, como juez de primera instancia o como árbitro o abogado, o si ha declarado como testigo sobre los hechos del proceso;</w:t>
      </w:r>
    </w:p>
    <w:p w:rsidR="00000000" w:rsidRDefault="00000000">
      <w:pPr>
        <w:spacing w:after="240"/>
        <w:ind w:left="567"/>
      </w:pPr>
      <w:r>
        <w:tab/>
        <w:t>3)</w:t>
      </w:r>
      <w:r>
        <w:tab/>
        <w:t>Si el juez o uno de sus allegados tiene en curso un litigio relativo a hechos similares a los que se tratan en el proceso;</w:t>
      </w:r>
    </w:p>
    <w:p w:rsidR="00000000" w:rsidRDefault="00000000">
      <w:pPr>
        <w:spacing w:after="240"/>
        <w:ind w:left="567"/>
      </w:pPr>
      <w:r>
        <w:tab/>
        <w:t>4)</w:t>
      </w:r>
      <w:r>
        <w:tab/>
        <w:t>Si el juez o uno de sus allegados se encuentra en una situación de dependencia con respecto a una de las partes;</w:t>
      </w:r>
    </w:p>
    <w:p w:rsidR="00000000" w:rsidRDefault="00000000">
      <w:pPr>
        <w:spacing w:after="240"/>
        <w:ind w:left="567"/>
      </w:pPr>
      <w:r>
        <w:tab/>
        <w:t>5)</w:t>
      </w:r>
      <w:r>
        <w:tab/>
        <w:t>Si el juez o uno de sus allegados tiene en curso un proceso ante un tribunal en el que sea juez una de las partes;</w:t>
      </w:r>
    </w:p>
    <w:p w:rsidR="00000000" w:rsidRDefault="00000000">
      <w:pPr>
        <w:spacing w:after="240"/>
        <w:ind w:left="567"/>
      </w:pPr>
      <w:r>
        <w:tab/>
        <w:t>6)</w:t>
      </w:r>
      <w:r>
        <w:tab/>
        <w:t xml:space="preserve">Si existe entre el juez o uno de sus allegados y una de las partes o uno de sus allegados una relación de amistad o de intimidad suficiente para hacer sospechar de su falta de imparcialidad. </w:t>
      </w:r>
    </w:p>
    <w:p w:rsidR="00000000" w:rsidRDefault="00000000">
      <w:pPr>
        <w:spacing w:after="240"/>
      </w:pPr>
      <w:r>
        <w:t>173.</w:t>
      </w:r>
      <w:r>
        <w:tab/>
        <w:t>En cuanto a la abstención, el artículo 38 prevé que los magistrados a los que se refiere la presente sección pueden decidir abstenerse de oficio, pero sólo por una de las causas enunciadas en el artículo 35 y con autorización del presidente del tribunal de apelación.</w:t>
      </w:r>
    </w:p>
    <w:p w:rsidR="00000000" w:rsidRDefault="00000000">
      <w:pPr>
        <w:spacing w:after="240"/>
      </w:pPr>
      <w:r>
        <w:t>174.</w:t>
      </w:r>
      <w:r>
        <w:tab/>
        <w:t xml:space="preserve">En virtud del artículo 18 del Código de Procedimiento Civil, es posible exigir responsabilidad por falta personal cometida en el ejercicio de sus funciones a los jueces, los miembros del ministerio público y los funcionarios de la policía judicial, en los casos siguientes: </w:t>
      </w:r>
    </w:p>
    <w:p w:rsidR="00000000" w:rsidRDefault="00000000">
      <w:pPr>
        <w:spacing w:after="240"/>
        <w:ind w:left="1134" w:hanging="567"/>
      </w:pPr>
      <w:r>
        <w:t>a)</w:t>
      </w:r>
      <w:r>
        <w:tab/>
        <w:t>En caso de robo, fraude, corrupción pasiva o falta profesional grave que, según las alegaciones, se haya cometido durante la instrucción o la elaboración del fallo;</w:t>
      </w:r>
    </w:p>
    <w:p w:rsidR="00000000" w:rsidRDefault="00000000">
      <w:pPr>
        <w:spacing w:after="240"/>
        <w:ind w:left="1134" w:hanging="567"/>
      </w:pPr>
      <w:r>
        <w:t>b)</w:t>
      </w:r>
      <w:r>
        <w:tab/>
        <w:t xml:space="preserve">Si se ha establecido explícitamente en la ley que hay lugar a exigir responsabilidad de un funcionario judicial por falta personal cometida en el ejercicio de sus funciones; </w:t>
      </w:r>
    </w:p>
    <w:p w:rsidR="00000000" w:rsidRDefault="00000000">
      <w:pPr>
        <w:spacing w:after="240"/>
        <w:ind w:left="1134" w:hanging="567"/>
      </w:pPr>
      <w:r>
        <w:t>c)</w:t>
      </w:r>
      <w:r>
        <w:tab/>
        <w:t>Si en virtud de la ley se declara que el juez debe responder por daños y perjuicios;</w:t>
      </w:r>
    </w:p>
    <w:p w:rsidR="00000000" w:rsidRDefault="00000000">
      <w:pPr>
        <w:spacing w:after="240"/>
        <w:ind w:left="1134" w:hanging="567"/>
      </w:pPr>
      <w:r>
        <w:t>d)</w:t>
      </w:r>
      <w:r>
        <w:tab/>
        <w:t>Si hay denegación de justicia.</w:t>
      </w:r>
    </w:p>
    <w:p w:rsidR="00000000" w:rsidRDefault="00000000">
      <w:pPr>
        <w:spacing w:after="240"/>
      </w:pPr>
      <w:r>
        <w:t>175.</w:t>
      </w:r>
      <w:r>
        <w:tab/>
        <w:t>En cuanto a la denegación de justicia, el artículo 20 dispone que ésta existe cuando los jueces se niegan a responder a las solicitudes o no juzgan las causas que ya estén en condiciones de ser juzgadas.</w:t>
      </w:r>
    </w:p>
    <w:p w:rsidR="00000000" w:rsidRDefault="00000000">
      <w:pPr>
        <w:keepNext/>
        <w:spacing w:after="240"/>
        <w:rPr>
          <w:b/>
        </w:rPr>
      </w:pPr>
      <w:r>
        <w:rPr>
          <w:b/>
        </w:rPr>
        <w:t>2.</w:t>
      </w:r>
      <w:r>
        <w:rPr>
          <w:b/>
        </w:rPr>
        <w:tab/>
        <w:t>Medidas judiciales</w:t>
      </w:r>
    </w:p>
    <w:p w:rsidR="00000000" w:rsidRDefault="00000000">
      <w:pPr>
        <w:spacing w:after="240"/>
      </w:pPr>
      <w:r>
        <w:t>176.</w:t>
      </w:r>
      <w:r>
        <w:tab/>
        <w:t>Las numerosas decisiones adoptadas por las instancias superiores (Tribunal de Apelación o Tribunal Supremo) en las que se invalidan las decisiones de instancias inferiores cuando no se han respetado todas las garantías de un proceso imparcial prescritas por la ley son una demostración de que está garantizada la igualdad de trato ante los tribunales.</w:t>
      </w:r>
    </w:p>
    <w:p w:rsidR="00000000" w:rsidRDefault="00000000">
      <w:pPr>
        <w:spacing w:after="240"/>
        <w:rPr>
          <w:b/>
        </w:rPr>
      </w:pPr>
      <w:r>
        <w:rPr>
          <w:b/>
        </w:rPr>
        <w:t>3.</w:t>
      </w:r>
      <w:r>
        <w:rPr>
          <w:b/>
        </w:rPr>
        <w:tab/>
        <w:t>Medidas administrativas</w:t>
      </w:r>
    </w:p>
    <w:p w:rsidR="00000000" w:rsidRDefault="00000000">
      <w:pPr>
        <w:spacing w:after="240"/>
        <w:rPr>
          <w:b/>
        </w:rPr>
      </w:pPr>
      <w:r>
        <w:rPr>
          <w:b/>
        </w:rPr>
        <w:tab/>
        <w:t>a)</w:t>
      </w:r>
      <w:r>
        <w:rPr>
          <w:b/>
        </w:rPr>
        <w:tab/>
        <w:t xml:space="preserve">Inspección General de los Servicios Judiciales </w:t>
      </w:r>
    </w:p>
    <w:p w:rsidR="00000000" w:rsidRDefault="00000000">
      <w:pPr>
        <w:spacing w:after="240"/>
      </w:pPr>
      <w:r>
        <w:t>177.</w:t>
      </w:r>
      <w:r>
        <w:tab/>
        <w:t>El Decreto Nº 421/PR/MJ/2002, de 18 de octubre de 2002, relativo al organigrama del Ministerio de Justicia estableció una inspección general bajo la autoridad de un inspector general, secundado por cuatro inspectores, todos ellos magistrados.</w:t>
      </w:r>
    </w:p>
    <w:p w:rsidR="00000000" w:rsidRDefault="00000000">
      <w:pPr>
        <w:spacing w:after="240"/>
      </w:pPr>
      <w:r>
        <w:t>178.</w:t>
      </w:r>
      <w:r>
        <w:tab/>
        <w:t xml:space="preserve">La Inspección General de los Servicios Judiciales ejerce una misión permanente de control y evaluación de todos los órganos judiciales y de todos los servicios adscritos al Ministerio de Justicia, a excepción del Tribunal Supremo.  Esta misión se precisó en el Decreto Nº 48/MJ/IGSJ/06, de 30 de octubre de 2006, en el que se establecieron las modalidades de funcionamiento de este servicio. </w:t>
      </w:r>
    </w:p>
    <w:p w:rsidR="00000000" w:rsidRDefault="00000000">
      <w:pPr>
        <w:spacing w:after="240"/>
      </w:pPr>
      <w:r>
        <w:t>179.</w:t>
      </w:r>
      <w:r>
        <w:tab/>
        <w:t>En el marco de sus investigaciones administrativas, las personas investigadas, antes de ser escuchadas, deben poder tomar conocimiento de su expediente o recibir una notificación sobre los cargos que se les imputan.  La inspección evalúa entre otras cosas, el funcionamiento de los órganos judiciales o los servicios desde el punto de vista de la organización, el método y la manera en que el personal presta su servicio.  Las deficiencias o incumplimientos constatados durante una misión de investigación pueden dar lugar a un procedimiento disciplinario contra el infractor.  De esta manera, el control que ejerce este servicio contribuye a garantizar el derecho del usuario de la justicia a un trato equitativo ante los tribunales.</w:t>
      </w:r>
    </w:p>
    <w:p w:rsidR="00000000" w:rsidRDefault="00000000">
      <w:pPr>
        <w:spacing w:after="240"/>
      </w:pPr>
      <w:r>
        <w:t>180.</w:t>
      </w:r>
      <w:r>
        <w:tab/>
        <w:t>En caso de que, tras una denuncia, la Inspección General establezca que por una u otra razón un magistrado es de alguna manera responsable de haber violado uno de los principios que pueden garantizar a los usuarios de la justicias un trato equitativo, el Ministro de Justicia encargará el caso al Consejo Superior de la Magistratura que entablará el oportuno procedimiento disciplinario.</w:t>
      </w:r>
    </w:p>
    <w:p w:rsidR="00000000" w:rsidRDefault="00000000">
      <w:pPr>
        <w:spacing w:after="240"/>
        <w:rPr>
          <w:b/>
        </w:rPr>
      </w:pPr>
      <w:r>
        <w:rPr>
          <w:b/>
        </w:rPr>
        <w:tab/>
        <w:t>b)</w:t>
      </w:r>
      <w:r>
        <w:rPr>
          <w:b/>
        </w:rPr>
        <w:tab/>
        <w:t>Consejo Superior de la Magistratura</w:t>
      </w:r>
    </w:p>
    <w:p w:rsidR="00000000" w:rsidRDefault="00000000">
      <w:pPr>
        <w:spacing w:after="240"/>
      </w:pPr>
      <w:r>
        <w:t>181.</w:t>
      </w:r>
      <w:r>
        <w:tab/>
        <w:t xml:space="preserve">El Consejo Superior de la Magistratura (CSM), órgano constitucional encargado de la designación, la promoción y la disciplina de los magistrados a todos los niveles, está presidido por el Presidente de la República, secundado por el Ministro de Justicia y por el Presidente del Tribunal Supremo.  Integran también el Consejo dos representantes del Tribunal Supremo, tres de los tribunales de apelación, dos de los tribunales ordinarios y uno de los juzgados de paz, además de sus suplentes, elegidos por sus pares. </w:t>
      </w:r>
    </w:p>
    <w:p w:rsidR="00000000" w:rsidRDefault="00000000">
      <w:pPr>
        <w:keepNext/>
        <w:keepLines/>
        <w:spacing w:after="240"/>
      </w:pPr>
      <w:r>
        <w:t>182.</w:t>
      </w:r>
      <w:r>
        <w:tab/>
        <w:t>El funcionamiento del Consejo Superior de la Magistratura se rige por la Ley Nº 005/PR/98, de 7 de julio de 1998.  En materia disciplinaria, el Consejo está presidido por el Presidente del Tribunal Supremo o, en su defecto, por el magistrado de mayor rango.  Los hechos que motivan el procedimiento son denunciados al CSM por el Ministro de Justicia.</w:t>
      </w:r>
    </w:p>
    <w:p w:rsidR="00000000" w:rsidRDefault="00000000">
      <w:pPr>
        <w:spacing w:after="240"/>
      </w:pPr>
      <w:r>
        <w:t>183.</w:t>
      </w:r>
      <w:r>
        <w:tab/>
        <w:t>El Consejo emite asimismo su opinión sobre el derecho de indulto.</w:t>
      </w:r>
    </w:p>
    <w:p w:rsidR="00000000" w:rsidRDefault="00000000">
      <w:pPr>
        <w:spacing w:after="240"/>
      </w:pPr>
      <w:r>
        <w:t>184.</w:t>
      </w:r>
      <w:r>
        <w:tab/>
        <w:t>Las decisiones que adopta el CSM cuando sanciona faltas cometidas por los magistrados en el ejercicio de sus funciones constituyen medidas administrativas que contribuyen eficazmente al mejor funcionamiento del aparato judicial.  En ese sentido, la creación del CSM es una de las medidas legislativas encaminadas a controlar las acciones de los jueces.</w:t>
      </w:r>
    </w:p>
    <w:p w:rsidR="00000000" w:rsidRDefault="00000000">
      <w:pPr>
        <w:spacing w:after="240"/>
        <w:ind w:left="364" w:hanging="364"/>
        <w:jc w:val="center"/>
        <w:rPr>
          <w:b/>
        </w:rPr>
      </w:pPr>
      <w:r>
        <w:rPr>
          <w:b/>
        </w:rPr>
        <w:t>B.  Derecho a la seguridad personal y a la protección del Estado contra</w:t>
      </w:r>
      <w:r>
        <w:rPr>
          <w:b/>
        </w:rPr>
        <w:br/>
        <w:t>todo acto de violencia o atentado contra la integridad personal</w:t>
      </w:r>
    </w:p>
    <w:p w:rsidR="00000000" w:rsidRDefault="00000000">
      <w:pPr>
        <w:spacing w:after="240"/>
        <w:rPr>
          <w:b/>
        </w:rPr>
      </w:pPr>
      <w:r>
        <w:rPr>
          <w:b/>
        </w:rPr>
        <w:t>1.</w:t>
      </w:r>
      <w:r>
        <w:rPr>
          <w:b/>
        </w:rPr>
        <w:tab/>
        <w:t>Medidas legislativas</w:t>
      </w:r>
    </w:p>
    <w:p w:rsidR="00000000" w:rsidRDefault="00000000">
      <w:pPr>
        <w:spacing w:after="240"/>
      </w:pPr>
      <w:r>
        <w:t>185.</w:t>
      </w:r>
      <w:r>
        <w:tab/>
        <w:t>La protección de la vida y la integridad física de la persona está garantizada por la Constitución.  Así, en su artículo 17 se establece que "la persona humana es sagrada e inviolable".  En el párrafo 2 de esta misma disposición se añade que "todo individuo tiene derecho a la vida, a la integridad personal, a la seguridad, a la libertad y a la protección de su vida privada y de sus bienes".</w:t>
      </w:r>
    </w:p>
    <w:p w:rsidR="00000000" w:rsidRDefault="00000000">
      <w:pPr>
        <w:spacing w:after="240"/>
      </w:pPr>
      <w:r>
        <w:t>186.</w:t>
      </w:r>
      <w:r>
        <w:tab/>
        <w:t>Por otra parte, los artículos 22 y 23 de la Constitución disponen, respectivamente, que "nadie podrá permanecer detenido en un establecimiento penitenciario a menos que así lo disponga una ley penal vigente" y que "sólo se podrá detener o acusar a una persona en virtud de una ley promulgada con anterioridad a los hechos que se le imputan".</w:t>
      </w:r>
    </w:p>
    <w:p w:rsidR="00000000" w:rsidRDefault="00000000">
      <w:pPr>
        <w:spacing w:after="240"/>
      </w:pPr>
      <w:r>
        <w:t>187.</w:t>
      </w:r>
      <w:r>
        <w:tab/>
        <w:t xml:space="preserve">En el mismo sentido, el artículo 1 del Código Penal dispone que "ningún delito o infracción podrá castigarse con penas que no estuviesen fijadas por la ley antes de que dicho delito o infracción hubiese sido cometido". </w:t>
      </w:r>
    </w:p>
    <w:p w:rsidR="00000000" w:rsidRDefault="00000000">
      <w:pPr>
        <w:spacing w:after="240"/>
        <w:rPr>
          <w:b/>
        </w:rPr>
      </w:pPr>
      <w:r>
        <w:rPr>
          <w:b/>
        </w:rPr>
        <w:t>2.</w:t>
      </w:r>
      <w:r>
        <w:rPr>
          <w:b/>
        </w:rPr>
        <w:tab/>
        <w:t>Código Penal</w:t>
      </w:r>
    </w:p>
    <w:p w:rsidR="00000000" w:rsidRDefault="00000000">
      <w:pPr>
        <w:spacing w:after="240"/>
        <w:rPr>
          <w:b/>
        </w:rPr>
      </w:pPr>
      <w:r>
        <w:rPr>
          <w:b/>
        </w:rPr>
        <w:tab/>
        <w:t>a)</w:t>
      </w:r>
      <w:r>
        <w:rPr>
          <w:b/>
        </w:rPr>
        <w:tab/>
        <w:t xml:space="preserve">Atentado contra las libertades </w:t>
      </w:r>
    </w:p>
    <w:p w:rsidR="00000000" w:rsidRDefault="00000000">
      <w:pPr>
        <w:spacing w:after="240"/>
      </w:pPr>
      <w:r>
        <w:t>188.</w:t>
      </w:r>
      <w:r>
        <w:tab/>
        <w:t>De conformidad con el artículo 143 del Código Penal, cuando un funcionario público o un agente o encargado del Gobierno haya ordenado o cometido un acto arbitrario o contrario a la libertad individual o a la Constitución será condenado a una pena de seis meses a cinco años de prisión y a una multa de 5.000 a 5 millones de francos.</w:t>
      </w:r>
    </w:p>
    <w:p w:rsidR="00000000" w:rsidRDefault="00000000">
      <w:pPr>
        <w:spacing w:after="240"/>
      </w:pPr>
      <w:r>
        <w:t>189.</w:t>
      </w:r>
      <w:r>
        <w:tab/>
        <w:t>No obstante, si demuestra que ha actuado por orden de sus superiores en asuntos de la competencia de éstos y que les debía obediencia jerárquica, se le eximirá de la pena, que, en ese caso, se aplicará únicamente a los superiores que hayan dado la orden.</w:t>
      </w:r>
    </w:p>
    <w:p w:rsidR="00000000" w:rsidRDefault="00000000">
      <w:pPr>
        <w:keepNext/>
        <w:keepLines/>
        <w:spacing w:after="240"/>
      </w:pPr>
      <w:r>
        <w:t>190.</w:t>
      </w:r>
      <w:r>
        <w:tab/>
        <w:t xml:space="preserve">Por lo que se refiere a la obtención de una autorización por medios fraudulentos, el artículo 144 del Código Penal precisa que no basta con invocar el hecho de haber sido víctima de tal engaño y que éste debe ser denunciado sin equívoco.  Así, los ministros acusados de haber ordenado o autorizado un acto contrario a la Constitución, si sostienen que la firma que se les atribuye se obtuvo de manera fraudulenta, tienen la obligación de poner fin al acto y denunciar a quienes consideren responsables del fraude porque de lo contrario serán perseguidos personalmente. </w:t>
      </w:r>
    </w:p>
    <w:p w:rsidR="00000000" w:rsidRDefault="00000000">
      <w:pPr>
        <w:spacing w:after="240"/>
      </w:pPr>
      <w:r>
        <w:t>191.</w:t>
      </w:r>
      <w:r>
        <w:tab/>
        <w:t>Según el artículo 145 del Código Penal, los funcionarios públicos encargados de la policía administrativa o judicial que, deliberadamente o por negligencia, ignoren una reclamación legal cuyo objetivo sea constatar detenciones ilegales o arbitrarias, ya sea en establecimientos penitenciarios o en otros lugares, y que no justifique haberlas denunciado a la autoridad superior, serán sancionados con una pena de un mes a un año de prisión y el pago de daños y perjuicios.</w:t>
      </w:r>
    </w:p>
    <w:p w:rsidR="00000000" w:rsidRDefault="00000000">
      <w:pPr>
        <w:spacing w:after="240"/>
      </w:pPr>
      <w:r>
        <w:t>192.</w:t>
      </w:r>
      <w:r>
        <w:tab/>
        <w:t>Asimismo, de conformidad con el artículo 146, los guardianes de los centros penitenciarios que hayan admitido a un preso sin la debida orden o condena o, si se trata de una expulsión o extradición, sin la orden provisional del Gobierno y lo retengan o se nieguen a presentarlo al funcionario de policía o al portador de las órdenes sin justificar una prohibición del Fiscal de la República o del juez, o se nieguen a mostrar los registros de inscripción al funcionario de policía serán considerados culpables de detención arbitraria, que se castiga con una pena de seis meses a dos años de prisión y multa de 5.000 a 100.000 francos.</w:t>
      </w:r>
    </w:p>
    <w:p w:rsidR="00000000" w:rsidRDefault="00000000">
      <w:pPr>
        <w:spacing w:after="240"/>
      </w:pPr>
      <w:r>
        <w:t>193.</w:t>
      </w:r>
      <w:r>
        <w:tab/>
        <w:t>Las penas previstas en el artículo 146 se aplicarán al Fiscal General o al Fiscal de la República, a los demás fiscales, al juez o al funcionario público que haya retenido o hecho retener a una persona fuera de los centros previstos por el Gobierno o por la administración pública (artículo 148 del Código Penal).</w:t>
      </w:r>
    </w:p>
    <w:p w:rsidR="00000000" w:rsidRDefault="00000000">
      <w:pPr>
        <w:spacing w:after="240"/>
        <w:rPr>
          <w:b/>
        </w:rPr>
      </w:pPr>
      <w:r>
        <w:rPr>
          <w:b/>
        </w:rPr>
        <w:tab/>
        <w:t>b)</w:t>
      </w:r>
      <w:r>
        <w:rPr>
          <w:b/>
        </w:rPr>
        <w:tab/>
        <w:t>Detención ilegal y el secuestro de personas</w:t>
      </w:r>
    </w:p>
    <w:p w:rsidR="00000000" w:rsidRDefault="00000000">
      <w:pPr>
        <w:spacing w:after="240"/>
      </w:pPr>
      <w:r>
        <w:t>194.</w:t>
      </w:r>
      <w:r>
        <w:tab/>
        <w:t>Los artículos de la Constitución relativos a las libertades y derechos fundamentales establecen claramente el principio de la prohibición de la detención ilegal y el secuestro de personas.  El artículo 149 y el párrafo 1 del artículo 152 del Código Penal precisan los detalles de la infracción y las sanciones previstas para sus autores.  El artículo 149 dispone que se castigará con pena de trabajos forzados temporales a quienes, sin orden de las autoridades constituidas, hayan detenido, encarcelado o secuestrado a una persona, salvo cuando la ley exige la detención de un acusado.  Asimismo, se aplicarán esas penas a quienes hayan prestado un local para la detención o el secuestro.</w:t>
      </w:r>
    </w:p>
    <w:p w:rsidR="00000000" w:rsidRDefault="00000000">
      <w:pPr>
        <w:spacing w:after="240"/>
      </w:pPr>
      <w:r>
        <w:t>195.</w:t>
      </w:r>
      <w:r>
        <w:tab/>
        <w:t>Por su parte, el párrafo 1 del artículo 152 dispone que todo acuerdo que restrinja la libertad de la persona, como la cesión, la sujeción a servidumbre o la dependencia por deudas, se castigará con la pena aplicable al secuestro arbitrario.</w:t>
      </w:r>
    </w:p>
    <w:p w:rsidR="00000000" w:rsidRDefault="00000000">
      <w:pPr>
        <w:keepNext/>
        <w:keepLines/>
        <w:spacing w:after="240"/>
        <w:rPr>
          <w:b/>
        </w:rPr>
      </w:pPr>
      <w:r>
        <w:rPr>
          <w:b/>
        </w:rPr>
        <w:t>3.</w:t>
      </w:r>
      <w:r>
        <w:rPr>
          <w:b/>
        </w:rPr>
        <w:tab/>
        <w:t>Medidas judiciales</w:t>
      </w:r>
    </w:p>
    <w:p w:rsidR="00000000" w:rsidRDefault="00000000">
      <w:pPr>
        <w:keepNext/>
        <w:keepLines/>
        <w:spacing w:after="240"/>
      </w:pPr>
      <w:r>
        <w:t>196.</w:t>
      </w:r>
      <w:r>
        <w:tab/>
        <w:t>Todas las infracciones previstas y sancionadas en los artículos del Código Penal citados en relación con las medidas legislativas serán objeto de un proceso, siempre que se las ponga en conocimiento de la Fiscalía.</w:t>
      </w:r>
    </w:p>
    <w:p w:rsidR="00000000" w:rsidRDefault="00000000">
      <w:pPr>
        <w:spacing w:after="240"/>
        <w:rPr>
          <w:b/>
        </w:rPr>
      </w:pPr>
      <w:r>
        <w:rPr>
          <w:b/>
        </w:rPr>
        <w:t>4.</w:t>
      </w:r>
      <w:r>
        <w:rPr>
          <w:b/>
        </w:rPr>
        <w:tab/>
        <w:t>Medidas administrativas</w:t>
      </w:r>
    </w:p>
    <w:p w:rsidR="00000000" w:rsidRDefault="00000000">
      <w:pPr>
        <w:spacing w:after="240"/>
      </w:pPr>
      <w:r>
        <w:t>197.</w:t>
      </w:r>
      <w:r>
        <w:tab/>
        <w:t xml:space="preserve">El establecimiento del Mediador Nacional y de la Comisión Nacional de Derechos Humanos, citado </w:t>
      </w:r>
      <w:r>
        <w:rPr>
          <w:i/>
        </w:rPr>
        <w:t>supra</w:t>
      </w:r>
      <w:r>
        <w:t>, forma parte de las medidas administrativas adoptadas con el fin de evitar el mal funcionamiento de los servicios del Estado.</w:t>
      </w:r>
    </w:p>
    <w:p w:rsidR="00000000" w:rsidRDefault="00000000">
      <w:pPr>
        <w:spacing w:after="240"/>
      </w:pPr>
      <w:r>
        <w:t>198.</w:t>
      </w:r>
      <w:r>
        <w:tab/>
        <w:t xml:space="preserve">En conclusión, conviene reconocer que las barreras culturales y la formación insuficiente de algunas autoridades constituidas dificultan la aplicación efectiva y eficaz de las disposiciones mencionadas.  Estas barreras están relacionadas con la supervivencia de ciertas prácticas discriminatorias en virtud de las cuales se trata a otros como inferiores (castas). </w:t>
      </w:r>
    </w:p>
    <w:p w:rsidR="00000000" w:rsidRDefault="00000000">
      <w:pPr>
        <w:spacing w:after="240"/>
      </w:pPr>
      <w:r>
        <w:t>199.</w:t>
      </w:r>
      <w:r>
        <w:tab/>
        <w:t>Sin embargo, estas consideraciones de orden cultural no obligan al Estado ni impiden a esas personas acceder a altas funciones o a cargos electivos.  Desafortunadamente, dichas prácticas están tan arraigadas en ciertas regiones que a veces corrompen la autoridad del Estado.</w:t>
      </w:r>
    </w:p>
    <w:p w:rsidR="00000000" w:rsidRDefault="00000000">
      <w:pPr>
        <w:spacing w:after="240"/>
        <w:jc w:val="center"/>
        <w:rPr>
          <w:b/>
          <w:bCs/>
          <w:szCs w:val="28"/>
        </w:rPr>
      </w:pPr>
      <w:r>
        <w:rPr>
          <w:b/>
          <w:bCs/>
          <w:szCs w:val="28"/>
        </w:rPr>
        <w:t>C.  Derechos políticos</w:t>
      </w:r>
    </w:p>
    <w:p w:rsidR="00000000" w:rsidRDefault="00000000">
      <w:pPr>
        <w:spacing w:after="240"/>
        <w:rPr>
          <w:b/>
          <w:szCs w:val="28"/>
        </w:rPr>
      </w:pPr>
      <w:r>
        <w:rPr>
          <w:b/>
          <w:szCs w:val="28"/>
        </w:rPr>
        <w:t>1.</w:t>
      </w:r>
      <w:r>
        <w:rPr>
          <w:b/>
          <w:szCs w:val="28"/>
        </w:rPr>
        <w:tab/>
        <w:t>Derecho a presentarse como candidato y a votar</w:t>
      </w:r>
    </w:p>
    <w:p w:rsidR="00000000" w:rsidRDefault="00000000">
      <w:pPr>
        <w:spacing w:after="240"/>
        <w:ind w:left="1134" w:hanging="567"/>
        <w:rPr>
          <w:i/>
          <w:iCs/>
          <w:szCs w:val="28"/>
        </w:rPr>
      </w:pPr>
      <w:r>
        <w:rPr>
          <w:b/>
          <w:szCs w:val="28"/>
        </w:rPr>
        <w:t>a)</w:t>
      </w:r>
      <w:r>
        <w:rPr>
          <w:szCs w:val="28"/>
        </w:rPr>
        <w:tab/>
      </w:r>
      <w:r>
        <w:rPr>
          <w:b/>
          <w:iCs/>
          <w:szCs w:val="28"/>
        </w:rPr>
        <w:t>Medidas legislativas</w:t>
      </w:r>
    </w:p>
    <w:p w:rsidR="00000000" w:rsidRDefault="00000000">
      <w:pPr>
        <w:spacing w:after="240"/>
        <w:ind w:left="567"/>
        <w:rPr>
          <w:b/>
          <w:i/>
          <w:szCs w:val="28"/>
        </w:rPr>
      </w:pPr>
      <w:r>
        <w:rPr>
          <w:b/>
          <w:i/>
          <w:szCs w:val="28"/>
        </w:rPr>
        <w:t>i)</w:t>
      </w:r>
      <w:r>
        <w:rPr>
          <w:b/>
          <w:szCs w:val="28"/>
        </w:rPr>
        <w:tab/>
      </w:r>
      <w:r>
        <w:rPr>
          <w:b/>
          <w:i/>
          <w:szCs w:val="28"/>
        </w:rPr>
        <w:t>El derecho de voto</w:t>
      </w:r>
    </w:p>
    <w:p w:rsidR="00000000" w:rsidRDefault="00000000">
      <w:pPr>
        <w:spacing w:after="240"/>
        <w:ind w:left="1134"/>
        <w:rPr>
          <w:szCs w:val="28"/>
        </w:rPr>
      </w:pPr>
      <w:r>
        <w:rPr>
          <w:i/>
          <w:szCs w:val="28"/>
        </w:rPr>
        <w:t>a)</w:t>
      </w:r>
      <w:r>
        <w:rPr>
          <w:szCs w:val="28"/>
        </w:rPr>
        <w:tab/>
      </w:r>
      <w:r>
        <w:rPr>
          <w:i/>
          <w:szCs w:val="28"/>
        </w:rPr>
        <w:t>La Constitución</w:t>
      </w:r>
    </w:p>
    <w:p w:rsidR="00000000" w:rsidRDefault="00000000">
      <w:pPr>
        <w:tabs>
          <w:tab w:val="num" w:pos="0"/>
        </w:tabs>
        <w:spacing w:after="240"/>
        <w:rPr>
          <w:szCs w:val="28"/>
        </w:rPr>
      </w:pPr>
      <w:r>
        <w:rPr>
          <w:szCs w:val="28"/>
        </w:rPr>
        <w:t>200.</w:t>
      </w:r>
      <w:r>
        <w:rPr>
          <w:szCs w:val="28"/>
        </w:rPr>
        <w:tab/>
        <w:t xml:space="preserve">En el primer párrafo de su artículo 3, la Constitución de la República del Chad establece que la soberanía dimana del pueblo, que la ejerce directamente por referéndum o indirectamente por mediación de sus representantes elegidos. </w:t>
      </w:r>
    </w:p>
    <w:p w:rsidR="00000000" w:rsidRDefault="00000000">
      <w:pPr>
        <w:tabs>
          <w:tab w:val="num" w:pos="0"/>
        </w:tabs>
        <w:spacing w:after="240"/>
        <w:rPr>
          <w:szCs w:val="28"/>
        </w:rPr>
      </w:pPr>
      <w:r>
        <w:rPr>
          <w:szCs w:val="28"/>
        </w:rPr>
        <w:t>201.</w:t>
      </w:r>
      <w:r>
        <w:rPr>
          <w:szCs w:val="28"/>
        </w:rPr>
        <w:tab/>
        <w:t xml:space="preserve">En el artículo 6 de la Constitución se precisa que el sufragio es universal, directo o indirecto, igual y secreto y se reconoce el derecho de voto, en las condiciones </w:t>
      </w:r>
      <w:r>
        <w:t>establecidas</w:t>
      </w:r>
      <w:r>
        <w:rPr>
          <w:szCs w:val="28"/>
        </w:rPr>
        <w:t xml:space="preserve"> por la ley, a todos los chadianos, hombres y mujeres, mayores de 18 años y que gocen de sus derechos civiles y políticos.</w:t>
      </w:r>
    </w:p>
    <w:p w:rsidR="00000000" w:rsidRDefault="00000000">
      <w:pPr>
        <w:spacing w:after="240"/>
        <w:ind w:left="1134"/>
        <w:rPr>
          <w:szCs w:val="28"/>
        </w:rPr>
      </w:pPr>
      <w:r>
        <w:rPr>
          <w:i/>
          <w:szCs w:val="28"/>
        </w:rPr>
        <w:t>b)</w:t>
      </w:r>
      <w:r>
        <w:rPr>
          <w:szCs w:val="28"/>
        </w:rPr>
        <w:tab/>
      </w:r>
      <w:r>
        <w:rPr>
          <w:i/>
          <w:szCs w:val="28"/>
        </w:rPr>
        <w:t>El Código Electoral</w:t>
      </w:r>
      <w:r>
        <w:rPr>
          <w:szCs w:val="28"/>
        </w:rPr>
        <w:t xml:space="preserve"> </w:t>
      </w:r>
    </w:p>
    <w:p w:rsidR="00000000" w:rsidRDefault="00000000">
      <w:pPr>
        <w:tabs>
          <w:tab w:val="num" w:pos="0"/>
        </w:tabs>
        <w:spacing w:after="240"/>
        <w:rPr>
          <w:szCs w:val="28"/>
        </w:rPr>
      </w:pPr>
      <w:r>
        <w:rPr>
          <w:szCs w:val="28"/>
        </w:rPr>
        <w:t>202.</w:t>
      </w:r>
      <w:r>
        <w:rPr>
          <w:szCs w:val="28"/>
        </w:rPr>
        <w:tab/>
        <w:t>En la Ley Nº 021/PR/2000, de 18 de septiembre de 2000, que contiene el Código Electoral se establece que podrán votar todos los chadianos, hombres y mujeres, que hayan cumplido 18 </w:t>
      </w:r>
      <w:r>
        <w:t>años</w:t>
      </w:r>
      <w:r>
        <w:rPr>
          <w:szCs w:val="28"/>
        </w:rPr>
        <w:t xml:space="preserve"> en el momento de las elecciones, que gocen de sus derechos civiles y políticos, que estén inscritos en la lista electoral y que no hayan incurrido en una incapacidad prevista por la ley.</w:t>
      </w:r>
    </w:p>
    <w:p w:rsidR="00000000" w:rsidRDefault="00000000">
      <w:pPr>
        <w:spacing w:after="240"/>
        <w:ind w:left="1701" w:hanging="567"/>
        <w:rPr>
          <w:szCs w:val="28"/>
        </w:rPr>
      </w:pPr>
      <w:r>
        <w:rPr>
          <w:bCs/>
          <w:i/>
          <w:szCs w:val="28"/>
        </w:rPr>
        <w:t>c)</w:t>
      </w:r>
      <w:r>
        <w:rPr>
          <w:bCs/>
          <w:szCs w:val="28"/>
        </w:rPr>
        <w:tab/>
      </w:r>
      <w:r>
        <w:rPr>
          <w:bCs/>
          <w:i/>
          <w:szCs w:val="28"/>
        </w:rPr>
        <w:t xml:space="preserve">La Ley Nº 003/PR/2000, </w:t>
      </w:r>
      <w:r>
        <w:rPr>
          <w:i/>
          <w:szCs w:val="28"/>
        </w:rPr>
        <w:t>de 16 de febrero de 2000, relativa al régimen electoral de las circunscripciones territoriales descentralizadas</w:t>
      </w:r>
    </w:p>
    <w:p w:rsidR="00000000" w:rsidRDefault="00000000">
      <w:pPr>
        <w:tabs>
          <w:tab w:val="num" w:pos="0"/>
        </w:tabs>
        <w:spacing w:after="240"/>
        <w:rPr>
          <w:szCs w:val="28"/>
        </w:rPr>
      </w:pPr>
      <w:r>
        <w:rPr>
          <w:szCs w:val="28"/>
        </w:rPr>
        <w:t>203.</w:t>
      </w:r>
      <w:r>
        <w:rPr>
          <w:szCs w:val="28"/>
        </w:rPr>
        <w:tab/>
        <w:t xml:space="preserve">En el artículo 7 de la Ley Nº 003/PR/2000, de 16 de febrero de 2000, se establecen los requisitos </w:t>
      </w:r>
      <w:r>
        <w:t>para</w:t>
      </w:r>
      <w:r>
        <w:rPr>
          <w:szCs w:val="28"/>
        </w:rPr>
        <w:t xml:space="preserve"> poder votar.  Podrán votar todos los ciudadanos chadianos, hombres y mujeres, mayores de 18 años debidamente inscritos en la lista electoral de la circunscripción en que vayan a votar. </w:t>
      </w:r>
    </w:p>
    <w:p w:rsidR="00000000" w:rsidRDefault="00000000">
      <w:pPr>
        <w:spacing w:after="240"/>
        <w:ind w:left="567"/>
        <w:rPr>
          <w:b/>
          <w:i/>
          <w:szCs w:val="28"/>
        </w:rPr>
      </w:pPr>
      <w:r>
        <w:rPr>
          <w:b/>
          <w:i/>
          <w:szCs w:val="28"/>
        </w:rPr>
        <w:t>ii)</w:t>
      </w:r>
      <w:r>
        <w:rPr>
          <w:b/>
          <w:i/>
          <w:szCs w:val="28"/>
        </w:rPr>
        <w:tab/>
        <w:t>El derecho a presentarse como candidato</w:t>
      </w:r>
    </w:p>
    <w:p w:rsidR="00000000" w:rsidRDefault="00000000">
      <w:pPr>
        <w:spacing w:after="240"/>
        <w:ind w:left="1134"/>
        <w:rPr>
          <w:szCs w:val="28"/>
        </w:rPr>
      </w:pPr>
      <w:r>
        <w:rPr>
          <w:i/>
          <w:szCs w:val="28"/>
        </w:rPr>
        <w:t>a)</w:t>
      </w:r>
      <w:r>
        <w:rPr>
          <w:i/>
          <w:szCs w:val="28"/>
        </w:rPr>
        <w:tab/>
        <w:t>La Constitución</w:t>
      </w:r>
    </w:p>
    <w:p w:rsidR="00000000" w:rsidRDefault="00000000">
      <w:pPr>
        <w:tabs>
          <w:tab w:val="num" w:pos="0"/>
        </w:tabs>
        <w:spacing w:after="240"/>
        <w:rPr>
          <w:szCs w:val="28"/>
        </w:rPr>
      </w:pPr>
      <w:r>
        <w:rPr>
          <w:iCs/>
          <w:szCs w:val="28"/>
        </w:rPr>
        <w:t>204.</w:t>
      </w:r>
      <w:r>
        <w:rPr>
          <w:iCs/>
          <w:szCs w:val="28"/>
        </w:rPr>
        <w:tab/>
      </w:r>
      <w:r>
        <w:rPr>
          <w:i/>
          <w:iCs/>
          <w:szCs w:val="28"/>
        </w:rPr>
        <w:t>Candidatura a la Presidencia de la República</w:t>
      </w:r>
      <w:r>
        <w:rPr>
          <w:bCs/>
          <w:szCs w:val="28"/>
        </w:rPr>
        <w:t xml:space="preserve">.  </w:t>
      </w:r>
      <w:r>
        <w:rPr>
          <w:szCs w:val="28"/>
        </w:rPr>
        <w:t xml:space="preserve">En el artículo 62 de la Constitución se establece </w:t>
      </w:r>
      <w:r>
        <w:t>que</w:t>
      </w:r>
      <w:r>
        <w:rPr>
          <w:szCs w:val="28"/>
        </w:rPr>
        <w:t xml:space="preserve"> podrán presentar su candidatura a la Presidencia de la República todos los chadianos, hombres y mujeres, que reúnan las siguientes condiciones:  nacionalidad chadiana, buen estado de salud física y mental, una conducta ética, 35 años como mínimo y pleno goce de todos sus derechos cívicos y políticos.  Además, cada candidato deberá pagar una fianza de 5 millones de francos CFA, suma fijada en el Código Electoral.</w:t>
      </w:r>
    </w:p>
    <w:p w:rsidR="00000000" w:rsidRDefault="00000000">
      <w:pPr>
        <w:tabs>
          <w:tab w:val="num" w:pos="0"/>
        </w:tabs>
        <w:spacing w:after="240"/>
        <w:rPr>
          <w:szCs w:val="28"/>
        </w:rPr>
      </w:pPr>
      <w:r>
        <w:rPr>
          <w:iCs/>
          <w:szCs w:val="28"/>
        </w:rPr>
        <w:t>205.</w:t>
      </w:r>
      <w:r>
        <w:rPr>
          <w:iCs/>
          <w:szCs w:val="28"/>
        </w:rPr>
        <w:tab/>
      </w:r>
      <w:r>
        <w:rPr>
          <w:i/>
          <w:iCs/>
          <w:szCs w:val="28"/>
        </w:rPr>
        <w:t>Candidatura a la Asamblea Nacional</w:t>
      </w:r>
      <w:r>
        <w:rPr>
          <w:szCs w:val="28"/>
        </w:rPr>
        <w:t xml:space="preserve">.  En el artículo 108 se establece que podrán presentar su candidatura a la Asamblea Nacional todos los chadianos, hombres y mujeres, que </w:t>
      </w:r>
      <w:r>
        <w:t>cumplan</w:t>
      </w:r>
      <w:r>
        <w:rPr>
          <w:szCs w:val="28"/>
        </w:rPr>
        <w:t xml:space="preserve"> las condiciones impuestas por la ley.  En el artículo 152 del Código Electoral se establece que podrán ser elegidos a la Asamblea Nacional todos los chadianos, hombres o mujeres, que hayan cumplido 25 años, estén inscritos en una lista electoral, residan desde por lo menos un año en el territorio de la República del Chad y sepan leer y escribir en francés o en árabe. </w:t>
      </w:r>
    </w:p>
    <w:p w:rsidR="00000000" w:rsidRDefault="00000000">
      <w:pPr>
        <w:tabs>
          <w:tab w:val="num" w:pos="0"/>
        </w:tabs>
        <w:spacing w:after="240"/>
        <w:rPr>
          <w:szCs w:val="28"/>
        </w:rPr>
      </w:pPr>
      <w:r>
        <w:rPr>
          <w:szCs w:val="28"/>
        </w:rPr>
        <w:t>206.</w:t>
      </w:r>
      <w:r>
        <w:rPr>
          <w:szCs w:val="28"/>
        </w:rPr>
        <w:tab/>
        <w:t xml:space="preserve">El </w:t>
      </w:r>
      <w:r>
        <w:t>candidato</w:t>
      </w:r>
      <w:r>
        <w:rPr>
          <w:szCs w:val="28"/>
        </w:rPr>
        <w:t xml:space="preserve"> deberá, no obstante, ser presentado por un partido político o una agrupación de partidos políticos legalmente constituidos. </w:t>
      </w:r>
    </w:p>
    <w:p w:rsidR="00000000" w:rsidRDefault="00000000">
      <w:pPr>
        <w:spacing w:after="240"/>
        <w:ind w:left="1134"/>
        <w:rPr>
          <w:szCs w:val="28"/>
        </w:rPr>
      </w:pPr>
      <w:r>
        <w:rPr>
          <w:i/>
          <w:szCs w:val="28"/>
        </w:rPr>
        <w:t>b)</w:t>
      </w:r>
      <w:r>
        <w:rPr>
          <w:szCs w:val="28"/>
        </w:rPr>
        <w:tab/>
      </w:r>
      <w:r>
        <w:rPr>
          <w:i/>
          <w:szCs w:val="28"/>
        </w:rPr>
        <w:t>El Código Electoral</w:t>
      </w:r>
    </w:p>
    <w:p w:rsidR="00000000" w:rsidRDefault="00000000">
      <w:pPr>
        <w:tabs>
          <w:tab w:val="num" w:pos="0"/>
        </w:tabs>
        <w:spacing w:after="240"/>
        <w:rPr>
          <w:szCs w:val="28"/>
        </w:rPr>
      </w:pPr>
      <w:r>
        <w:rPr>
          <w:szCs w:val="28"/>
        </w:rPr>
        <w:t>207.</w:t>
      </w:r>
      <w:r>
        <w:rPr>
          <w:szCs w:val="28"/>
        </w:rPr>
        <w:tab/>
        <w:t xml:space="preserve">El Código Electoral contiene disposiciones comunes a las elecciones </w:t>
      </w:r>
      <w:r>
        <w:t>presidenciales</w:t>
      </w:r>
      <w:r>
        <w:rPr>
          <w:szCs w:val="28"/>
        </w:rPr>
        <w:t xml:space="preserve"> y legislativas y disposiciones concretas para cada una de estas elecciones. </w:t>
      </w:r>
    </w:p>
    <w:p w:rsidR="00000000" w:rsidRDefault="00000000">
      <w:pPr>
        <w:tabs>
          <w:tab w:val="num" w:pos="0"/>
        </w:tabs>
        <w:spacing w:after="240"/>
        <w:rPr>
          <w:szCs w:val="28"/>
        </w:rPr>
      </w:pPr>
      <w:r>
        <w:rPr>
          <w:iCs/>
          <w:szCs w:val="28"/>
        </w:rPr>
        <w:t>208.</w:t>
      </w:r>
      <w:r>
        <w:rPr>
          <w:iCs/>
          <w:szCs w:val="28"/>
        </w:rPr>
        <w:tab/>
      </w:r>
      <w:r>
        <w:rPr>
          <w:i/>
          <w:iCs/>
          <w:szCs w:val="28"/>
        </w:rPr>
        <w:t>Disposiciones comunes</w:t>
      </w:r>
      <w:r>
        <w:rPr>
          <w:szCs w:val="28"/>
        </w:rPr>
        <w:t xml:space="preserve">.  Todo ciudadano chadiano podrá presentarse como candidato y </w:t>
      </w:r>
      <w:r>
        <w:t>ser</w:t>
      </w:r>
      <w:r>
        <w:rPr>
          <w:szCs w:val="28"/>
        </w:rPr>
        <w:t xml:space="preserve"> elegido, a reserva de las condiciones de edad y de los casos de incapacidad o </w:t>
      </w:r>
      <w:bookmarkStart w:id="3" w:name="hit1"/>
      <w:bookmarkEnd w:id="3"/>
      <w:r>
        <w:rPr>
          <w:szCs w:val="28"/>
        </w:rPr>
        <w:t>inelegibilidad previstos en la ley (artículo 115 del Código Electoral).</w:t>
      </w:r>
    </w:p>
    <w:p w:rsidR="00000000" w:rsidRDefault="00000000">
      <w:pPr>
        <w:tabs>
          <w:tab w:val="num" w:pos="0"/>
        </w:tabs>
        <w:spacing w:after="240"/>
        <w:rPr>
          <w:szCs w:val="28"/>
        </w:rPr>
      </w:pPr>
      <w:r>
        <w:rPr>
          <w:bCs/>
          <w:iCs/>
          <w:szCs w:val="28"/>
        </w:rPr>
        <w:t>209.</w:t>
      </w:r>
      <w:r>
        <w:rPr>
          <w:bCs/>
          <w:iCs/>
          <w:szCs w:val="28"/>
        </w:rPr>
        <w:tab/>
      </w:r>
      <w:r>
        <w:rPr>
          <w:bCs/>
          <w:i/>
          <w:iCs/>
          <w:szCs w:val="28"/>
        </w:rPr>
        <w:t xml:space="preserve">Ley Nº 003/PR/2000, de 16 de febrero de 2000, relativa al régimen electoral de las </w:t>
      </w:r>
      <w:r>
        <w:rPr>
          <w:i/>
        </w:rPr>
        <w:t>circunscripciones</w:t>
      </w:r>
      <w:r>
        <w:rPr>
          <w:bCs/>
          <w:i/>
          <w:iCs/>
          <w:szCs w:val="28"/>
        </w:rPr>
        <w:t xml:space="preserve"> territoriales descentralizadas</w:t>
      </w:r>
      <w:r>
        <w:rPr>
          <w:bCs/>
          <w:szCs w:val="28"/>
        </w:rPr>
        <w:t xml:space="preserve">. </w:t>
      </w:r>
      <w:r>
        <w:rPr>
          <w:szCs w:val="28"/>
        </w:rPr>
        <w:t xml:space="preserve"> Las condiciones de elegibilidad, inelegibilidad e incompatibilidad se detallan en los artículos 10 a 14 de esta ley.  En el artículo 10, relativo a las condiciones de elegibilidad, se estipula que los ciudadanos del Chad, hombres o mujeres, que tengan por lo menos 25 años de edad, estén inscritos en una lista electoral, gocen de todos sus derechos civiles y políticos y tengan por lo menos un año de residencia en el territorio nacional o vínculos notorios con la comuna, el departamento o la región se pueden presentar como candidatos a los concejos municipales, departamentales o regionales.</w:t>
      </w:r>
    </w:p>
    <w:p w:rsidR="00000000" w:rsidRDefault="00000000">
      <w:pPr>
        <w:keepNext/>
        <w:keepLines/>
        <w:spacing w:after="240"/>
        <w:ind w:left="567"/>
        <w:rPr>
          <w:szCs w:val="28"/>
        </w:rPr>
      </w:pPr>
      <w:r>
        <w:rPr>
          <w:b/>
          <w:szCs w:val="28"/>
        </w:rPr>
        <w:t>b)</w:t>
      </w:r>
      <w:r>
        <w:rPr>
          <w:szCs w:val="28"/>
        </w:rPr>
        <w:tab/>
      </w:r>
      <w:r>
        <w:rPr>
          <w:b/>
          <w:iCs/>
          <w:szCs w:val="28"/>
        </w:rPr>
        <w:t>Medidas judiciales</w:t>
      </w:r>
    </w:p>
    <w:p w:rsidR="00000000" w:rsidRDefault="00000000">
      <w:pPr>
        <w:tabs>
          <w:tab w:val="num" w:pos="0"/>
        </w:tabs>
        <w:spacing w:after="240"/>
        <w:rPr>
          <w:szCs w:val="28"/>
        </w:rPr>
      </w:pPr>
      <w:r>
        <w:rPr>
          <w:szCs w:val="28"/>
        </w:rPr>
        <w:t>210.</w:t>
      </w:r>
      <w:r>
        <w:rPr>
          <w:szCs w:val="28"/>
        </w:rPr>
        <w:tab/>
        <w:t xml:space="preserve">Todo contencioso electoral relacionado con las elecciones legislativas o </w:t>
      </w:r>
      <w:r>
        <w:t>presidenciales</w:t>
      </w:r>
      <w:r>
        <w:rPr>
          <w:szCs w:val="28"/>
        </w:rPr>
        <w:t xml:space="preserve"> incumbe al Consejo Constitucional.  Esta instancia ha tenido que intervenir en todas las elecciones presidenciales, sobre todo en las de 1996, 2001 y 2006.  Una vez examinado el fondo de las solicitudes presentadas, se las declaró parcialmente fundamentadas, lo que permitió reajustar el número de votos obtenidos por los distintos candidatos. </w:t>
      </w:r>
    </w:p>
    <w:p w:rsidR="00000000" w:rsidRDefault="00000000">
      <w:pPr>
        <w:spacing w:after="240"/>
        <w:ind w:left="567"/>
        <w:rPr>
          <w:b/>
          <w:szCs w:val="28"/>
        </w:rPr>
      </w:pPr>
      <w:r>
        <w:rPr>
          <w:b/>
          <w:szCs w:val="28"/>
        </w:rPr>
        <w:t>c)</w:t>
      </w:r>
      <w:r>
        <w:rPr>
          <w:b/>
          <w:szCs w:val="28"/>
        </w:rPr>
        <w:tab/>
        <w:t>Medidas administrativas</w:t>
      </w:r>
    </w:p>
    <w:p w:rsidR="00000000" w:rsidRDefault="00000000">
      <w:pPr>
        <w:tabs>
          <w:tab w:val="num" w:pos="0"/>
        </w:tabs>
        <w:spacing w:after="240"/>
        <w:rPr>
          <w:szCs w:val="28"/>
        </w:rPr>
      </w:pPr>
      <w:r>
        <w:rPr>
          <w:szCs w:val="28"/>
        </w:rPr>
        <w:t>211.</w:t>
      </w:r>
      <w:r>
        <w:rPr>
          <w:szCs w:val="28"/>
        </w:rPr>
        <w:tab/>
        <w:t xml:space="preserve">Todas las votaciones que han tenido lugar en el Chad desde la instauración de la democracia han sido supervisadas por una Comisión Electoral Nacional Independiente (CENI).  En ocasiones, la labor de la CENI ha sido precedida por la del Ministerio de la Administración del Territorio, por conducto de la Comisión nacional del censo electoral. </w:t>
      </w:r>
    </w:p>
    <w:p w:rsidR="00000000" w:rsidRDefault="00000000">
      <w:pPr>
        <w:tabs>
          <w:tab w:val="num" w:pos="0"/>
        </w:tabs>
        <w:spacing w:after="240"/>
        <w:rPr>
          <w:szCs w:val="28"/>
        </w:rPr>
      </w:pPr>
      <w:r>
        <w:rPr>
          <w:szCs w:val="28"/>
        </w:rPr>
        <w:t>212.</w:t>
      </w:r>
      <w:r>
        <w:rPr>
          <w:szCs w:val="28"/>
        </w:rPr>
        <w:tab/>
        <w:t xml:space="preserve">Las disposiciones legales en materia electoral no crean ningún tipo de discriminación.  Sin embargo, conviene hacer referencia a la información solicitada por el Comité sobre los medios existentes para garantizar, por ejemplo, que los pueblos indígenas y las personas de origen étnico o nacional distinto puedan disfrutar del ejercicio de los mismos derechos políticos que el resto de la población y sobre si éstos cuenten con una representación proporcional a su número en el Parlamento.  El Gobierno chadiano desea señalar sencillamente que las elecciones al Parlamento no se basan en criterios étnicos.  La representación está vinculada con las circunscripciones electorales, que pueden agrupas diversas etnias. </w:t>
      </w:r>
    </w:p>
    <w:p w:rsidR="00000000" w:rsidRDefault="00000000">
      <w:pPr>
        <w:tabs>
          <w:tab w:val="num" w:pos="0"/>
        </w:tabs>
        <w:spacing w:after="240"/>
        <w:rPr>
          <w:szCs w:val="28"/>
        </w:rPr>
      </w:pPr>
      <w:r>
        <w:rPr>
          <w:szCs w:val="28"/>
        </w:rPr>
        <w:t>213.</w:t>
      </w:r>
      <w:r>
        <w:rPr>
          <w:szCs w:val="28"/>
        </w:rPr>
        <w:tab/>
        <w:t xml:space="preserve">Las múltiples etnias existentes en el Chad enriquecen un país que vive la unidad nacional desde su independencia.  En todos los textos fundamentales se ha reafirmado siempre la voluntad de los habitantes del Chad de vivir juntos, en el respeto de su diversidad étnica, religiosa, regional y cultural. </w:t>
      </w:r>
    </w:p>
    <w:p w:rsidR="00000000" w:rsidRDefault="00000000">
      <w:pPr>
        <w:tabs>
          <w:tab w:val="num" w:pos="0"/>
        </w:tabs>
        <w:spacing w:after="240"/>
        <w:rPr>
          <w:szCs w:val="28"/>
        </w:rPr>
      </w:pPr>
      <w:r>
        <w:rPr>
          <w:szCs w:val="28"/>
        </w:rPr>
        <w:t>214.</w:t>
      </w:r>
      <w:r>
        <w:rPr>
          <w:szCs w:val="28"/>
        </w:rPr>
        <w:tab/>
        <w:t xml:space="preserve">Aun así, la cuestión de la diversidad étnica y cultural no se pierde de vista, motivo por el que la </w:t>
      </w:r>
      <w:r>
        <w:rPr>
          <w:bCs/>
          <w:szCs w:val="28"/>
        </w:rPr>
        <w:t xml:space="preserve">Carta de los Partidos Políticos del Chad exige que los miembros fundadores </w:t>
      </w:r>
      <w:r>
        <w:rPr>
          <w:szCs w:val="28"/>
        </w:rPr>
        <w:t xml:space="preserve">procedan de distintas regiones del país. </w:t>
      </w:r>
    </w:p>
    <w:p w:rsidR="00000000" w:rsidRDefault="00000000">
      <w:pPr>
        <w:tabs>
          <w:tab w:val="num" w:pos="0"/>
        </w:tabs>
        <w:spacing w:after="240"/>
        <w:rPr>
          <w:szCs w:val="28"/>
        </w:rPr>
      </w:pPr>
      <w:r>
        <w:rPr>
          <w:szCs w:val="28"/>
        </w:rPr>
        <w:t>215.</w:t>
      </w:r>
      <w:r>
        <w:rPr>
          <w:szCs w:val="28"/>
        </w:rPr>
        <w:tab/>
        <w:t>Es cierto que en los últimos años se han producido en el sudeste y el este del Chad violentos y recurrentes enfrentamientos entre comunidades, que han provocado numerosos desplazamientos.  Pero las causas de esos enfrentamientos no guardan relación alguna con la representación parlamentaria.</w:t>
      </w:r>
    </w:p>
    <w:p w:rsidR="00000000" w:rsidRDefault="00000000">
      <w:pPr>
        <w:tabs>
          <w:tab w:val="num" w:pos="0"/>
        </w:tabs>
        <w:spacing w:after="240"/>
        <w:rPr>
          <w:szCs w:val="28"/>
        </w:rPr>
      </w:pPr>
      <w:r>
        <w:rPr>
          <w:szCs w:val="28"/>
        </w:rPr>
        <w:t>216.</w:t>
      </w:r>
      <w:r>
        <w:rPr>
          <w:szCs w:val="28"/>
        </w:rPr>
        <w:tab/>
        <w:t>Además, el Chad es, en esencia, una tierra de asilo y en relación con los extranjeros y refugiados el artículo 15 de la Constitución revisada establece que "Con excepción de los derechos políticos, los extranjeros legalmente admitidos en el territorio de la República del Chad gozarán de los mismos derechos y libertades que los nacionales, dentro de los límites establecidos por la ley…".</w:t>
      </w:r>
    </w:p>
    <w:p w:rsidR="00000000" w:rsidRDefault="00000000">
      <w:pPr>
        <w:tabs>
          <w:tab w:val="num" w:pos="0"/>
        </w:tabs>
        <w:spacing w:after="240"/>
        <w:rPr>
          <w:szCs w:val="28"/>
        </w:rPr>
      </w:pPr>
      <w:r>
        <w:rPr>
          <w:szCs w:val="28"/>
        </w:rPr>
        <w:t>217.</w:t>
      </w:r>
      <w:r>
        <w:rPr>
          <w:szCs w:val="28"/>
        </w:rPr>
        <w:tab/>
        <w:t xml:space="preserve">No obstante, quienes hayan adquirido legalmente la nacionalidad chadiana tendrán iguales derechos políticos que los nacionales de origen. </w:t>
      </w:r>
    </w:p>
    <w:p w:rsidR="00000000" w:rsidRDefault="00000000">
      <w:pPr>
        <w:keepNext/>
        <w:keepLines/>
        <w:spacing w:after="240"/>
        <w:jc w:val="center"/>
        <w:rPr>
          <w:b/>
          <w:bCs/>
          <w:szCs w:val="28"/>
        </w:rPr>
      </w:pPr>
      <w:r>
        <w:rPr>
          <w:b/>
          <w:bCs/>
          <w:szCs w:val="28"/>
        </w:rPr>
        <w:t>D.  Otros derechos civiles y el derecho a la nacionalidad</w:t>
      </w:r>
    </w:p>
    <w:p w:rsidR="00000000" w:rsidRDefault="00000000">
      <w:pPr>
        <w:spacing w:after="240"/>
        <w:rPr>
          <w:szCs w:val="28"/>
        </w:rPr>
      </w:pPr>
      <w:r>
        <w:rPr>
          <w:b/>
          <w:bCs/>
          <w:szCs w:val="28"/>
        </w:rPr>
        <w:t>1.</w:t>
      </w:r>
      <w:r>
        <w:rPr>
          <w:b/>
          <w:bCs/>
          <w:szCs w:val="28"/>
        </w:rPr>
        <w:tab/>
        <w:t>Libertad de expresión y de reunión</w:t>
      </w:r>
    </w:p>
    <w:p w:rsidR="00000000" w:rsidRDefault="00000000">
      <w:pPr>
        <w:spacing w:after="240"/>
        <w:rPr>
          <w:b/>
          <w:iCs/>
          <w:szCs w:val="28"/>
        </w:rPr>
      </w:pPr>
      <w:r>
        <w:rPr>
          <w:szCs w:val="28"/>
        </w:rPr>
        <w:tab/>
      </w:r>
      <w:r>
        <w:rPr>
          <w:b/>
          <w:szCs w:val="28"/>
        </w:rPr>
        <w:t>a)</w:t>
      </w:r>
      <w:r>
        <w:rPr>
          <w:b/>
          <w:szCs w:val="28"/>
        </w:rPr>
        <w:tab/>
      </w:r>
      <w:r>
        <w:rPr>
          <w:b/>
          <w:iCs/>
          <w:szCs w:val="28"/>
        </w:rPr>
        <w:t>La Constitución</w:t>
      </w:r>
    </w:p>
    <w:p w:rsidR="00000000" w:rsidRDefault="00000000">
      <w:pPr>
        <w:tabs>
          <w:tab w:val="num" w:pos="0"/>
        </w:tabs>
        <w:spacing w:after="240"/>
        <w:rPr>
          <w:szCs w:val="28"/>
        </w:rPr>
      </w:pPr>
      <w:r>
        <w:rPr>
          <w:szCs w:val="28"/>
        </w:rPr>
        <w:t>218.</w:t>
      </w:r>
      <w:r>
        <w:rPr>
          <w:szCs w:val="28"/>
        </w:rPr>
        <w:tab/>
        <w:t xml:space="preserve">El artículo 27 de la Constitución reconoce y garantiza a todos la libertad de opinión y de expresión, de comunicación, de conciencia, de religión, de prensa, de asociación, de reunión, de </w:t>
      </w:r>
      <w:r>
        <w:t xml:space="preserve">circulación, </w:t>
      </w:r>
      <w:r>
        <w:rPr>
          <w:szCs w:val="28"/>
        </w:rPr>
        <w:t>de manifestación y de cortejo.</w:t>
      </w:r>
    </w:p>
    <w:p w:rsidR="00000000" w:rsidRDefault="00000000">
      <w:pPr>
        <w:tabs>
          <w:tab w:val="num" w:pos="0"/>
        </w:tabs>
        <w:spacing w:after="240"/>
        <w:rPr>
          <w:szCs w:val="28"/>
        </w:rPr>
      </w:pPr>
      <w:r>
        <w:rPr>
          <w:szCs w:val="28"/>
        </w:rPr>
        <w:t>219.</w:t>
      </w:r>
      <w:r>
        <w:rPr>
          <w:szCs w:val="28"/>
        </w:rPr>
        <w:tab/>
        <w:t xml:space="preserve">Las únicas limitaciones son el respeto de las libertades y los derechos ajenos y el imperativo de proteger el orden público y las buenas costumbres. </w:t>
      </w:r>
    </w:p>
    <w:p w:rsidR="00000000" w:rsidRDefault="00000000">
      <w:pPr>
        <w:tabs>
          <w:tab w:val="num" w:pos="0"/>
        </w:tabs>
        <w:spacing w:after="240"/>
        <w:rPr>
          <w:szCs w:val="28"/>
        </w:rPr>
      </w:pPr>
      <w:r>
        <w:rPr>
          <w:szCs w:val="28"/>
        </w:rPr>
        <w:t>220.</w:t>
      </w:r>
      <w:r>
        <w:rPr>
          <w:szCs w:val="28"/>
        </w:rPr>
        <w:tab/>
        <w:t xml:space="preserve">En aplicación del párrafo 3 del artículo 27, las condiciones para el ejercicio de esas libertades </w:t>
      </w:r>
      <w:r>
        <w:t>han</w:t>
      </w:r>
      <w:r>
        <w:rPr>
          <w:szCs w:val="28"/>
        </w:rPr>
        <w:t xml:space="preserve"> quedado establecidas en diversos textos legales y reglamentarios.</w:t>
      </w:r>
    </w:p>
    <w:p w:rsidR="00000000" w:rsidRDefault="00000000">
      <w:pPr>
        <w:spacing w:after="240"/>
        <w:rPr>
          <w:szCs w:val="28"/>
        </w:rPr>
      </w:pPr>
      <w:r>
        <w:rPr>
          <w:b/>
          <w:szCs w:val="28"/>
        </w:rPr>
        <w:tab/>
        <w:t>b)</w:t>
      </w:r>
      <w:r>
        <w:rPr>
          <w:b/>
          <w:szCs w:val="28"/>
        </w:rPr>
        <w:tab/>
        <w:t>Leyes que regulan la actividad de los medios de comunicación en el Chad</w:t>
      </w:r>
    </w:p>
    <w:p w:rsidR="00000000" w:rsidRDefault="00000000">
      <w:pPr>
        <w:spacing w:after="240"/>
        <w:ind w:left="924" w:hanging="357"/>
        <w:rPr>
          <w:szCs w:val="28"/>
        </w:rPr>
      </w:pPr>
      <w:r>
        <w:rPr>
          <w:szCs w:val="28"/>
        </w:rPr>
        <w:t>-</w:t>
      </w:r>
      <w:r>
        <w:rPr>
          <w:szCs w:val="28"/>
        </w:rPr>
        <w:tab/>
        <w:t>Ley Nº 029/PR/94, de 22 de agosto de 1994, sobre el régimen de la prensa en el Chad;</w:t>
      </w:r>
    </w:p>
    <w:p w:rsidR="00000000" w:rsidRDefault="00000000">
      <w:pPr>
        <w:spacing w:after="240"/>
        <w:ind w:left="924" w:hanging="357"/>
        <w:rPr>
          <w:szCs w:val="28"/>
        </w:rPr>
      </w:pPr>
      <w:r>
        <w:rPr>
          <w:szCs w:val="28"/>
        </w:rPr>
        <w:t>-</w:t>
      </w:r>
      <w:r>
        <w:rPr>
          <w:szCs w:val="28"/>
        </w:rPr>
        <w:tab/>
        <w:t>Ley Nº 43/PR/94 sobre la comunicación audiovisual;</w:t>
      </w:r>
    </w:p>
    <w:p w:rsidR="00000000" w:rsidRDefault="00000000">
      <w:pPr>
        <w:spacing w:after="240"/>
        <w:ind w:left="924" w:hanging="357"/>
        <w:rPr>
          <w:szCs w:val="28"/>
        </w:rPr>
      </w:pPr>
      <w:r>
        <w:rPr>
          <w:szCs w:val="28"/>
        </w:rPr>
        <w:t>-</w:t>
      </w:r>
      <w:r>
        <w:rPr>
          <w:szCs w:val="28"/>
        </w:rPr>
        <w:tab/>
        <w:t>Ley Nº 012/PR/94, de 9 de abril de 1994, sobre la creación del Alto Consejo de la Comunicación.</w:t>
      </w:r>
    </w:p>
    <w:p w:rsidR="00000000" w:rsidRDefault="00000000">
      <w:pPr>
        <w:tabs>
          <w:tab w:val="num" w:pos="0"/>
        </w:tabs>
        <w:spacing w:after="240"/>
        <w:rPr>
          <w:szCs w:val="28"/>
        </w:rPr>
      </w:pPr>
      <w:r>
        <w:rPr>
          <w:szCs w:val="28"/>
        </w:rPr>
        <w:t>221.</w:t>
      </w:r>
      <w:r>
        <w:rPr>
          <w:szCs w:val="28"/>
        </w:rPr>
        <w:tab/>
        <w:t xml:space="preserve">La Ley Nº 029/PR/94, de 22 de agosto de 1994, sobre el régimen de la prensa en el Chad contiene disposiciones que protegen contra la discriminación racial.  La ley prohíbe toda difamación de grupos de personas pertenecientes a etnias o religiones determinadas. </w:t>
      </w:r>
    </w:p>
    <w:p w:rsidR="00000000" w:rsidRDefault="00000000">
      <w:pPr>
        <w:spacing w:after="240"/>
        <w:rPr>
          <w:b/>
          <w:bCs/>
          <w:szCs w:val="28"/>
        </w:rPr>
      </w:pPr>
      <w:r>
        <w:rPr>
          <w:b/>
          <w:bCs/>
          <w:szCs w:val="28"/>
        </w:rPr>
        <w:t>2.</w:t>
      </w:r>
      <w:r>
        <w:rPr>
          <w:b/>
          <w:bCs/>
          <w:szCs w:val="28"/>
        </w:rPr>
        <w:tab/>
        <w:t>Libertad de asociación y reunión</w:t>
      </w:r>
    </w:p>
    <w:p w:rsidR="00000000" w:rsidRDefault="00000000">
      <w:pPr>
        <w:spacing w:after="240"/>
      </w:pPr>
      <w:r>
        <w:rPr>
          <w:bCs/>
          <w:szCs w:val="28"/>
        </w:rPr>
        <w:t>222.</w:t>
      </w:r>
      <w:r>
        <w:rPr>
          <w:bCs/>
          <w:szCs w:val="28"/>
        </w:rPr>
        <w:tab/>
      </w:r>
      <w:r>
        <w:t xml:space="preserve">La Ordenanza Nº 27, de 28 de julio de 1962, por la que se regulan las asociaciones y su Decreto de aplicación Nº 165, de 25 de agosto de 1962, rigen la declaración de fundación de asociaciones, determinan las autoridades habilitadas en la materia y prevén sanciones en caso de incumplimiento. </w:t>
      </w:r>
    </w:p>
    <w:p w:rsidR="00000000" w:rsidRDefault="00000000">
      <w:pPr>
        <w:spacing w:after="240"/>
      </w:pPr>
      <w:r>
        <w:t>223.</w:t>
      </w:r>
      <w:r>
        <w:tab/>
        <w:t xml:space="preserve">Las reuniones públicas se rigen por la Ordenanza Nº 46/INT/SUR, de 27 de octubre de 1962.  Conforme al artículo 1 de dicha ordenanza, no se podrá celebrar reuniones públicas sin autorización previa y está prohibido celebrarlas en la vía pública. </w:t>
      </w:r>
    </w:p>
    <w:p w:rsidR="00000000" w:rsidRDefault="00000000">
      <w:pPr>
        <w:tabs>
          <w:tab w:val="num" w:pos="0"/>
        </w:tabs>
        <w:spacing w:after="240"/>
      </w:pPr>
      <w:r>
        <w:t>224.</w:t>
      </w:r>
      <w:r>
        <w:tab/>
        <w:t>El anuncio de una reunión pública se debe efectuar dentro de los plazos previstos:  5 días como mínimo y 15 como máximo antes de su celebración.  La autoridad competente que reciba ese anuncio deberá pronunciarse formalmente sobre su autorización o prohibición (art. 2).</w:t>
      </w:r>
    </w:p>
    <w:p w:rsidR="00000000" w:rsidRDefault="00000000">
      <w:pPr>
        <w:tabs>
          <w:tab w:val="num" w:pos="0"/>
        </w:tabs>
        <w:spacing w:after="240"/>
      </w:pPr>
      <w:r>
        <w:t>225.</w:t>
      </w:r>
      <w:r>
        <w:tab/>
        <w:t xml:space="preserve">Se castigará el incumplimiento de la obligación de declarar las asociaciones, así como la no constitución por éstas de órganos directivos. </w:t>
      </w:r>
    </w:p>
    <w:p w:rsidR="00000000" w:rsidRDefault="00000000">
      <w:pPr>
        <w:keepNext/>
        <w:keepLines/>
        <w:spacing w:after="240"/>
        <w:rPr>
          <w:b/>
          <w:bCs/>
          <w:szCs w:val="28"/>
        </w:rPr>
      </w:pPr>
      <w:r>
        <w:rPr>
          <w:b/>
          <w:bCs/>
          <w:szCs w:val="28"/>
        </w:rPr>
        <w:t>3.</w:t>
      </w:r>
      <w:r>
        <w:rPr>
          <w:b/>
          <w:bCs/>
          <w:szCs w:val="28"/>
        </w:rPr>
        <w:tab/>
        <w:t>Derecho al matrimonio y a la elección del cónyuge</w:t>
      </w:r>
    </w:p>
    <w:p w:rsidR="00000000" w:rsidRDefault="00000000">
      <w:pPr>
        <w:tabs>
          <w:tab w:val="num" w:pos="0"/>
        </w:tabs>
        <w:spacing w:after="240"/>
      </w:pPr>
      <w:r>
        <w:t>226.</w:t>
      </w:r>
      <w:r>
        <w:tab/>
        <w:t xml:space="preserve">La Ley Nº 06/PR/2002 de promoción de la salud reproductiva, de 15 de abril de 2002, dispone en su artículo 5 que toda persona que haya alcanzado la edad legal exigida podrá, dentro de los límites impuestos por la legislación vigente y el respeto de los usos y costumbres tradicionales, elegir con toda libertad, responsabilidad y discernimiento casarse o no casarse y formar o no una familia. </w:t>
      </w:r>
    </w:p>
    <w:p w:rsidR="00000000" w:rsidRDefault="00000000">
      <w:pPr>
        <w:tabs>
          <w:tab w:val="num" w:pos="0"/>
        </w:tabs>
        <w:spacing w:after="240"/>
      </w:pPr>
      <w:r>
        <w:t>227.</w:t>
      </w:r>
      <w:r>
        <w:tab/>
        <w:t xml:space="preserve">El artículo 4 de esa misma ley permite a las parejas y a los individuos decidir libre y responsablemente las cuestiones relacionadas con la salud reproductiva, respetando las antedichas condiciones. </w:t>
      </w:r>
    </w:p>
    <w:p w:rsidR="00000000" w:rsidRDefault="00000000">
      <w:pPr>
        <w:tabs>
          <w:tab w:val="num" w:pos="0"/>
        </w:tabs>
        <w:spacing w:after="240"/>
      </w:pPr>
      <w:r>
        <w:t>228.</w:t>
      </w:r>
      <w:r>
        <w:tab/>
        <w:t xml:space="preserve">Asimismo, también podrán decidir libre y responsablemente el número de hijos que desean tener y el intervalo entre los nacimientos, así como el derecho a acceder a la mejor salud reproductiva posible. </w:t>
      </w:r>
    </w:p>
    <w:p w:rsidR="00000000" w:rsidRDefault="00000000">
      <w:pPr>
        <w:tabs>
          <w:tab w:val="num" w:pos="0"/>
        </w:tabs>
        <w:spacing w:after="240"/>
      </w:pPr>
      <w:r>
        <w:t>229.</w:t>
      </w:r>
      <w:r>
        <w:tab/>
        <w:t xml:space="preserve">En la práctica, ciertas barreras de orden cultural dificultan la aplicación de la Ley Nº 06/PR/2002, pero los jóvenes están empezando a romper ciertas prohibiciones tribales y confesionales en materia de matrimonio y cada vez se celebran más uniones de jóvenes procedentes de comunidades diferentes. </w:t>
      </w:r>
    </w:p>
    <w:p w:rsidR="00000000" w:rsidRDefault="00000000">
      <w:pPr>
        <w:spacing w:after="240"/>
        <w:rPr>
          <w:b/>
          <w:bCs/>
          <w:szCs w:val="28"/>
        </w:rPr>
      </w:pPr>
      <w:r>
        <w:rPr>
          <w:b/>
          <w:bCs/>
          <w:szCs w:val="28"/>
        </w:rPr>
        <w:t>4.</w:t>
      </w:r>
      <w:r>
        <w:rPr>
          <w:b/>
          <w:bCs/>
          <w:szCs w:val="28"/>
        </w:rPr>
        <w:tab/>
        <w:t>Derecho a heredar</w:t>
      </w:r>
    </w:p>
    <w:p w:rsidR="00000000" w:rsidRDefault="00000000">
      <w:pPr>
        <w:tabs>
          <w:tab w:val="num" w:pos="0"/>
        </w:tabs>
        <w:spacing w:after="240"/>
      </w:pPr>
      <w:r>
        <w:t>230.</w:t>
      </w:r>
      <w:r>
        <w:tab/>
        <w:t xml:space="preserve">Para compensar la ausencia de un código de la persona y la familia, las normas consuetudinarias y tradicionales rigen el régimen matrimonial y las sucesiones en las comunidades donde se las reconoce y con el consentimiento de las partes, en aplicación de lo dispuesto en los artículos 156 y 157 de la Constitución. </w:t>
      </w:r>
    </w:p>
    <w:p w:rsidR="00000000" w:rsidRDefault="00000000">
      <w:pPr>
        <w:tabs>
          <w:tab w:val="num" w:pos="0"/>
        </w:tabs>
        <w:spacing w:after="240"/>
      </w:pPr>
      <w:r>
        <w:t>231.</w:t>
      </w:r>
      <w:r>
        <w:tab/>
        <w:t>Esas disposiciones de la Constitución justifican el mantenimiento de los artículos 70, 71 y 72 de la Ordenanza Nº 6­67/PR.MJ, de 21 de marzo de 1967, que reformó la organización judicial, hoy derogada por la nueva Ley sobre la organización judicial.</w:t>
      </w:r>
    </w:p>
    <w:p w:rsidR="00000000" w:rsidRDefault="00000000">
      <w:pPr>
        <w:tabs>
          <w:tab w:val="num" w:pos="0"/>
        </w:tabs>
        <w:spacing w:after="240"/>
      </w:pPr>
      <w:r>
        <w:t>232.</w:t>
      </w:r>
      <w:r>
        <w:tab/>
        <w:t>Conforme al artículo 70, cuando las partes tengan un estatuto civil diferente, se aplicarán las siguientes normas:</w:t>
      </w:r>
    </w:p>
    <w:p w:rsidR="00000000" w:rsidRDefault="00000000">
      <w:pPr>
        <w:spacing w:after="240"/>
        <w:ind w:left="567"/>
        <w:rPr>
          <w:szCs w:val="28"/>
        </w:rPr>
      </w:pPr>
      <w:r>
        <w:rPr>
          <w:szCs w:val="28"/>
        </w:rPr>
        <w:tab/>
        <w:t>1)</w:t>
      </w:r>
      <w:r>
        <w:rPr>
          <w:szCs w:val="28"/>
        </w:rPr>
        <w:tab/>
        <w:t>Por lo que respecta a la validez del matrimonio, el régimen matrimonial en ausencia de contrato de matrimonio, la dote, los derechos y obligaciones de los cónyuges, los derechos de patria potestad, la disolución de la unión conyugal y sus consecuencias y la filiación legítima, se estatuirá con arreglo a la ley aplicable al marido, a menos que las partes hubieran acordado otra cosa en el momento del matrimonio.</w:t>
      </w:r>
    </w:p>
    <w:p w:rsidR="00000000" w:rsidRDefault="00000000">
      <w:pPr>
        <w:spacing w:after="240"/>
        <w:ind w:left="1134"/>
        <w:rPr>
          <w:szCs w:val="28"/>
        </w:rPr>
      </w:pPr>
      <w:r>
        <w:rPr>
          <w:szCs w:val="28"/>
        </w:rPr>
        <w:t>...</w:t>
      </w:r>
    </w:p>
    <w:p w:rsidR="00000000" w:rsidRDefault="00000000">
      <w:pPr>
        <w:spacing w:after="240"/>
        <w:ind w:left="567"/>
        <w:rPr>
          <w:szCs w:val="28"/>
        </w:rPr>
      </w:pPr>
      <w:r>
        <w:rPr>
          <w:szCs w:val="28"/>
        </w:rPr>
        <w:tab/>
        <w:t>4)</w:t>
      </w:r>
      <w:r>
        <w:rPr>
          <w:szCs w:val="28"/>
        </w:rPr>
        <w:tab/>
        <w:t xml:space="preserve">Las sucesiones se regirán por la ley aplicable al difunto. </w:t>
      </w:r>
    </w:p>
    <w:p w:rsidR="00000000" w:rsidRDefault="00000000">
      <w:pPr>
        <w:tabs>
          <w:tab w:val="num" w:pos="0"/>
        </w:tabs>
        <w:spacing w:after="240"/>
      </w:pPr>
      <w:r>
        <w:t>233.</w:t>
      </w:r>
      <w:r>
        <w:tab/>
        <w:t xml:space="preserve">En el artículo 71 se precisa que sólo en caso de silencio de la costumbre deberá aplicarse la ley. </w:t>
      </w:r>
    </w:p>
    <w:p w:rsidR="00000000" w:rsidRDefault="00000000">
      <w:pPr>
        <w:tabs>
          <w:tab w:val="num" w:pos="0"/>
        </w:tabs>
        <w:spacing w:after="240"/>
      </w:pPr>
      <w:r>
        <w:t>234.</w:t>
      </w:r>
      <w:r>
        <w:tab/>
        <w:t xml:space="preserve">Dicho esto, el artículo 72 rechaza cualquier costumbre contraria al orden público del Estado. </w:t>
      </w:r>
    </w:p>
    <w:p w:rsidR="00000000" w:rsidRDefault="00000000">
      <w:pPr>
        <w:tabs>
          <w:tab w:val="num" w:pos="0"/>
        </w:tabs>
        <w:spacing w:after="240"/>
      </w:pPr>
      <w:r>
        <w:t>235.</w:t>
      </w:r>
      <w:r>
        <w:tab/>
        <w:t xml:space="preserve">Estas disposiciones ponen de relieve que las normas sucesorias varían en función del estatuto del difunto cuando éste no haya optado expresamente por el régimen establecido en el derecho positivo. </w:t>
      </w:r>
    </w:p>
    <w:p w:rsidR="00000000" w:rsidRDefault="00000000">
      <w:pPr>
        <w:tabs>
          <w:tab w:val="num" w:pos="0"/>
        </w:tabs>
        <w:spacing w:after="240"/>
      </w:pPr>
      <w:r>
        <w:t>236.</w:t>
      </w:r>
      <w:r>
        <w:tab/>
        <w:t xml:space="preserve">Esta situación genera casos de discriminación, contra los que en ocasiones se recurre ante los tribunales, en algunos casos sin éxito por el propio carácter discriminatorio de la práctica consuetudinaria o religiosa prevalente en el momento de apertura de la sucesión </w:t>
      </w:r>
    </w:p>
    <w:p w:rsidR="00000000" w:rsidRDefault="00000000">
      <w:pPr>
        <w:spacing w:after="240"/>
        <w:rPr>
          <w:b/>
          <w:bCs/>
          <w:szCs w:val="28"/>
        </w:rPr>
      </w:pPr>
      <w:r>
        <w:rPr>
          <w:b/>
          <w:bCs/>
          <w:szCs w:val="28"/>
        </w:rPr>
        <w:t>5.</w:t>
      </w:r>
      <w:r>
        <w:rPr>
          <w:b/>
          <w:bCs/>
          <w:szCs w:val="28"/>
        </w:rPr>
        <w:tab/>
        <w:t>El derecho a la nacionalidad</w:t>
      </w:r>
    </w:p>
    <w:p w:rsidR="00000000" w:rsidRDefault="00000000">
      <w:pPr>
        <w:tabs>
          <w:tab w:val="num" w:pos="0"/>
        </w:tabs>
        <w:spacing w:after="240"/>
      </w:pPr>
      <w:r>
        <w:t>237.</w:t>
      </w:r>
      <w:r>
        <w:tab/>
        <w:t xml:space="preserve">En el artículo 1 de la Ordenanza Nº 33/PG.­INT, de 14 de agosto de 1962, que contiene el Código de la Nacionalidad del Chad se define la nacionalidad como "una relación de derecho que desde el 11 de agosto de 1960, fecha en que el Chad accedió a la soberanía internacional, une los individuos al Estado. </w:t>
      </w:r>
    </w:p>
    <w:p w:rsidR="00000000" w:rsidRDefault="00000000">
      <w:pPr>
        <w:tabs>
          <w:tab w:val="num" w:pos="0"/>
        </w:tabs>
        <w:spacing w:after="240"/>
      </w:pPr>
      <w:r>
        <w:t>238.</w:t>
      </w:r>
      <w:r>
        <w:tab/>
        <w:t>La nacionalidad es independiente de los derechos civiles, políticos y profesionales definidos en las leyes especiales.</w:t>
      </w:r>
    </w:p>
    <w:p w:rsidR="00000000" w:rsidRDefault="00000000">
      <w:pPr>
        <w:tabs>
          <w:tab w:val="num" w:pos="0"/>
        </w:tabs>
        <w:spacing w:after="240"/>
      </w:pPr>
      <w:r>
        <w:t>239.</w:t>
      </w:r>
      <w:r>
        <w:tab/>
        <w:t>La nacionalidad sólo puede ser concedida o retirada por las autoridades chadianas competentes".</w:t>
      </w:r>
    </w:p>
    <w:p w:rsidR="00000000" w:rsidRDefault="00000000">
      <w:pPr>
        <w:tabs>
          <w:tab w:val="num" w:pos="0"/>
        </w:tabs>
        <w:spacing w:after="240"/>
      </w:pPr>
      <w:r>
        <w:t>240.</w:t>
      </w:r>
      <w:r>
        <w:tab/>
        <w:t>Las condiciones para la concesión o la retirada de la nacionalidad chadiana quedan determinadas en el texto.  La nacionalidad de origen se adquiere por filiación, lugar de nacimiento o presunción legal de filiación confirmada (</w:t>
      </w:r>
      <w:r>
        <w:rPr>
          <w:i/>
        </w:rPr>
        <w:t>possession d'état</w:t>
      </w:r>
      <w:r>
        <w:t>).</w:t>
      </w:r>
    </w:p>
    <w:p w:rsidR="00000000" w:rsidRDefault="00000000">
      <w:pPr>
        <w:tabs>
          <w:tab w:val="num" w:pos="0"/>
        </w:tabs>
        <w:spacing w:after="240"/>
      </w:pPr>
      <w:r>
        <w:t>241.</w:t>
      </w:r>
      <w:r>
        <w:tab/>
        <w:t>La nacionalidad chadiana también se adquiere por matrimonio, reintegración y naturalización, adquisición del hijo y reintegración o naturalización de los padres.</w:t>
      </w:r>
    </w:p>
    <w:p w:rsidR="00000000" w:rsidRDefault="00000000">
      <w:pPr>
        <w:spacing w:after="240"/>
        <w:rPr>
          <w:b/>
          <w:bCs/>
          <w:szCs w:val="28"/>
        </w:rPr>
      </w:pPr>
      <w:r>
        <w:rPr>
          <w:b/>
          <w:bCs/>
          <w:szCs w:val="28"/>
        </w:rPr>
        <w:t>6.</w:t>
      </w:r>
      <w:r>
        <w:rPr>
          <w:b/>
          <w:bCs/>
          <w:szCs w:val="28"/>
        </w:rPr>
        <w:tab/>
        <w:t>Medidas judiciales</w:t>
      </w:r>
    </w:p>
    <w:p w:rsidR="00000000" w:rsidRDefault="00000000">
      <w:pPr>
        <w:tabs>
          <w:tab w:val="num" w:pos="0"/>
        </w:tabs>
        <w:spacing w:after="240"/>
      </w:pPr>
      <w:r>
        <w:t>242.</w:t>
      </w:r>
      <w:r>
        <w:tab/>
        <w:t xml:space="preserve">Los tribunales de derecho común tienen competencia para conocer de todos los casos de violación de los citados derechos.  En materia de difamación, las personas ofendidas suelen optar por el derecho de respuesta en la siguiente edición de la publicación que los haya difamado.  Sin embargo, los casos de difamación que llegan a los tribunales no tienen connotaciones étnicas o religiosas.  </w:t>
      </w:r>
    </w:p>
    <w:p w:rsidR="00000000" w:rsidRDefault="00000000">
      <w:pPr>
        <w:spacing w:after="240"/>
        <w:jc w:val="center"/>
        <w:rPr>
          <w:b/>
          <w:szCs w:val="28"/>
        </w:rPr>
      </w:pPr>
      <w:r>
        <w:rPr>
          <w:b/>
          <w:szCs w:val="28"/>
        </w:rPr>
        <w:t>E.  Derechos económicos, sociales y culturales</w:t>
      </w:r>
    </w:p>
    <w:p w:rsidR="00000000" w:rsidRDefault="00000000">
      <w:pPr>
        <w:spacing w:after="240"/>
        <w:jc w:val="both"/>
        <w:rPr>
          <w:b/>
          <w:bCs/>
          <w:szCs w:val="28"/>
        </w:rPr>
      </w:pPr>
      <w:r>
        <w:rPr>
          <w:b/>
          <w:bCs/>
          <w:szCs w:val="28"/>
        </w:rPr>
        <w:t>1.</w:t>
      </w:r>
      <w:r>
        <w:rPr>
          <w:b/>
          <w:bCs/>
          <w:szCs w:val="28"/>
        </w:rPr>
        <w:tab/>
        <w:t>Derecho al trabajo</w:t>
      </w:r>
    </w:p>
    <w:p w:rsidR="00000000" w:rsidRDefault="00000000">
      <w:pPr>
        <w:tabs>
          <w:tab w:val="num" w:pos="0"/>
        </w:tabs>
        <w:spacing w:after="240"/>
        <w:rPr>
          <w:szCs w:val="28"/>
        </w:rPr>
      </w:pPr>
      <w:r>
        <w:rPr>
          <w:szCs w:val="28"/>
        </w:rPr>
        <w:t>243.</w:t>
      </w:r>
      <w:r>
        <w:rPr>
          <w:szCs w:val="28"/>
        </w:rPr>
        <w:tab/>
        <w:t xml:space="preserve">El </w:t>
      </w:r>
      <w:r>
        <w:t>derecho</w:t>
      </w:r>
      <w:r>
        <w:rPr>
          <w:szCs w:val="28"/>
        </w:rPr>
        <w:t xml:space="preserve"> al trabajo es un derecho garantizado por la Constitución, principalmente en su artículo 31 (relativo al acceso a los empleos públicos) y su artículo 32 (relativo a los empleos no públicos).  El Gobierno remite al Comité a la descripción más detallada de las cuestiones relacionadas con el empleo contenida en las observaciones sobre el artículo 2.</w:t>
      </w:r>
    </w:p>
    <w:p w:rsidR="00000000" w:rsidRDefault="00000000">
      <w:pPr>
        <w:keepNext/>
        <w:keepLines/>
        <w:spacing w:after="240"/>
        <w:jc w:val="both"/>
        <w:rPr>
          <w:b/>
          <w:bCs/>
          <w:szCs w:val="28"/>
        </w:rPr>
      </w:pPr>
      <w:r>
        <w:rPr>
          <w:b/>
          <w:bCs/>
          <w:szCs w:val="28"/>
        </w:rPr>
        <w:t>2.</w:t>
      </w:r>
      <w:r>
        <w:rPr>
          <w:b/>
          <w:bCs/>
          <w:szCs w:val="28"/>
        </w:rPr>
        <w:tab/>
        <w:t>Derecho a formar sindicatos y afiliarse a ellos</w:t>
      </w:r>
    </w:p>
    <w:p w:rsidR="00000000" w:rsidRDefault="00000000">
      <w:pPr>
        <w:tabs>
          <w:tab w:val="num" w:pos="0"/>
        </w:tabs>
        <w:spacing w:after="240"/>
        <w:rPr>
          <w:szCs w:val="28"/>
        </w:rPr>
      </w:pPr>
      <w:r>
        <w:rPr>
          <w:szCs w:val="28"/>
        </w:rPr>
        <w:t>244.</w:t>
      </w:r>
      <w:r>
        <w:rPr>
          <w:szCs w:val="28"/>
        </w:rPr>
        <w:tab/>
        <w:t xml:space="preserve">La libertad sindical está reconocida en la Constitución, que dispone además que todo ciudadano será libre de afiliarse al sindicato de su elección (art. 28).  Esta disposición constitucional, que se inscribe en el marco de la aplicación del Convenio Nº 87 (1948) de la Organización Internacional del Trabajo (OIT) sobre la libertad sindical y la protección del derecho de sindicación, ratificado por el Chad el 10 de noviembre de 1960, ha sido recogida en los estatutos de los distintos cuerpos profesionales.  </w:t>
      </w:r>
    </w:p>
    <w:p w:rsidR="00000000" w:rsidRDefault="00000000">
      <w:pPr>
        <w:keepNext/>
        <w:keepLines/>
        <w:tabs>
          <w:tab w:val="num" w:pos="0"/>
        </w:tabs>
        <w:spacing w:after="240"/>
        <w:rPr>
          <w:szCs w:val="28"/>
        </w:rPr>
      </w:pPr>
      <w:r>
        <w:t>245.</w:t>
      </w:r>
      <w:r>
        <w:tab/>
        <w:t>Actualmente</w:t>
      </w:r>
      <w:r>
        <w:rPr>
          <w:szCs w:val="28"/>
        </w:rPr>
        <w:t xml:space="preserve"> existen en el Chad dos grandes centrales sindicales, la Unión de Sindicatos del Chad (UST) y la Confederación Libre de Trabajadores del Chad (CLTT), que funcionan eficazmente en el marco de la protección y la promoción de los derechos de los empleados del sector público, parapúblico y privado. </w:t>
      </w:r>
    </w:p>
    <w:p w:rsidR="00000000" w:rsidRDefault="00000000">
      <w:pPr>
        <w:tabs>
          <w:tab w:val="num" w:pos="0"/>
        </w:tabs>
        <w:spacing w:after="240"/>
        <w:rPr>
          <w:szCs w:val="28"/>
        </w:rPr>
      </w:pPr>
      <w:r>
        <w:rPr>
          <w:szCs w:val="28"/>
        </w:rPr>
        <w:t>246.</w:t>
      </w:r>
      <w:r>
        <w:rPr>
          <w:szCs w:val="28"/>
        </w:rPr>
        <w:tab/>
        <w:t xml:space="preserve">Como ejemplo de su eficacia, los sindicatos reclamaron y consiguieron, a raíz de un laudo del tribunal de apelación, que se pagaran las horas extraordinarias de los antiguos trabajadores de Tchad Cameroun Constructors (TCC), un subcontratista de empresas petroleras que no había pagado las horas extraordinarias a sus empleados durante todo el tiempo que operó en el Chad. </w:t>
      </w:r>
    </w:p>
    <w:p w:rsidR="00000000" w:rsidRDefault="00000000">
      <w:pPr>
        <w:spacing w:after="240"/>
        <w:jc w:val="both"/>
        <w:rPr>
          <w:b/>
          <w:bCs/>
          <w:szCs w:val="28"/>
        </w:rPr>
      </w:pPr>
      <w:r>
        <w:rPr>
          <w:b/>
          <w:bCs/>
          <w:szCs w:val="28"/>
        </w:rPr>
        <w:t>3.</w:t>
      </w:r>
      <w:r>
        <w:rPr>
          <w:b/>
          <w:bCs/>
          <w:szCs w:val="28"/>
        </w:rPr>
        <w:tab/>
        <w:t>Derecho a la vivienda</w:t>
      </w:r>
    </w:p>
    <w:p w:rsidR="00000000" w:rsidRDefault="00000000">
      <w:pPr>
        <w:tabs>
          <w:tab w:val="num" w:pos="0"/>
        </w:tabs>
        <w:spacing w:after="240"/>
        <w:rPr>
          <w:szCs w:val="28"/>
        </w:rPr>
      </w:pPr>
      <w:r>
        <w:rPr>
          <w:szCs w:val="28"/>
        </w:rPr>
        <w:t>247.</w:t>
      </w:r>
      <w:r>
        <w:rPr>
          <w:szCs w:val="28"/>
        </w:rPr>
        <w:tab/>
        <w:t xml:space="preserve">Al disponer en su artículo 41 que la propiedad privada es inviolable y que no podrá expropiarse a nadie salvo en interés público comprobado y previa indemnización justa y en su artículo 43 que todo chadiano tiene derecho a fijar libremente su domicilio o residencia en el lugar del territorio nacional que prefiera, la Constitución reconoce implícitamente a todos los ciudadanos el derecho a la vivienda. </w:t>
      </w:r>
    </w:p>
    <w:p w:rsidR="00000000" w:rsidRDefault="00000000">
      <w:pPr>
        <w:tabs>
          <w:tab w:val="num" w:pos="0"/>
        </w:tabs>
        <w:spacing w:after="240"/>
        <w:rPr>
          <w:szCs w:val="28"/>
        </w:rPr>
      </w:pPr>
      <w:r>
        <w:rPr>
          <w:szCs w:val="28"/>
        </w:rPr>
        <w:t>248.</w:t>
      </w:r>
      <w:r>
        <w:rPr>
          <w:szCs w:val="28"/>
        </w:rPr>
        <w:tab/>
        <w:t xml:space="preserve">Sin embargo, el documento de estrategia de lucha contra la pobreza (DELP) del Chad pone de </w:t>
      </w:r>
      <w:r>
        <w:t>manifiesto</w:t>
      </w:r>
      <w:r>
        <w:rPr>
          <w:szCs w:val="28"/>
        </w:rPr>
        <w:t xml:space="preserve"> que más del 90% de los chadianos vive en viviendas construidas con materiales precarios y que, en el entorno rural, esa tasa sobrepasa el 98%.  La situación tiende a perpetuarse a causa de las dificultades de acceso legal a la propiedad inmobiliaria y al elevado precio de los materiales de construcción. </w:t>
      </w:r>
    </w:p>
    <w:p w:rsidR="00000000" w:rsidRDefault="00000000">
      <w:pPr>
        <w:tabs>
          <w:tab w:val="num" w:pos="0"/>
        </w:tabs>
        <w:spacing w:after="240"/>
        <w:rPr>
          <w:szCs w:val="28"/>
        </w:rPr>
      </w:pPr>
      <w:r>
        <w:rPr>
          <w:szCs w:val="28"/>
        </w:rPr>
        <w:t>249.</w:t>
      </w:r>
      <w:r>
        <w:rPr>
          <w:szCs w:val="28"/>
        </w:rPr>
        <w:tab/>
        <w:t xml:space="preserve">En el Coloquio científico que se celebró en Yamena del 28 de junio al 1º de julio de 2001 sobre la cuestión inmobiliaria en el Chad se habló también de la multitud de conflictos provocados por este problema en el Chad durante el último decenio. </w:t>
      </w:r>
    </w:p>
    <w:p w:rsidR="00000000" w:rsidRDefault="00000000">
      <w:pPr>
        <w:spacing w:after="240"/>
        <w:rPr>
          <w:szCs w:val="28"/>
        </w:rPr>
      </w:pPr>
      <w:r>
        <w:rPr>
          <w:szCs w:val="28"/>
        </w:rPr>
        <w:t>250.</w:t>
      </w:r>
      <w:r>
        <w:rPr>
          <w:szCs w:val="28"/>
        </w:rPr>
        <w:tab/>
        <w:t xml:space="preserve">Según el informe del Coloquio, aunque hasta la fecha ningún estudio ha demostrado la existencia de un vínculo directo entre el crecimiento de la población y los conflictos inmobiliarios, </w:t>
      </w:r>
      <w:r>
        <w:t xml:space="preserve">se observa </w:t>
      </w:r>
      <w:r>
        <w:rPr>
          <w:szCs w:val="28"/>
        </w:rPr>
        <w:t xml:space="preserve">efectivamente un recrudecimiento de esos conflictos en los lugares con gran densidad de población. </w:t>
      </w:r>
    </w:p>
    <w:p w:rsidR="00000000" w:rsidRDefault="00000000">
      <w:pPr>
        <w:tabs>
          <w:tab w:val="num" w:pos="0"/>
        </w:tabs>
        <w:spacing w:after="240"/>
        <w:rPr>
          <w:szCs w:val="28"/>
        </w:rPr>
      </w:pPr>
      <w:r>
        <w:rPr>
          <w:szCs w:val="28"/>
        </w:rPr>
        <w:t>251.</w:t>
      </w:r>
      <w:r>
        <w:rPr>
          <w:szCs w:val="28"/>
        </w:rPr>
        <w:tab/>
        <w:t xml:space="preserve">Para </w:t>
      </w:r>
      <w:r>
        <w:t>atender</w:t>
      </w:r>
      <w:r>
        <w:rPr>
          <w:szCs w:val="28"/>
        </w:rPr>
        <w:t xml:space="preserve"> estas preocupaciones, el Gobierno ha concebido un Plan de urbanización y se propone subvencionar los materiales de construcción a partir de 2007.</w:t>
      </w:r>
    </w:p>
    <w:p w:rsidR="00000000" w:rsidRDefault="00000000">
      <w:pPr>
        <w:keepNext/>
        <w:keepLines/>
        <w:spacing w:after="240"/>
        <w:rPr>
          <w:b/>
          <w:bCs/>
          <w:szCs w:val="28"/>
        </w:rPr>
      </w:pPr>
      <w:r>
        <w:rPr>
          <w:b/>
          <w:bCs/>
          <w:szCs w:val="28"/>
        </w:rPr>
        <w:t>4.</w:t>
      </w:r>
      <w:r>
        <w:rPr>
          <w:b/>
          <w:bCs/>
          <w:szCs w:val="28"/>
        </w:rPr>
        <w:tab/>
        <w:t xml:space="preserve">Derecho a la salud, la asistencia médica, la seguridad social y los servicios sociales </w:t>
      </w:r>
    </w:p>
    <w:p w:rsidR="00000000" w:rsidRDefault="00000000">
      <w:pPr>
        <w:tabs>
          <w:tab w:val="num" w:pos="0"/>
        </w:tabs>
        <w:spacing w:after="240"/>
        <w:rPr>
          <w:szCs w:val="28"/>
        </w:rPr>
      </w:pPr>
      <w:r>
        <w:rPr>
          <w:szCs w:val="28"/>
        </w:rPr>
        <w:t>252.</w:t>
      </w:r>
      <w:r>
        <w:rPr>
          <w:szCs w:val="28"/>
        </w:rPr>
        <w:tab/>
        <w:t xml:space="preserve">El objetivo general de la política nacional de salud es "asegurar a la población el acceso a </w:t>
      </w:r>
      <w:r>
        <w:t>servicios</w:t>
      </w:r>
      <w:r>
        <w:rPr>
          <w:szCs w:val="28"/>
        </w:rPr>
        <w:t xml:space="preserve"> básicos de calidad", en consonancia con los principios de la Organización Mundial de la Salud (OMS), a saber, La Salud para Todos.</w:t>
      </w:r>
    </w:p>
    <w:p w:rsidR="00000000" w:rsidRDefault="00000000">
      <w:pPr>
        <w:tabs>
          <w:tab w:val="num" w:pos="0"/>
        </w:tabs>
        <w:spacing w:after="240"/>
        <w:rPr>
          <w:szCs w:val="28"/>
        </w:rPr>
      </w:pPr>
      <w:r>
        <w:rPr>
          <w:szCs w:val="28"/>
        </w:rPr>
        <w:t>253.</w:t>
      </w:r>
      <w:r>
        <w:rPr>
          <w:szCs w:val="28"/>
        </w:rPr>
        <w:tab/>
        <w:t xml:space="preserve">Los principales ejes de la política nacional de salud son: </w:t>
      </w:r>
    </w:p>
    <w:p w:rsidR="00000000" w:rsidRDefault="00000000">
      <w:pPr>
        <w:spacing w:after="240"/>
        <w:ind w:left="924" w:hanging="357"/>
        <w:rPr>
          <w:szCs w:val="28"/>
        </w:rPr>
      </w:pPr>
      <w:r>
        <w:rPr>
          <w:szCs w:val="28"/>
        </w:rPr>
        <w:t>-</w:t>
      </w:r>
      <w:r>
        <w:rPr>
          <w:szCs w:val="28"/>
        </w:rPr>
        <w:tab/>
        <w:t>El desarrollo de servicios de salud de calidad para la población;</w:t>
      </w:r>
    </w:p>
    <w:p w:rsidR="00000000" w:rsidRDefault="00000000">
      <w:pPr>
        <w:spacing w:after="240"/>
        <w:ind w:left="924" w:hanging="357"/>
        <w:rPr>
          <w:szCs w:val="28"/>
        </w:rPr>
      </w:pPr>
      <w:r>
        <w:rPr>
          <w:szCs w:val="28"/>
        </w:rPr>
        <w:t>-</w:t>
      </w:r>
      <w:r>
        <w:rPr>
          <w:szCs w:val="28"/>
        </w:rPr>
        <w:tab/>
        <w:t>La necesidad urgente de recursos humanos de calidad;</w:t>
      </w:r>
    </w:p>
    <w:p w:rsidR="00000000" w:rsidRDefault="00000000">
      <w:pPr>
        <w:spacing w:after="240"/>
        <w:ind w:left="924" w:hanging="357"/>
        <w:rPr>
          <w:szCs w:val="28"/>
        </w:rPr>
      </w:pPr>
      <w:r>
        <w:rPr>
          <w:szCs w:val="28"/>
        </w:rPr>
        <w:t>-</w:t>
      </w:r>
      <w:r>
        <w:rPr>
          <w:szCs w:val="28"/>
        </w:rPr>
        <w:tab/>
        <w:t xml:space="preserve">La mejora de la gestión del sistema de salud; </w:t>
      </w:r>
    </w:p>
    <w:p w:rsidR="00000000" w:rsidRDefault="00000000">
      <w:pPr>
        <w:spacing w:after="240"/>
        <w:ind w:left="924" w:hanging="357"/>
        <w:rPr>
          <w:szCs w:val="28"/>
        </w:rPr>
      </w:pPr>
      <w:r>
        <w:rPr>
          <w:szCs w:val="28"/>
        </w:rPr>
        <w:t>-</w:t>
      </w:r>
      <w:r>
        <w:rPr>
          <w:szCs w:val="28"/>
        </w:rPr>
        <w:tab/>
        <w:t>La prosecución de la lucha contra las enfermedades endémicas y epidémicas.</w:t>
      </w:r>
    </w:p>
    <w:p w:rsidR="00000000" w:rsidRDefault="00000000">
      <w:pPr>
        <w:tabs>
          <w:tab w:val="num" w:pos="0"/>
        </w:tabs>
        <w:spacing w:after="240"/>
        <w:rPr>
          <w:szCs w:val="28"/>
        </w:rPr>
      </w:pPr>
      <w:r>
        <w:rPr>
          <w:szCs w:val="28"/>
        </w:rPr>
        <w:t>254.</w:t>
      </w:r>
      <w:r>
        <w:rPr>
          <w:szCs w:val="28"/>
        </w:rPr>
        <w:tab/>
        <w:t xml:space="preserve">En el ámbito concreto de la salud reproductiva, la Ley Nº 06/PR/2002, de 15 de abril de 2002, sobre la promoción de la salud reproductiva dispone en su artículo 3 que todos los individuos son iguales en derecho y dignidad en materia de salud, sin </w:t>
      </w:r>
      <w:r>
        <w:t>discriminación</w:t>
      </w:r>
      <w:r>
        <w:rPr>
          <w:szCs w:val="28"/>
        </w:rPr>
        <w:t xml:space="preserve"> alguna por motivos de edad, sexo, patrimonio, religión, etnia, estado civil o cualquier otra condición.</w:t>
      </w:r>
    </w:p>
    <w:p w:rsidR="00000000" w:rsidRDefault="00000000">
      <w:pPr>
        <w:tabs>
          <w:tab w:val="num" w:pos="0"/>
        </w:tabs>
        <w:spacing w:after="240"/>
        <w:rPr>
          <w:szCs w:val="28"/>
        </w:rPr>
      </w:pPr>
      <w:r>
        <w:rPr>
          <w:szCs w:val="28"/>
        </w:rPr>
        <w:t>255.</w:t>
      </w:r>
      <w:r>
        <w:rPr>
          <w:szCs w:val="28"/>
        </w:rPr>
        <w:tab/>
        <w:t>En el artículo 7 de esa misma ley se dispone que todo individuo o pareja tendrá derecho a la más alta calidad de atención médica posible y a no ser víctima de prácticas nocivas para la salud reproductiva.</w:t>
      </w:r>
    </w:p>
    <w:p w:rsidR="00000000" w:rsidRDefault="00000000">
      <w:pPr>
        <w:tabs>
          <w:tab w:val="num" w:pos="0"/>
        </w:tabs>
        <w:spacing w:after="240"/>
        <w:rPr>
          <w:szCs w:val="28"/>
        </w:rPr>
      </w:pPr>
      <w:r>
        <w:rPr>
          <w:szCs w:val="28"/>
        </w:rPr>
        <w:t>256.</w:t>
      </w:r>
      <w:r>
        <w:rPr>
          <w:szCs w:val="28"/>
        </w:rPr>
        <w:tab/>
        <w:t xml:space="preserve">Por su parte, el artículo 8 de la ley permite a todo individuo o pareja acceder a servicios </w:t>
      </w:r>
      <w:r>
        <w:t>de</w:t>
      </w:r>
      <w:r>
        <w:rPr>
          <w:szCs w:val="28"/>
        </w:rPr>
        <w:t xml:space="preserve"> salud de proximidad, seguros, eficaces, asequibles y aceptables. </w:t>
      </w:r>
    </w:p>
    <w:p w:rsidR="00000000" w:rsidRDefault="00000000">
      <w:pPr>
        <w:tabs>
          <w:tab w:val="num" w:pos="0"/>
        </w:tabs>
        <w:spacing w:after="240"/>
        <w:rPr>
          <w:szCs w:val="28"/>
        </w:rPr>
      </w:pPr>
      <w:r>
        <w:rPr>
          <w:szCs w:val="28"/>
        </w:rPr>
        <w:t>257.</w:t>
      </w:r>
      <w:r>
        <w:rPr>
          <w:szCs w:val="28"/>
        </w:rPr>
        <w:tab/>
        <w:t xml:space="preserve">La dificultad real de acceso a los servicios sociales y a la atención médica de los ciudadanos se debe al alejamiento de los centros de salud y a la insuficiencia de personal sanitario y la falta de equipos en éstos.  A ello se suman otras dificultades relacionadas con el </w:t>
      </w:r>
      <w:r>
        <w:t>poder</w:t>
      </w:r>
      <w:r>
        <w:rPr>
          <w:szCs w:val="28"/>
        </w:rPr>
        <w:t xml:space="preserve"> adquisitivo de los ciudadanos a causa de la política de recuperación de costos de los hospitales.</w:t>
      </w:r>
    </w:p>
    <w:p w:rsidR="00000000" w:rsidRDefault="00000000">
      <w:pPr>
        <w:tabs>
          <w:tab w:val="num" w:pos="0"/>
        </w:tabs>
        <w:spacing w:after="240"/>
        <w:rPr>
          <w:szCs w:val="28"/>
        </w:rPr>
      </w:pPr>
      <w:r>
        <w:rPr>
          <w:szCs w:val="28"/>
        </w:rPr>
        <w:t>258.</w:t>
      </w:r>
      <w:r>
        <w:rPr>
          <w:szCs w:val="28"/>
        </w:rPr>
        <w:tab/>
        <w:t>Esa política, que permite la participación ciudadana en la gestión de los centros de salud, penaliza y margina a los ciudadanos pobres.</w:t>
      </w:r>
    </w:p>
    <w:p w:rsidR="00000000" w:rsidRDefault="00000000">
      <w:pPr>
        <w:tabs>
          <w:tab w:val="num" w:pos="0"/>
        </w:tabs>
        <w:spacing w:after="240"/>
        <w:rPr>
          <w:szCs w:val="28"/>
        </w:rPr>
      </w:pPr>
      <w:r>
        <w:rPr>
          <w:szCs w:val="28"/>
        </w:rPr>
        <w:t>259.</w:t>
      </w:r>
      <w:r>
        <w:rPr>
          <w:szCs w:val="28"/>
        </w:rPr>
        <w:tab/>
        <w:t xml:space="preserve">La </w:t>
      </w:r>
      <w:r>
        <w:t>inclusión</w:t>
      </w:r>
      <w:r>
        <w:rPr>
          <w:szCs w:val="28"/>
        </w:rPr>
        <w:t xml:space="preserve"> del Ministerio de Salud en la lista de ministerios prioritarios obedece al problema del acceso a los servicios de la salud y a la falta de ciertas especialidades entre el personal médico (en la Encuesta Demográfica y de Salud de 2004 figuran el número de ginecólogos y pediatras existentes y la proporción de médicos por paciente). </w:t>
      </w:r>
    </w:p>
    <w:p w:rsidR="00000000" w:rsidRDefault="00000000">
      <w:pPr>
        <w:tabs>
          <w:tab w:val="num" w:pos="0"/>
        </w:tabs>
        <w:spacing w:after="240"/>
        <w:rPr>
          <w:szCs w:val="28"/>
        </w:rPr>
      </w:pPr>
      <w:r>
        <w:rPr>
          <w:szCs w:val="28"/>
        </w:rPr>
        <w:t>260.</w:t>
      </w:r>
      <w:r>
        <w:rPr>
          <w:szCs w:val="28"/>
        </w:rPr>
        <w:tab/>
        <w:t xml:space="preserve">El problema de la insuficiencia de personal de salud altamente cualificado se resuelve </w:t>
      </w:r>
      <w:r>
        <w:t>mediante</w:t>
      </w:r>
      <w:r>
        <w:rPr>
          <w:szCs w:val="28"/>
        </w:rPr>
        <w:t xml:space="preserve"> la evacuación sanitaria.  El presupuesto del Ministerio de Salud cuenta con una partida para los casos remitidos al extranjero por los médicos. </w:t>
      </w:r>
    </w:p>
    <w:p w:rsidR="00000000" w:rsidRDefault="00000000">
      <w:pPr>
        <w:tabs>
          <w:tab w:val="num" w:pos="0"/>
        </w:tabs>
        <w:spacing w:after="240"/>
        <w:rPr>
          <w:szCs w:val="28"/>
        </w:rPr>
      </w:pPr>
      <w:r>
        <w:rPr>
          <w:szCs w:val="28"/>
        </w:rPr>
        <w:t>261.</w:t>
      </w:r>
      <w:r>
        <w:rPr>
          <w:szCs w:val="28"/>
        </w:rPr>
        <w:tab/>
        <w:t xml:space="preserve">Esos casos deben ser examinados por la Comisión interministerial encargada de la </w:t>
      </w:r>
      <w:r>
        <w:t>evacuación</w:t>
      </w:r>
      <w:r>
        <w:rPr>
          <w:szCs w:val="28"/>
        </w:rPr>
        <w:t xml:space="preserve"> por motivos médicos de funcionarios del Estado.  Sin embargo, la evacuación se realiza generalmente en detrimento de los más necesitados. </w:t>
      </w:r>
    </w:p>
    <w:p w:rsidR="00000000" w:rsidRDefault="00000000">
      <w:pPr>
        <w:tabs>
          <w:tab w:val="num" w:pos="0"/>
        </w:tabs>
        <w:spacing w:after="240"/>
        <w:rPr>
          <w:szCs w:val="28"/>
        </w:rPr>
      </w:pPr>
      <w:r>
        <w:rPr>
          <w:szCs w:val="28"/>
        </w:rPr>
        <w:t>262.</w:t>
      </w:r>
      <w:r>
        <w:rPr>
          <w:szCs w:val="28"/>
        </w:rPr>
        <w:tab/>
        <w:t xml:space="preserve">Es de destacar la existencia de un servicio social en el hospital general de referencia nacional (HGRN) encargado de atender a los indigentes, pero sus prestaciones muy limitadas, en parte por los escasos medios puestos a su disposición y en parte por la gestión irracional asociada a las prácticas poco ortodoxas de los responsables de este servicio, hacen que sea prácticamente inexistente. </w:t>
      </w:r>
    </w:p>
    <w:p w:rsidR="00000000" w:rsidRDefault="00000000">
      <w:pPr>
        <w:tabs>
          <w:tab w:val="num" w:pos="0"/>
        </w:tabs>
        <w:spacing w:after="240"/>
        <w:rPr>
          <w:szCs w:val="28"/>
        </w:rPr>
      </w:pPr>
      <w:r>
        <w:rPr>
          <w:b/>
          <w:szCs w:val="28"/>
        </w:rPr>
        <w:t>5.</w:t>
      </w:r>
      <w:r>
        <w:rPr>
          <w:szCs w:val="28"/>
        </w:rPr>
        <w:tab/>
      </w:r>
      <w:r>
        <w:rPr>
          <w:b/>
          <w:bCs/>
          <w:szCs w:val="28"/>
        </w:rPr>
        <w:t>Derecho a la educación y a la formación profesional</w:t>
      </w:r>
    </w:p>
    <w:p w:rsidR="00000000" w:rsidRDefault="00000000">
      <w:pPr>
        <w:tabs>
          <w:tab w:val="num" w:pos="0"/>
        </w:tabs>
        <w:spacing w:after="240"/>
        <w:rPr>
          <w:szCs w:val="28"/>
        </w:rPr>
      </w:pPr>
      <w:r>
        <w:rPr>
          <w:szCs w:val="28"/>
        </w:rPr>
        <w:t>263.</w:t>
      </w:r>
      <w:r>
        <w:rPr>
          <w:szCs w:val="28"/>
        </w:rPr>
        <w:tab/>
        <w:t>Es importante recordar lo dispuesto en el artículo 35 de la Constitución, que reconoce a todos los ciudadanos el derecho a la educación, determina la obligatoriedad de la enseñanza básica y establece el principio de la gratuidad de la enseñanza pública.</w:t>
      </w:r>
    </w:p>
    <w:p w:rsidR="00000000" w:rsidRDefault="00000000">
      <w:pPr>
        <w:tabs>
          <w:tab w:val="num" w:pos="0"/>
        </w:tabs>
        <w:spacing w:after="240"/>
      </w:pPr>
      <w:r>
        <w:rPr>
          <w:szCs w:val="28"/>
        </w:rPr>
        <w:t>264.</w:t>
      </w:r>
      <w:r>
        <w:rPr>
          <w:szCs w:val="28"/>
        </w:rPr>
        <w:tab/>
        <w:t xml:space="preserve">El </w:t>
      </w:r>
      <w:r>
        <w:t xml:space="preserve">artículo 36 de la Constitución dispone además que el Estado y las circunscripciones territoriales descentralizadas creen las condiciones e instituciones necesarias para asegurar y garantizar la educación de los niños. </w:t>
      </w:r>
    </w:p>
    <w:p w:rsidR="00000000" w:rsidRDefault="00000000">
      <w:pPr>
        <w:tabs>
          <w:tab w:val="num" w:pos="0"/>
        </w:tabs>
        <w:spacing w:after="240"/>
        <w:rPr>
          <w:szCs w:val="28"/>
        </w:rPr>
      </w:pPr>
      <w:r>
        <w:t>265.</w:t>
      </w:r>
      <w:r>
        <w:tab/>
        <w:t>A su vez, la Ley Nº 038/PR/96, de 11 de diciembre de 1996, que contiene el Código del Trabajo ha reforzado esas disposiciones de la Constitución consagrando dos capítulos al aprendizaje, la formación profesional y la promoción del trabajador.  Las condiciones del aprendizaje y la formación profesional se determinan en función de la categoría profesional del trabajador</w:t>
      </w:r>
      <w:r>
        <w:rPr>
          <w:szCs w:val="28"/>
        </w:rPr>
        <w:t xml:space="preserve">. </w:t>
      </w:r>
    </w:p>
    <w:p w:rsidR="00000000" w:rsidRDefault="00000000">
      <w:pPr>
        <w:tabs>
          <w:tab w:val="num" w:pos="0"/>
        </w:tabs>
        <w:spacing w:after="240"/>
        <w:rPr>
          <w:b/>
          <w:bCs/>
          <w:szCs w:val="28"/>
        </w:rPr>
      </w:pPr>
      <w:r>
        <w:rPr>
          <w:b/>
          <w:bCs/>
          <w:szCs w:val="28"/>
        </w:rPr>
        <w:t>6.</w:t>
      </w:r>
      <w:r>
        <w:rPr>
          <w:b/>
          <w:bCs/>
          <w:szCs w:val="28"/>
        </w:rPr>
        <w:tab/>
        <w:t>Derecho a participar, en pie de igualdad, en las actividades culturales</w:t>
      </w:r>
    </w:p>
    <w:p w:rsidR="00000000" w:rsidRDefault="00000000">
      <w:pPr>
        <w:tabs>
          <w:tab w:val="num" w:pos="0"/>
        </w:tabs>
        <w:spacing w:after="240"/>
      </w:pPr>
      <w:r>
        <w:t>266.</w:t>
      </w:r>
      <w:r>
        <w:tab/>
        <w:t>Por lo que respecta al derecho a participar, en pie de igualdad, en las actividades culturales, la ausencia de una política coherente de promoción de la cultura y el deporte no favorece realmente la participación y la realización de los jóvenes en esta esfera.</w:t>
      </w:r>
    </w:p>
    <w:p w:rsidR="00000000" w:rsidRDefault="00000000">
      <w:pPr>
        <w:tabs>
          <w:tab w:val="num" w:pos="0"/>
        </w:tabs>
        <w:spacing w:after="240"/>
      </w:pPr>
      <w:r>
        <w:t>267.</w:t>
      </w:r>
      <w:r>
        <w:tab/>
        <w:t xml:space="preserve">No obstante, se observa que han mejorado las infraestructuras existentes y que se está construyendo un centro de formación futbolística cofinanciado por la FIFA que contribuirá a la promoción de la cultura y el deporte.  La construcción de casas de la cultura en el interior del país y las facilidades concedidas a determinadas instituciones privadas para la construcción de centros de acogida y formación cultural forma parte de los esfuerzos realizados en favor de la cultura. </w:t>
      </w:r>
    </w:p>
    <w:p w:rsidR="00000000" w:rsidRDefault="00000000">
      <w:pPr>
        <w:tabs>
          <w:tab w:val="num" w:pos="0"/>
        </w:tabs>
        <w:spacing w:after="240"/>
      </w:pPr>
      <w:r>
        <w:t>268.</w:t>
      </w:r>
      <w:r>
        <w:tab/>
        <w:t xml:space="preserve">La reedición de la semana nacional del deporte y la cultura tiene por objetivo facilitar el intercambio y promover el talento. </w:t>
      </w:r>
    </w:p>
    <w:p w:rsidR="00000000" w:rsidRDefault="00000000">
      <w:pPr>
        <w:tabs>
          <w:tab w:val="num" w:pos="0"/>
        </w:tabs>
        <w:spacing w:after="240"/>
      </w:pPr>
      <w:r>
        <w:t>269.</w:t>
      </w:r>
      <w:r>
        <w:tab/>
        <w:t xml:space="preserve">Los artículos 33 y 34 de la Constitución revisada tienen por objetivo garantizar y promover los valores nacionales, el patrimonio cultural y las obras intelectuales y artísticas.  Con ese fin, en el artículo 3 de la Ley Nº 19/PR/03 relativa a la composición, las atribuciones y el funcionamiento del Alto Consejo de la Comunicación se "fomenta la calidad y la diversidad de los programas, velando al mismo tiempo por la protección de la identidad cultural nacional". </w:t>
      </w:r>
    </w:p>
    <w:p w:rsidR="00000000" w:rsidRDefault="00000000">
      <w:pPr>
        <w:spacing w:after="240"/>
      </w:pPr>
      <w:r>
        <w:t>270.</w:t>
      </w:r>
      <w:r>
        <w:tab/>
        <w:t>Asimismo, la Ley Nº 43/PR/94 sobre la comunicación audiovisual dispone que los distintos órganos deberán reservar o consagrar un tiempo de antena considerable a los valores nacionales (artículos 21, 26 y 29 de esta ley).</w:t>
      </w:r>
    </w:p>
    <w:p w:rsidR="00000000" w:rsidRDefault="00000000">
      <w:pPr>
        <w:keepNext/>
        <w:keepLines/>
        <w:tabs>
          <w:tab w:val="num" w:pos="0"/>
        </w:tabs>
        <w:spacing w:after="240"/>
        <w:rPr>
          <w:b/>
        </w:rPr>
      </w:pPr>
      <w:r>
        <w:rPr>
          <w:b/>
        </w:rPr>
        <w:t>7.</w:t>
      </w:r>
      <w:r>
        <w:rPr>
          <w:b/>
        </w:rPr>
        <w:tab/>
        <w:t xml:space="preserve">Derecho de acceso a lugares y servicios destinados al uso público </w:t>
      </w:r>
    </w:p>
    <w:p w:rsidR="00000000" w:rsidRDefault="00000000">
      <w:pPr>
        <w:tabs>
          <w:tab w:val="num" w:pos="0"/>
        </w:tabs>
        <w:spacing w:after="240"/>
      </w:pPr>
      <w:r>
        <w:t>271.</w:t>
      </w:r>
      <w:r>
        <w:tab/>
        <w:t xml:space="preserve">El derecho de acceso a lugares y servicios destinados al público no es objeto de medidas legislativas o administrativas tipo, sino que se encuentra diluido en los textos concretos que rigen el acceso a estos lugares o servicios o en los programas y las políticas relacionadas con ellos.  Por ejemplo, la política nacional de salud tiene como lema La Salud para Todos, el acceso a la educación está reconocido para todos, etc. </w:t>
      </w:r>
    </w:p>
    <w:p w:rsidR="00000000" w:rsidRDefault="00000000">
      <w:pPr>
        <w:adjustRightInd w:val="0"/>
        <w:snapToGrid w:val="0"/>
        <w:spacing w:after="240"/>
        <w:rPr>
          <w:b/>
          <w:snapToGrid w:val="0"/>
        </w:rPr>
      </w:pPr>
      <w:r>
        <w:rPr>
          <w:b/>
          <w:snapToGrid w:val="0"/>
        </w:rPr>
        <w:t>Artículo 6</w:t>
      </w:r>
    </w:p>
    <w:p w:rsidR="00000000" w:rsidRDefault="00000000">
      <w:pPr>
        <w:adjustRightInd w:val="0"/>
        <w:snapToGrid w:val="0"/>
        <w:spacing w:after="240"/>
        <w:rPr>
          <w:snapToGrid w:val="0"/>
        </w:rPr>
      </w:pPr>
      <w:r>
        <w:rPr>
          <w:snapToGrid w:val="0"/>
        </w:rPr>
        <w:t>272.</w:t>
      </w:r>
      <w:r>
        <w:rPr>
          <w:snapToGrid w:val="0"/>
        </w:rPr>
        <w:tab/>
        <w:t xml:space="preserve">Como hemos señalado anteriormente, en el artículo 14 de la Constitución se establece que el Estado garantiza a todos la igualdad ante la ley, sin distinción de raza, sexo, religión, opinión política o posición social, con lo que se reconoce explícitamente a todo ciudadano el acceso a los tribunales. </w:t>
      </w:r>
    </w:p>
    <w:p w:rsidR="00000000" w:rsidRDefault="00000000">
      <w:pPr>
        <w:adjustRightInd w:val="0"/>
        <w:snapToGrid w:val="0"/>
        <w:spacing w:after="240"/>
        <w:rPr>
          <w:snapToGrid w:val="0"/>
        </w:rPr>
      </w:pPr>
      <w:r>
        <w:rPr>
          <w:snapToGrid w:val="0"/>
        </w:rPr>
        <w:t>273.</w:t>
      </w:r>
      <w:r>
        <w:rPr>
          <w:snapToGrid w:val="0"/>
        </w:rPr>
        <w:tab/>
        <w:t>Además, el artículo 6 del Código de Procedimiento Civil dice que "puede ejercer la acción civil toda persona que haya sufrido personalmente un daño directamente provocado por la infracción".  Por su parte, el artículo 1 precisa que "la parte agraviada puede iniciar una acción pública".</w:t>
      </w:r>
    </w:p>
    <w:p w:rsidR="00000000" w:rsidRDefault="00000000">
      <w:pPr>
        <w:adjustRightInd w:val="0"/>
        <w:snapToGrid w:val="0"/>
        <w:spacing w:after="240"/>
        <w:rPr>
          <w:snapToGrid w:val="0"/>
        </w:rPr>
      </w:pPr>
      <w:r>
        <w:rPr>
          <w:snapToGrid w:val="0"/>
        </w:rPr>
        <w:t>274.</w:t>
      </w:r>
      <w:r>
        <w:rPr>
          <w:snapToGrid w:val="0"/>
        </w:rPr>
        <w:tab/>
        <w:t xml:space="preserve">En efecto, el usuario de la justicia en el Chad tiene a su disposición varias vías de recurso, a saber:  </w:t>
      </w:r>
    </w:p>
    <w:p w:rsidR="00000000" w:rsidRDefault="00000000">
      <w:pPr>
        <w:adjustRightInd w:val="0"/>
        <w:snapToGrid w:val="0"/>
        <w:spacing w:after="240"/>
        <w:ind w:left="924" w:hanging="357"/>
        <w:rPr>
          <w:snapToGrid w:val="0"/>
        </w:rPr>
      </w:pPr>
      <w:r>
        <w:rPr>
          <w:snapToGrid w:val="0"/>
        </w:rPr>
        <w:t>-</w:t>
      </w:r>
      <w:r>
        <w:rPr>
          <w:snapToGrid w:val="0"/>
        </w:rPr>
        <w:tab/>
        <w:t>La oposición a las sentencias dictadas en un juicio en rebeldía;</w:t>
      </w:r>
    </w:p>
    <w:p w:rsidR="00000000" w:rsidRDefault="00000000">
      <w:pPr>
        <w:adjustRightInd w:val="0"/>
        <w:snapToGrid w:val="0"/>
        <w:spacing w:after="240"/>
        <w:ind w:left="924" w:hanging="357"/>
        <w:rPr>
          <w:snapToGrid w:val="0"/>
        </w:rPr>
      </w:pPr>
      <w:r>
        <w:rPr>
          <w:snapToGrid w:val="0"/>
        </w:rPr>
        <w:t>-</w:t>
      </w:r>
      <w:r>
        <w:rPr>
          <w:snapToGrid w:val="0"/>
        </w:rPr>
        <w:tab/>
        <w:t>La apelación;</w:t>
      </w:r>
    </w:p>
    <w:p w:rsidR="00000000" w:rsidRDefault="00000000">
      <w:pPr>
        <w:adjustRightInd w:val="0"/>
        <w:snapToGrid w:val="0"/>
        <w:spacing w:after="240"/>
        <w:ind w:left="924" w:hanging="357"/>
        <w:rPr>
          <w:snapToGrid w:val="0"/>
        </w:rPr>
      </w:pPr>
      <w:r>
        <w:rPr>
          <w:snapToGrid w:val="0"/>
        </w:rPr>
        <w:t>-</w:t>
      </w:r>
      <w:r>
        <w:rPr>
          <w:snapToGrid w:val="0"/>
        </w:rPr>
        <w:tab/>
        <w:t>La solicitud de revisión de la causa;</w:t>
      </w:r>
    </w:p>
    <w:p w:rsidR="00000000" w:rsidRDefault="00000000">
      <w:pPr>
        <w:adjustRightInd w:val="0"/>
        <w:snapToGrid w:val="0"/>
        <w:spacing w:after="240"/>
        <w:ind w:left="924" w:hanging="357"/>
        <w:rPr>
          <w:snapToGrid w:val="0"/>
        </w:rPr>
      </w:pPr>
      <w:r>
        <w:rPr>
          <w:snapToGrid w:val="0"/>
        </w:rPr>
        <w:t>-</w:t>
      </w:r>
      <w:r>
        <w:rPr>
          <w:snapToGrid w:val="0"/>
        </w:rPr>
        <w:tab/>
        <w:t>El recurso de casación.</w:t>
      </w:r>
    </w:p>
    <w:p w:rsidR="00000000" w:rsidRDefault="00000000">
      <w:pPr>
        <w:adjustRightInd w:val="0"/>
        <w:snapToGrid w:val="0"/>
        <w:spacing w:after="240"/>
        <w:rPr>
          <w:snapToGrid w:val="0"/>
        </w:rPr>
      </w:pPr>
      <w:r>
        <w:rPr>
          <w:snapToGrid w:val="0"/>
        </w:rPr>
        <w:t>275.</w:t>
      </w:r>
      <w:r>
        <w:rPr>
          <w:snapToGrid w:val="0"/>
        </w:rPr>
        <w:tab/>
        <w:t>Así, a fin de acercar la justicia al ciudadano, se han creado sendos tribunales de apelación en Abéché y Moundou, se han convertido en tribunales de primera instancia seis secciones de tribunales y se han establecido juzgados de paz en seis de los diez distritos de la ciudad de Yamena.</w:t>
      </w:r>
    </w:p>
    <w:p w:rsidR="00000000" w:rsidRDefault="00000000">
      <w:pPr>
        <w:adjustRightInd w:val="0"/>
        <w:snapToGrid w:val="0"/>
        <w:spacing w:after="240"/>
        <w:rPr>
          <w:snapToGrid w:val="0"/>
        </w:rPr>
      </w:pPr>
      <w:r>
        <w:rPr>
          <w:snapToGrid w:val="0"/>
        </w:rPr>
        <w:t>276.</w:t>
      </w:r>
      <w:r>
        <w:rPr>
          <w:snapToGrid w:val="0"/>
        </w:rPr>
        <w:tab/>
        <w:t>El Mediador Nacional y la Comisión Nacional de Derechos Humanos (CNDH) ofrecen a los ciudadanos la posibilidad de reivindicar sus derechos.  Es importante señalar pues el reconocimiento de las asociaciones de defensa de los derechos humanos, algunas de las cuales proporcionan asesoramiento jurídico a los usuarios de la justicia y les ayudan en su relación con los tribunales constituyéndose en parte civil.</w:t>
      </w:r>
    </w:p>
    <w:p w:rsidR="00000000" w:rsidRDefault="00000000">
      <w:pPr>
        <w:adjustRightInd w:val="0"/>
        <w:snapToGrid w:val="0"/>
        <w:spacing w:after="240"/>
        <w:rPr>
          <w:snapToGrid w:val="0"/>
        </w:rPr>
      </w:pPr>
      <w:r>
        <w:rPr>
          <w:snapToGrid w:val="0"/>
        </w:rPr>
        <w:t>277.</w:t>
      </w:r>
      <w:r>
        <w:rPr>
          <w:snapToGrid w:val="0"/>
        </w:rPr>
        <w:tab/>
        <w:t>Por lo que se refiere a los derechos individuales y las libertades fundamentales, los artículos 12 y ss. de la Constitución revisada en julio de 2005 garantizan esos derechos a los ciudadanos en los términos siguientes:  "en las condiciones y formas previstas por la Constitución y la ley, se reconocen a los ciudadanos las libertades y los derechos fundamentales y se les garantiza su ejercicio".</w:t>
      </w:r>
    </w:p>
    <w:p w:rsidR="00000000" w:rsidRDefault="00000000">
      <w:pPr>
        <w:adjustRightInd w:val="0"/>
        <w:snapToGrid w:val="0"/>
        <w:spacing w:after="240"/>
        <w:rPr>
          <w:snapToGrid w:val="0"/>
        </w:rPr>
      </w:pPr>
      <w:r>
        <w:rPr>
          <w:snapToGrid w:val="0"/>
        </w:rPr>
        <w:t>278.</w:t>
      </w:r>
      <w:r>
        <w:rPr>
          <w:snapToGrid w:val="0"/>
        </w:rPr>
        <w:tab/>
        <w:t xml:space="preserve">La misma Constitución establece, en su artículo 5, que "está prohibida toda propaganda de carácter étnico, tribal, regional o religioso, destinada a socavar la unidad nacional o la laicidad del Estado".  Esta Constitución garantiza a los ciudadanos el derecho a gozar de las libertades y los derechos fundamentales, al tiempo que impone a todos la obligación de cumplir los deberes previstos en ella. </w:t>
      </w:r>
    </w:p>
    <w:p w:rsidR="00000000" w:rsidRDefault="00000000">
      <w:pPr>
        <w:adjustRightInd w:val="0"/>
        <w:snapToGrid w:val="0"/>
        <w:spacing w:after="240"/>
        <w:rPr>
          <w:snapToGrid w:val="0"/>
        </w:rPr>
      </w:pPr>
      <w:r>
        <w:rPr>
          <w:snapToGrid w:val="0"/>
        </w:rPr>
        <w:t>279.</w:t>
      </w:r>
      <w:r>
        <w:rPr>
          <w:snapToGrid w:val="0"/>
        </w:rPr>
        <w:tab/>
        <w:t>En efecto, a fin de garantizar el pleno disfrute de los derechos y libertades previstos en la Constitución, el pueblo chadiano ha declarado lo siguiente:  "proclamemos solemnemente nuestro derecho y nuestro deber de resistir y desobedecer a todo individuo o grupo de individuos y a todo cuerpo del Estado que tome el poder por la fuerza o lo ejerza en violación de la presente Constitución".</w:t>
      </w:r>
    </w:p>
    <w:p w:rsidR="00000000" w:rsidRDefault="00000000">
      <w:pPr>
        <w:adjustRightInd w:val="0"/>
        <w:snapToGrid w:val="0"/>
        <w:spacing w:after="240"/>
        <w:rPr>
          <w:snapToGrid w:val="0"/>
        </w:rPr>
      </w:pPr>
      <w:r>
        <w:rPr>
          <w:snapToGrid w:val="0"/>
        </w:rPr>
        <w:t>280.</w:t>
      </w:r>
      <w:r>
        <w:rPr>
          <w:snapToGrid w:val="0"/>
        </w:rPr>
        <w:tab/>
        <w:t xml:space="preserve">De la misma manera que el pueblo expresa su rechazo a la toma del poder y el ejercicio de éste por la fuerza, rechaza la discriminación en los términos siguientes:  "afirmemos nuestra total oposición a todo régimen cuya política se base en la arbitrariedad, la dictadura, la injusticia, la corrupción, el tráfico de influencias, el nepotismo, el favoritismo respecto de clanes, tribus o religiones y la confiscación del poder".  </w:t>
      </w:r>
    </w:p>
    <w:p w:rsidR="00000000" w:rsidRDefault="00000000">
      <w:pPr>
        <w:adjustRightInd w:val="0"/>
        <w:snapToGrid w:val="0"/>
        <w:spacing w:after="240"/>
        <w:rPr>
          <w:snapToGrid w:val="0"/>
        </w:rPr>
      </w:pPr>
      <w:r>
        <w:rPr>
          <w:snapToGrid w:val="0"/>
        </w:rPr>
        <w:t>281.</w:t>
      </w:r>
      <w:r>
        <w:rPr>
          <w:snapToGrid w:val="0"/>
        </w:rPr>
        <w:tab/>
        <w:t>Se han adoptado medidas para garantizar a toda persona el derecho a exigir de los tribunales satisfacción o reparación justa y adecuada por todo daño de que pueda ser víctima como consecuencia de ese tipo de discriminación.</w:t>
      </w:r>
    </w:p>
    <w:p w:rsidR="00000000" w:rsidRDefault="00000000">
      <w:pPr>
        <w:adjustRightInd w:val="0"/>
        <w:snapToGrid w:val="0"/>
        <w:spacing w:after="240"/>
        <w:rPr>
          <w:snapToGrid w:val="0"/>
        </w:rPr>
      </w:pPr>
      <w:r>
        <w:rPr>
          <w:snapToGrid w:val="0"/>
        </w:rPr>
        <w:t>282.</w:t>
      </w:r>
      <w:r>
        <w:rPr>
          <w:snapToGrid w:val="0"/>
        </w:rPr>
        <w:tab/>
        <w:t xml:space="preserve">Para garantizar a los ciudadanos una justicia adecuada y equitativa se han previsto garantías plasmadas en diversas disposiciones legislativas que permiten el libre acceso a la justicia a toda persona que se considere perjudicada.  En consecuencia, según el párrafo 1 del artículo 42, esa persona puede elegir a un abogado de entre los que, de conformidad con la reglamentación vigente, estén habilitados para representarla.  Esta práctica contribuye al objetivo de lograr una justicia equitativa.  A los acusados que carecen de medios económicos se les asigna un abogado de oficio, sobre todo en las causas penales.  </w:t>
      </w:r>
    </w:p>
    <w:p w:rsidR="00000000" w:rsidRDefault="00000000">
      <w:pPr>
        <w:adjustRightInd w:val="0"/>
        <w:snapToGrid w:val="0"/>
        <w:spacing w:after="240"/>
        <w:rPr>
          <w:snapToGrid w:val="0"/>
        </w:rPr>
      </w:pPr>
      <w:r>
        <w:rPr>
          <w:snapToGrid w:val="0"/>
        </w:rPr>
        <w:t>283.</w:t>
      </w:r>
      <w:r>
        <w:rPr>
          <w:snapToGrid w:val="0"/>
        </w:rPr>
        <w:tab/>
        <w:t xml:space="preserve">Además, a fin de garantizar la reparación justa y adecuada de cualquier daño de que haya sido víctima un ciudadano, éste tiene la posibilidad de recusar al juez por diversas razones.  En la sección relativa al artículo 5, en particular al derecho a un trato equitativo ante los tribunales, se exponen detalladamente esas razones. </w:t>
      </w:r>
    </w:p>
    <w:p w:rsidR="00000000" w:rsidRDefault="00000000">
      <w:pPr>
        <w:adjustRightInd w:val="0"/>
        <w:snapToGrid w:val="0"/>
        <w:spacing w:after="240"/>
        <w:rPr>
          <w:snapToGrid w:val="0"/>
        </w:rPr>
      </w:pPr>
      <w:r>
        <w:rPr>
          <w:snapToGrid w:val="0"/>
        </w:rPr>
        <w:t>284.</w:t>
      </w:r>
      <w:r>
        <w:rPr>
          <w:snapToGrid w:val="0"/>
        </w:rPr>
        <w:tab/>
        <w:t>El acceso a la justicia es libre en el Chad.  Existen, no obstante, varios obstáculos que dificultan su realización, a saber:  la corrupción, la dependencia del poder judicial con respecto al ejecutivo, las condiciones de trabajo de los magistrados, la intimidación de los jueces por algunos reos y, en resumen, la práctica corriente de la impunidad, que se ha vuelto endémica.</w:t>
      </w:r>
    </w:p>
    <w:p w:rsidR="00000000" w:rsidRDefault="00000000">
      <w:pPr>
        <w:adjustRightInd w:val="0"/>
        <w:snapToGrid w:val="0"/>
        <w:spacing w:after="240"/>
        <w:rPr>
          <w:snapToGrid w:val="0"/>
        </w:rPr>
      </w:pPr>
      <w:r>
        <w:rPr>
          <w:snapToGrid w:val="0"/>
        </w:rPr>
        <w:t>285.</w:t>
      </w:r>
      <w:r>
        <w:rPr>
          <w:snapToGrid w:val="0"/>
        </w:rPr>
        <w:tab/>
        <w:t xml:space="preserve">Como ya hemos señalado, la Comisión de seguimiento de las recomendaciones de la asamblea general de la justicia puso en marcha un programa de reforma en el que se han tenido en cuenta todos los males que socavan el funcionamiento del aparato judicial. </w:t>
      </w:r>
    </w:p>
    <w:p w:rsidR="00000000" w:rsidRDefault="00000000">
      <w:pPr>
        <w:keepNext/>
        <w:keepLines/>
        <w:adjustRightInd w:val="0"/>
        <w:snapToGrid w:val="0"/>
        <w:spacing w:after="240"/>
        <w:rPr>
          <w:b/>
          <w:snapToGrid w:val="0"/>
        </w:rPr>
      </w:pPr>
      <w:r>
        <w:rPr>
          <w:b/>
          <w:snapToGrid w:val="0"/>
        </w:rPr>
        <w:t>Artículo 7</w:t>
      </w:r>
    </w:p>
    <w:p w:rsidR="00000000" w:rsidRDefault="00000000">
      <w:pPr>
        <w:keepNext/>
        <w:keepLines/>
        <w:adjustRightInd w:val="0"/>
        <w:snapToGrid w:val="0"/>
        <w:spacing w:after="240"/>
        <w:jc w:val="center"/>
        <w:rPr>
          <w:b/>
          <w:snapToGrid w:val="0"/>
        </w:rPr>
      </w:pPr>
      <w:r>
        <w:rPr>
          <w:b/>
          <w:snapToGrid w:val="0"/>
        </w:rPr>
        <w:t>A.  Educación y enseñanza</w:t>
      </w:r>
    </w:p>
    <w:p w:rsidR="00000000" w:rsidRDefault="00000000">
      <w:pPr>
        <w:keepNext/>
        <w:keepLines/>
        <w:adjustRightInd w:val="0"/>
        <w:snapToGrid w:val="0"/>
        <w:spacing w:after="240"/>
        <w:rPr>
          <w:snapToGrid w:val="0"/>
        </w:rPr>
      </w:pPr>
      <w:r>
        <w:rPr>
          <w:snapToGrid w:val="0"/>
        </w:rPr>
        <w:t>286.</w:t>
      </w:r>
      <w:r>
        <w:rPr>
          <w:snapToGrid w:val="0"/>
        </w:rPr>
        <w:tab/>
        <w:t>En su forma actual, la estructura del sistema de enseñanza del Chad es del tipo 6-7-4, porque comprende 6 años de estudios primarios (2 años preparatorios, 2 años de enseñanza elemental y 2 años de enseñanza media), 7 años de estudios secundarios (4 años de primer ciclo y 3 años de segundo ciclo) y de 3 a 4 años de estudios superiores.</w:t>
      </w:r>
    </w:p>
    <w:p w:rsidR="00000000" w:rsidRDefault="00000000">
      <w:pPr>
        <w:adjustRightInd w:val="0"/>
        <w:snapToGrid w:val="0"/>
        <w:spacing w:after="240"/>
        <w:rPr>
          <w:snapToGrid w:val="0"/>
        </w:rPr>
      </w:pPr>
      <w:r>
        <w:rPr>
          <w:snapToGrid w:val="0"/>
        </w:rPr>
        <w:t>287.</w:t>
      </w:r>
      <w:r>
        <w:rPr>
          <w:snapToGrid w:val="0"/>
        </w:rPr>
        <w:tab/>
        <w:t>Además de la universidad, existen otros establecimientos de enseñanza superior, como las escuelas de personal sanitario y social, las escuelas normales, la escuela de obras públicas, la escuela de enseñanza agrícola y diversos institutos de formación profesional, que proponen a los estudiantes la formación en diversas especialidades.</w:t>
      </w:r>
    </w:p>
    <w:p w:rsidR="00000000" w:rsidRDefault="00000000">
      <w:pPr>
        <w:adjustRightInd w:val="0"/>
        <w:snapToGrid w:val="0"/>
        <w:spacing w:after="240"/>
        <w:rPr>
          <w:snapToGrid w:val="0"/>
        </w:rPr>
      </w:pPr>
      <w:r>
        <w:rPr>
          <w:snapToGrid w:val="0"/>
        </w:rPr>
        <w:t>288.</w:t>
      </w:r>
      <w:r>
        <w:rPr>
          <w:snapToGrid w:val="0"/>
        </w:rPr>
        <w:tab/>
        <w:t xml:space="preserve">Como ya hemos señalado, el derecho a la instrucción está garantizado a todo ciudadano, sin discriminación alguna, en el artículo 35 de la Constitución revisada.  Esta disposición constitucional está respaldada por el artículo 4 de la Ley Nº 016/PR/06, de 13 de marzo de 2006, relativa a la orientación del sistema educativo chadiano. </w:t>
      </w:r>
    </w:p>
    <w:p w:rsidR="00000000" w:rsidRDefault="00000000">
      <w:pPr>
        <w:adjustRightInd w:val="0"/>
        <w:snapToGrid w:val="0"/>
        <w:spacing w:after="240"/>
        <w:rPr>
          <w:snapToGrid w:val="0"/>
        </w:rPr>
      </w:pPr>
      <w:r>
        <w:rPr>
          <w:snapToGrid w:val="0"/>
        </w:rPr>
        <w:t>289.</w:t>
      </w:r>
      <w:r>
        <w:rPr>
          <w:snapToGrid w:val="0"/>
        </w:rPr>
        <w:tab/>
        <w:t xml:space="preserve">En ese artículo se dispone que "el derecho a la educación y la formación se reconoce a todos, sin distinción de edad, sexo, u origen regional, social, étnico o religioso.  La educación es una prioridad nacional absoluta...".  En el artículo 12 de la misma ley se dispone que "la misión del sistema educativo es educar, instruir y formar a los jóvenes con miras a su inserción socioprofesional y su ambición es favorecer en ellos el amor por la patria, la conciencia de la identidad nacional, el sentimiento de pertenencia a una civilización de dimensión nacional y africana y, al mismo tiempo, reforzar su apertura a la civilización universal". </w:t>
      </w:r>
    </w:p>
    <w:p w:rsidR="00000000" w:rsidRDefault="00000000">
      <w:pPr>
        <w:adjustRightInd w:val="0"/>
        <w:snapToGrid w:val="0"/>
        <w:spacing w:after="240"/>
        <w:rPr>
          <w:snapToGrid w:val="0"/>
        </w:rPr>
      </w:pPr>
      <w:r>
        <w:rPr>
          <w:snapToGrid w:val="0"/>
        </w:rPr>
        <w:t>290.</w:t>
      </w:r>
      <w:r>
        <w:rPr>
          <w:snapToGrid w:val="0"/>
        </w:rPr>
        <w:tab/>
        <w:t>El sistema educativo garantiza la instauración de una sociedad democrática profundamente apegada a su identidad cultural, abierta a la modernidad y que se inspira en los ideales humanistas y los principios universales de libertad, justicia social y derechos humanos.</w:t>
      </w:r>
    </w:p>
    <w:p w:rsidR="00000000" w:rsidRDefault="00000000">
      <w:pPr>
        <w:adjustRightInd w:val="0"/>
        <w:snapToGrid w:val="0"/>
        <w:spacing w:after="240"/>
        <w:rPr>
          <w:snapToGrid w:val="0"/>
        </w:rPr>
      </w:pPr>
      <w:r>
        <w:rPr>
          <w:snapToGrid w:val="0"/>
        </w:rPr>
        <w:t>291.</w:t>
      </w:r>
      <w:r>
        <w:rPr>
          <w:snapToGrid w:val="0"/>
        </w:rPr>
        <w:tab/>
        <w:t xml:space="preserve">Por otra parte, conviene mencionar los esfuerzos recientes del Gobierno para introducir en el programa oficial de enseñanza pública la educación en materia de derechos humanos.  Como la educación es considerada una prioridad del Gobierno, se decidió que el Ministerio de Educación sería uno de los destinatarios prioritarios del fondo petrolero.  En efecto, a fin de readaptar el sistema educativo chadiano a las realidades actuales, el Gobierno organizó una asamblea general de la educación, en la que se hizo un inventario de la situación y se formularon las recomendaciones pertinentes. </w:t>
      </w:r>
    </w:p>
    <w:p w:rsidR="00000000" w:rsidRDefault="00000000">
      <w:pPr>
        <w:adjustRightInd w:val="0"/>
        <w:snapToGrid w:val="0"/>
        <w:spacing w:after="240"/>
        <w:rPr>
          <w:snapToGrid w:val="0"/>
        </w:rPr>
      </w:pPr>
      <w:r>
        <w:rPr>
          <w:snapToGrid w:val="0"/>
        </w:rPr>
        <w:t>292.</w:t>
      </w:r>
      <w:r>
        <w:rPr>
          <w:snapToGrid w:val="0"/>
        </w:rPr>
        <w:tab/>
        <w:t>Además, la política nacional de la educación prevé un sistema liberalizado en el Decreto Nº 25, en virtud del cual las instituciones privadas, los particulares, las instituciones religiosas y las comunidades locales podrán crear y controlar sus propias escuelas y otros establecimientos de enseñanza, de conformidad con sus propios principios, a condición de que respeten las disposiciones reglamentarias y de otra índole definidas por el Ministerio de Educación.</w:t>
      </w:r>
    </w:p>
    <w:p w:rsidR="00000000" w:rsidRDefault="00000000">
      <w:pPr>
        <w:adjustRightInd w:val="0"/>
        <w:snapToGrid w:val="0"/>
        <w:spacing w:after="240"/>
        <w:rPr>
          <w:snapToGrid w:val="0"/>
        </w:rPr>
      </w:pPr>
      <w:r>
        <w:rPr>
          <w:snapToGrid w:val="0"/>
        </w:rPr>
        <w:t>293.</w:t>
      </w:r>
      <w:r>
        <w:rPr>
          <w:snapToGrid w:val="0"/>
        </w:rPr>
        <w:tab/>
        <w:t xml:space="preserve">A fin de hacer efectiva la gratuidad de la educación prevista en la Constitución revisada, a comienzos del año en curso se dictó una orden y se emitió una notificación al respecto. </w:t>
      </w:r>
    </w:p>
    <w:p w:rsidR="00000000" w:rsidRDefault="00000000">
      <w:pPr>
        <w:adjustRightInd w:val="0"/>
        <w:snapToGrid w:val="0"/>
        <w:spacing w:after="240"/>
        <w:rPr>
          <w:snapToGrid w:val="0"/>
        </w:rPr>
      </w:pPr>
      <w:r>
        <w:rPr>
          <w:snapToGrid w:val="0"/>
        </w:rPr>
        <w:t>294.</w:t>
      </w:r>
      <w:r>
        <w:rPr>
          <w:snapToGrid w:val="0"/>
        </w:rPr>
        <w:tab/>
        <w:t xml:space="preserve">Es importante mencionar también el programa de educación cívica y moral que se ha introducido en el programa de formación de los alumnos funcionarios de las escuelas normales. </w:t>
      </w:r>
    </w:p>
    <w:p w:rsidR="00000000" w:rsidRDefault="00000000">
      <w:pPr>
        <w:adjustRightInd w:val="0"/>
        <w:snapToGrid w:val="0"/>
        <w:spacing w:after="240"/>
        <w:jc w:val="center"/>
        <w:rPr>
          <w:b/>
          <w:snapToGrid w:val="0"/>
        </w:rPr>
      </w:pPr>
      <w:r>
        <w:rPr>
          <w:b/>
          <w:snapToGrid w:val="0"/>
        </w:rPr>
        <w:t>B.  Cultura</w:t>
      </w:r>
    </w:p>
    <w:p w:rsidR="00000000" w:rsidRDefault="00000000">
      <w:pPr>
        <w:adjustRightInd w:val="0"/>
        <w:snapToGrid w:val="0"/>
        <w:spacing w:after="240"/>
        <w:rPr>
          <w:snapToGrid w:val="0"/>
        </w:rPr>
      </w:pPr>
      <w:r>
        <w:rPr>
          <w:snapToGrid w:val="0"/>
        </w:rPr>
        <w:t>295.</w:t>
      </w:r>
      <w:r>
        <w:rPr>
          <w:snapToGrid w:val="0"/>
        </w:rPr>
        <w:tab/>
        <w:t>Por lo que se refiere a las medidas legislativas para evitar la discriminación en la cultura, en los artículos 33 y 34 de la Constitución revisada se garantiza a todo chadiano el derecho a la cultura y a la creación, la protección y el disfrute de sus obras intelectuales y artísticas.  En la misma Constitución se establece que el Estado tiene el deber de salvaguardar y promover los valores culturales nacionales.</w:t>
      </w:r>
    </w:p>
    <w:p w:rsidR="00000000" w:rsidRDefault="00000000">
      <w:pPr>
        <w:adjustRightInd w:val="0"/>
        <w:snapToGrid w:val="0"/>
        <w:spacing w:after="240"/>
        <w:rPr>
          <w:snapToGrid w:val="0"/>
        </w:rPr>
      </w:pPr>
      <w:r>
        <w:rPr>
          <w:snapToGrid w:val="0"/>
        </w:rPr>
        <w:t>296.</w:t>
      </w:r>
      <w:r>
        <w:rPr>
          <w:snapToGrid w:val="0"/>
        </w:rPr>
        <w:tab/>
        <w:t xml:space="preserve">En materia de medidas administrativas, cada ministerio tiene un mandato específico y muchos de ellos trabajan en favor de la promoción de la cultura y de las obras de arte. </w:t>
      </w:r>
    </w:p>
    <w:p w:rsidR="00000000" w:rsidRDefault="00000000">
      <w:pPr>
        <w:adjustRightInd w:val="0"/>
        <w:snapToGrid w:val="0"/>
        <w:spacing w:after="240"/>
        <w:rPr>
          <w:snapToGrid w:val="0"/>
        </w:rPr>
      </w:pPr>
      <w:r>
        <w:rPr>
          <w:snapToGrid w:val="0"/>
        </w:rPr>
        <w:t>297.</w:t>
      </w:r>
      <w:r>
        <w:rPr>
          <w:snapToGrid w:val="0"/>
        </w:rPr>
        <w:tab/>
        <w:t xml:space="preserve">El Ministerio de Cultura, por ejemplo, se encarga de favorecer el desarrollo y la promoción de la cultura con miras al desarrollo sostenible.  Este mismo Ministerio favorece y protege la propiedad intelectual.  A estos efectos, se ha creado la Oficina de Derechos de Autor del Chad (para más detalles, véanse en el Ministerio la ley y el decreto).  Este Ministerio recibe apoyo del Ministerio de Comercio y Artesanía, que promueve las obras artesanales y etnoculturales. </w:t>
      </w:r>
    </w:p>
    <w:p w:rsidR="00000000" w:rsidRDefault="00000000">
      <w:pPr>
        <w:adjustRightInd w:val="0"/>
        <w:snapToGrid w:val="0"/>
        <w:spacing w:after="240"/>
        <w:rPr>
          <w:snapToGrid w:val="0"/>
        </w:rPr>
      </w:pPr>
      <w:r>
        <w:rPr>
          <w:snapToGrid w:val="0"/>
        </w:rPr>
        <w:t>298.</w:t>
      </w:r>
      <w:r>
        <w:rPr>
          <w:snapToGrid w:val="0"/>
        </w:rPr>
        <w:tab/>
        <w:t>El Ministerio de la Administración Territorial, por conducto de su Dirección de asuntos consuetudinarios y religiosos, se ocupa de las cuestiones relativas a la tradición.</w:t>
      </w:r>
    </w:p>
    <w:p w:rsidR="00000000" w:rsidRDefault="00000000">
      <w:pPr>
        <w:adjustRightInd w:val="0"/>
        <w:snapToGrid w:val="0"/>
        <w:spacing w:after="240"/>
        <w:rPr>
          <w:snapToGrid w:val="0"/>
        </w:rPr>
      </w:pPr>
      <w:r>
        <w:rPr>
          <w:snapToGrid w:val="0"/>
        </w:rPr>
        <w:t>299.</w:t>
      </w:r>
      <w:r>
        <w:rPr>
          <w:snapToGrid w:val="0"/>
        </w:rPr>
        <w:tab/>
        <w:t>Por su parte, la Universidad de Yamena tiene a su cargo la enseñanza de materias culturales como la literatura, los idiomas, las letras y la comunicación en la Facultad de Letras y Ciencias Humanas y la formación en derecho humanitario y libertad pública en la Facultad de Derecho.</w:t>
      </w:r>
    </w:p>
    <w:p w:rsidR="00000000" w:rsidRDefault="00000000">
      <w:pPr>
        <w:adjustRightInd w:val="0"/>
        <w:snapToGrid w:val="0"/>
        <w:spacing w:after="240"/>
        <w:rPr>
          <w:snapToGrid w:val="0"/>
        </w:rPr>
      </w:pPr>
      <w:r>
        <w:rPr>
          <w:snapToGrid w:val="0"/>
        </w:rPr>
        <w:t>300.</w:t>
      </w:r>
      <w:r>
        <w:rPr>
          <w:snapToGrid w:val="0"/>
        </w:rPr>
        <w:tab/>
        <w:t xml:space="preserve">Varias asociaciones de derechos humanos obran y combaten también en este ámbito mediante actividades diversas en los establecimientos escolares y en los medios de comunicación.  Las asociaciones de derechos humanos y los organismos internacionales organizan en general las jornadas de derechos humanos.  Por ejemplo, el PNUD ha organizado la jornada conmemorativa de la adopción de la declaración de derechos humanos, actividad que contó este año con una participación importante de miembros del Gobierno. </w:t>
      </w:r>
    </w:p>
    <w:p w:rsidR="00000000" w:rsidRDefault="00000000">
      <w:pPr>
        <w:adjustRightInd w:val="0"/>
        <w:snapToGrid w:val="0"/>
        <w:spacing w:after="240"/>
        <w:jc w:val="center"/>
        <w:rPr>
          <w:b/>
          <w:snapToGrid w:val="0"/>
        </w:rPr>
      </w:pPr>
      <w:r>
        <w:rPr>
          <w:b/>
          <w:snapToGrid w:val="0"/>
        </w:rPr>
        <w:t>C.  Información</w:t>
      </w:r>
    </w:p>
    <w:p w:rsidR="00000000" w:rsidRDefault="00000000">
      <w:pPr>
        <w:adjustRightInd w:val="0"/>
        <w:snapToGrid w:val="0"/>
        <w:spacing w:after="240"/>
        <w:rPr>
          <w:snapToGrid w:val="0"/>
        </w:rPr>
      </w:pPr>
      <w:r>
        <w:rPr>
          <w:snapToGrid w:val="0"/>
        </w:rPr>
        <w:t>301.</w:t>
      </w:r>
      <w:r>
        <w:rPr>
          <w:snapToGrid w:val="0"/>
        </w:rPr>
        <w:tab/>
        <w:t>Por lo que se refiere a la información, cabe señalar que en el Chad los medios de comunicación públicos difunden con regularidad programas educativos en materia de derechos humanos y lucha contra la discriminación.</w:t>
      </w:r>
    </w:p>
    <w:p w:rsidR="00000000" w:rsidRDefault="00000000">
      <w:pPr>
        <w:adjustRightInd w:val="0"/>
        <w:snapToGrid w:val="0"/>
        <w:spacing w:after="240"/>
        <w:rPr>
          <w:snapToGrid w:val="0"/>
        </w:rPr>
      </w:pPr>
      <w:r>
        <w:rPr>
          <w:snapToGrid w:val="0"/>
        </w:rPr>
        <w:t>302.</w:t>
      </w:r>
      <w:r>
        <w:rPr>
          <w:snapToGrid w:val="0"/>
        </w:rPr>
        <w:tab/>
        <w:t xml:space="preserve">Cabe mencionar, por ejemplo:  la Radiodifusora Nacional Chadiana, con su programa "Derecho y deber" y su emisión "Foro" y la Televisión del Chad, con su programa "La cita del centro de formación para el desarrollo" y la emisión "En la escuela de derecho". </w:t>
      </w:r>
    </w:p>
    <w:p w:rsidR="00000000" w:rsidRDefault="00000000">
      <w:pPr>
        <w:adjustRightInd w:val="0"/>
        <w:snapToGrid w:val="0"/>
        <w:spacing w:after="240"/>
        <w:rPr>
          <w:snapToGrid w:val="0"/>
        </w:rPr>
      </w:pPr>
      <w:r>
        <w:rPr>
          <w:snapToGrid w:val="0"/>
        </w:rPr>
        <w:t>303.</w:t>
      </w:r>
      <w:r>
        <w:rPr>
          <w:snapToGrid w:val="0"/>
        </w:rPr>
        <w:tab/>
        <w:t xml:space="preserve">Además de los medios de comunicación públicos, los periódicos y, sobre todo, las emisoras de radio privadas participan en la difusión de la información y la sensibilización en materia de derechos humanos.  Citaremos en particular:  la emisora "FM Liberté", creada por la sociedad civil, cuya línea editorial se centra en la promoción y la defensa de los derechos humanos, y las emisoras "Dja FM", "Terre Nouvelle" y " Brakoss".  Todas estas emisoras de radiodifusión realizan y difunden programas variados sobre derechos humanos entre los que cabe citar "Aló, abogado", "El derecho a saber" y "Ser ciudadano". </w:t>
      </w:r>
    </w:p>
    <w:p w:rsidR="00000000" w:rsidRDefault="00000000">
      <w:pPr>
        <w:adjustRightInd w:val="0"/>
        <w:snapToGrid w:val="0"/>
        <w:spacing w:after="240"/>
        <w:jc w:val="center"/>
        <w:rPr>
          <w:b/>
          <w:snapToGrid w:val="0"/>
          <w:sz w:val="20"/>
          <w:szCs w:val="20"/>
        </w:rPr>
      </w:pPr>
      <w:r>
        <w:rPr>
          <w:b/>
          <w:snapToGrid w:val="0"/>
          <w:sz w:val="20"/>
          <w:szCs w:val="20"/>
        </w:rPr>
        <w:t>Cuadro de medios de comunicación del Chad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700"/>
        <w:gridCol w:w="3107"/>
        <w:gridCol w:w="1133"/>
        <w:gridCol w:w="1329"/>
        <w:gridCol w:w="826"/>
        <w:gridCol w:w="1287"/>
        <w:gridCol w:w="1109"/>
      </w:tblGrid>
      <w:tr w:rsidR="00000000">
        <w:trPr>
          <w:tblHeader/>
        </w:trPr>
        <w:tc>
          <w:tcPr>
            <w:tcW w:w="369" w:type="pct"/>
            <w:tcMar>
              <w:left w:w="68" w:type="dxa"/>
              <w:right w:w="68" w:type="dxa"/>
            </w:tcMar>
            <w:vAlign w:val="center"/>
          </w:tcPr>
          <w:p w:rsidR="00000000" w:rsidRDefault="00000000">
            <w:pPr>
              <w:adjustRightInd w:val="0"/>
              <w:snapToGrid w:val="0"/>
              <w:jc w:val="center"/>
              <w:rPr>
                <w:b/>
                <w:iCs/>
                <w:snapToGrid w:val="0"/>
                <w:sz w:val="21"/>
                <w:szCs w:val="21"/>
              </w:rPr>
            </w:pPr>
            <w:r>
              <w:rPr>
                <w:b/>
                <w:iCs/>
                <w:snapToGrid w:val="0"/>
                <w:sz w:val="21"/>
                <w:szCs w:val="21"/>
              </w:rPr>
              <w:t>Nº</w:t>
            </w:r>
          </w:p>
        </w:tc>
        <w:tc>
          <w:tcPr>
            <w:tcW w:w="1637" w:type="pct"/>
            <w:tcMar>
              <w:left w:w="68" w:type="dxa"/>
              <w:right w:w="68" w:type="dxa"/>
            </w:tcMar>
            <w:vAlign w:val="center"/>
          </w:tcPr>
          <w:p w:rsidR="00000000" w:rsidRDefault="00000000">
            <w:pPr>
              <w:adjustRightInd w:val="0"/>
              <w:snapToGrid w:val="0"/>
              <w:jc w:val="center"/>
              <w:rPr>
                <w:b/>
                <w:iCs/>
                <w:snapToGrid w:val="0"/>
                <w:sz w:val="21"/>
                <w:szCs w:val="21"/>
              </w:rPr>
            </w:pPr>
            <w:r>
              <w:rPr>
                <w:b/>
                <w:iCs/>
                <w:snapToGrid w:val="0"/>
                <w:sz w:val="21"/>
                <w:szCs w:val="21"/>
              </w:rPr>
              <w:t>Nombre</w:t>
            </w:r>
          </w:p>
        </w:tc>
        <w:tc>
          <w:tcPr>
            <w:tcW w:w="597" w:type="pct"/>
            <w:tcMar>
              <w:left w:w="68" w:type="dxa"/>
              <w:right w:w="68" w:type="dxa"/>
            </w:tcMar>
            <w:vAlign w:val="center"/>
          </w:tcPr>
          <w:p w:rsidR="00000000" w:rsidRDefault="00000000">
            <w:pPr>
              <w:adjustRightInd w:val="0"/>
              <w:snapToGrid w:val="0"/>
              <w:jc w:val="center"/>
              <w:rPr>
                <w:b/>
                <w:iCs/>
                <w:snapToGrid w:val="0"/>
                <w:sz w:val="21"/>
                <w:szCs w:val="21"/>
              </w:rPr>
            </w:pPr>
            <w:r>
              <w:rPr>
                <w:b/>
                <w:iCs/>
                <w:snapToGrid w:val="0"/>
                <w:sz w:val="21"/>
                <w:szCs w:val="21"/>
              </w:rPr>
              <w:t>Año de creación</w:t>
            </w:r>
          </w:p>
        </w:tc>
        <w:tc>
          <w:tcPr>
            <w:tcW w:w="700" w:type="pct"/>
            <w:tcMar>
              <w:left w:w="68" w:type="dxa"/>
              <w:right w:w="68" w:type="dxa"/>
            </w:tcMar>
            <w:vAlign w:val="center"/>
          </w:tcPr>
          <w:p w:rsidR="00000000" w:rsidRDefault="00000000">
            <w:pPr>
              <w:adjustRightInd w:val="0"/>
              <w:snapToGrid w:val="0"/>
              <w:jc w:val="center"/>
              <w:rPr>
                <w:b/>
                <w:iCs/>
                <w:snapToGrid w:val="0"/>
                <w:sz w:val="21"/>
                <w:szCs w:val="21"/>
              </w:rPr>
            </w:pPr>
            <w:r>
              <w:rPr>
                <w:b/>
                <w:iCs/>
                <w:snapToGrid w:val="0"/>
                <w:sz w:val="21"/>
                <w:szCs w:val="21"/>
              </w:rPr>
              <w:t>Periodicidad</w:t>
            </w:r>
          </w:p>
        </w:tc>
        <w:tc>
          <w:tcPr>
            <w:tcW w:w="435" w:type="pct"/>
            <w:tcMar>
              <w:left w:w="68" w:type="dxa"/>
              <w:right w:w="68" w:type="dxa"/>
            </w:tcMar>
            <w:vAlign w:val="center"/>
          </w:tcPr>
          <w:p w:rsidR="00000000" w:rsidRDefault="00000000">
            <w:pPr>
              <w:adjustRightInd w:val="0"/>
              <w:snapToGrid w:val="0"/>
              <w:jc w:val="center"/>
              <w:rPr>
                <w:b/>
                <w:iCs/>
                <w:snapToGrid w:val="0"/>
                <w:sz w:val="21"/>
                <w:szCs w:val="21"/>
              </w:rPr>
            </w:pPr>
            <w:r>
              <w:rPr>
                <w:b/>
                <w:iCs/>
                <w:snapToGrid w:val="0"/>
                <w:sz w:val="21"/>
                <w:szCs w:val="21"/>
              </w:rPr>
              <w:t>Tirada</w:t>
            </w:r>
          </w:p>
        </w:tc>
        <w:tc>
          <w:tcPr>
            <w:tcW w:w="678" w:type="pct"/>
            <w:tcMar>
              <w:left w:w="68" w:type="dxa"/>
              <w:right w:w="68" w:type="dxa"/>
            </w:tcMar>
            <w:vAlign w:val="center"/>
          </w:tcPr>
          <w:p w:rsidR="00000000" w:rsidRDefault="00000000">
            <w:pPr>
              <w:adjustRightInd w:val="0"/>
              <w:snapToGrid w:val="0"/>
              <w:jc w:val="center"/>
              <w:rPr>
                <w:b/>
                <w:iCs/>
                <w:snapToGrid w:val="0"/>
                <w:sz w:val="21"/>
                <w:szCs w:val="21"/>
              </w:rPr>
            </w:pPr>
            <w:r>
              <w:rPr>
                <w:b/>
                <w:iCs/>
                <w:snapToGrid w:val="0"/>
                <w:sz w:val="21"/>
                <w:szCs w:val="21"/>
              </w:rPr>
              <w:t>Número de páginas</w:t>
            </w:r>
          </w:p>
        </w:tc>
        <w:tc>
          <w:tcPr>
            <w:tcW w:w="584" w:type="pct"/>
            <w:tcMar>
              <w:left w:w="68" w:type="dxa"/>
              <w:right w:w="68" w:type="dxa"/>
            </w:tcMar>
            <w:vAlign w:val="center"/>
          </w:tcPr>
          <w:p w:rsidR="00000000" w:rsidRDefault="00000000">
            <w:pPr>
              <w:adjustRightInd w:val="0"/>
              <w:snapToGrid w:val="0"/>
              <w:jc w:val="center"/>
              <w:rPr>
                <w:b/>
                <w:iCs/>
                <w:snapToGrid w:val="0"/>
                <w:sz w:val="21"/>
                <w:szCs w:val="21"/>
              </w:rPr>
            </w:pPr>
            <w:r>
              <w:rPr>
                <w:b/>
                <w:iCs/>
                <w:snapToGrid w:val="0"/>
                <w:sz w:val="21"/>
                <w:szCs w:val="21"/>
              </w:rPr>
              <w:t>Precio</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1</w:t>
            </w:r>
          </w:p>
        </w:tc>
        <w:tc>
          <w:tcPr>
            <w:tcW w:w="1637" w:type="pct"/>
            <w:tcMar>
              <w:left w:w="68" w:type="dxa"/>
              <w:right w:w="68" w:type="dxa"/>
            </w:tcMar>
          </w:tcPr>
          <w:p w:rsidR="00000000" w:rsidRDefault="00000000">
            <w:pPr>
              <w:adjustRightInd w:val="0"/>
              <w:snapToGrid w:val="0"/>
              <w:rPr>
                <w:iCs/>
                <w:snapToGrid w:val="0"/>
                <w:sz w:val="21"/>
                <w:szCs w:val="21"/>
              </w:rPr>
            </w:pPr>
            <w:r>
              <w:rPr>
                <w:i/>
                <w:snapToGrid w:val="0"/>
                <w:sz w:val="21"/>
                <w:szCs w:val="21"/>
              </w:rPr>
              <w:t xml:space="preserve">Tchad et Culture </w:t>
            </w:r>
            <w:r>
              <w:rPr>
                <w:iCs/>
                <w:snapToGrid w:val="0"/>
                <w:sz w:val="21"/>
                <w:szCs w:val="21"/>
              </w:rPr>
              <w:t xml:space="preserve">Revista de análisis y de información general </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1964</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Mensual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r>
              <w:rPr>
                <w:snapToGrid w:val="0"/>
                <w:sz w:val="21"/>
                <w:szCs w:val="21"/>
              </w:rPr>
              <w:t>4.500</w:t>
            </w: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30</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500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2</w:t>
            </w:r>
          </w:p>
        </w:tc>
        <w:tc>
          <w:tcPr>
            <w:tcW w:w="1637" w:type="pct"/>
            <w:tcMar>
              <w:left w:w="68" w:type="dxa"/>
              <w:right w:w="68" w:type="dxa"/>
            </w:tcMar>
          </w:tcPr>
          <w:p w:rsidR="00000000" w:rsidRDefault="00000000">
            <w:pPr>
              <w:adjustRightInd w:val="0"/>
              <w:snapToGrid w:val="0"/>
              <w:rPr>
                <w:i/>
                <w:snapToGrid w:val="0"/>
                <w:sz w:val="21"/>
                <w:szCs w:val="21"/>
              </w:rPr>
            </w:pPr>
            <w:r>
              <w:rPr>
                <w:i/>
                <w:snapToGrid w:val="0"/>
                <w:sz w:val="21"/>
                <w:szCs w:val="21"/>
              </w:rPr>
              <w:t>N’Djaména bi hebdo</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1989</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Bisemanal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r>
              <w:rPr>
                <w:snapToGrid w:val="0"/>
                <w:sz w:val="21"/>
                <w:szCs w:val="21"/>
              </w:rPr>
              <w:t>3.500</w:t>
            </w: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8</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250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3</w:t>
            </w:r>
          </w:p>
        </w:tc>
        <w:tc>
          <w:tcPr>
            <w:tcW w:w="1637" w:type="pct"/>
            <w:tcMar>
              <w:left w:w="68" w:type="dxa"/>
              <w:right w:w="68" w:type="dxa"/>
            </w:tcMar>
          </w:tcPr>
          <w:p w:rsidR="00000000" w:rsidRDefault="00000000">
            <w:pPr>
              <w:adjustRightInd w:val="0"/>
              <w:snapToGrid w:val="0"/>
              <w:rPr>
                <w:snapToGrid w:val="0"/>
                <w:sz w:val="21"/>
                <w:szCs w:val="21"/>
              </w:rPr>
            </w:pPr>
            <w:r>
              <w:rPr>
                <w:i/>
                <w:snapToGrid w:val="0"/>
                <w:sz w:val="21"/>
                <w:szCs w:val="21"/>
              </w:rPr>
              <w:t xml:space="preserve">Le Progrès </w:t>
            </w:r>
            <w:r>
              <w:rPr>
                <w:snapToGrid w:val="0"/>
                <w:sz w:val="21"/>
                <w:szCs w:val="21"/>
              </w:rPr>
              <w:t xml:space="preserve">Diario de información general </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1993</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Diaria</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r>
              <w:rPr>
                <w:snapToGrid w:val="0"/>
                <w:sz w:val="21"/>
                <w:szCs w:val="21"/>
              </w:rPr>
              <w:t>3.000</w:t>
            </w: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4 a 5</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100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4</w:t>
            </w:r>
          </w:p>
        </w:tc>
        <w:tc>
          <w:tcPr>
            <w:tcW w:w="1637" w:type="pct"/>
            <w:tcMar>
              <w:left w:w="68" w:type="dxa"/>
              <w:right w:w="68" w:type="dxa"/>
            </w:tcMar>
          </w:tcPr>
          <w:p w:rsidR="00000000" w:rsidRDefault="00000000">
            <w:pPr>
              <w:adjustRightInd w:val="0"/>
              <w:snapToGrid w:val="0"/>
              <w:rPr>
                <w:iCs/>
                <w:snapToGrid w:val="0"/>
                <w:sz w:val="21"/>
                <w:szCs w:val="21"/>
              </w:rPr>
            </w:pPr>
            <w:r>
              <w:rPr>
                <w:i/>
                <w:snapToGrid w:val="0"/>
                <w:sz w:val="21"/>
                <w:szCs w:val="21"/>
              </w:rPr>
              <w:t xml:space="preserve">La Lettre </w:t>
            </w:r>
            <w:r>
              <w:rPr>
                <w:iCs/>
                <w:snapToGrid w:val="0"/>
                <w:sz w:val="21"/>
                <w:szCs w:val="21"/>
              </w:rPr>
              <w:t>Boletín de enlace e información de la Liga de Derechos Humanos del Chad (LTDH)</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1993</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Mensual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r>
              <w:rPr>
                <w:snapToGrid w:val="0"/>
                <w:sz w:val="21"/>
                <w:szCs w:val="21"/>
              </w:rPr>
              <w:t>1.000</w:t>
            </w: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12</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100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5</w:t>
            </w:r>
          </w:p>
        </w:tc>
        <w:tc>
          <w:tcPr>
            <w:tcW w:w="1637" w:type="pct"/>
            <w:tcMar>
              <w:left w:w="68" w:type="dxa"/>
              <w:right w:w="68" w:type="dxa"/>
            </w:tcMar>
          </w:tcPr>
          <w:p w:rsidR="00000000" w:rsidRDefault="00000000">
            <w:pPr>
              <w:adjustRightInd w:val="0"/>
              <w:snapToGrid w:val="0"/>
              <w:rPr>
                <w:i/>
                <w:snapToGrid w:val="0"/>
                <w:sz w:val="21"/>
                <w:szCs w:val="21"/>
              </w:rPr>
            </w:pPr>
            <w:r>
              <w:rPr>
                <w:i/>
                <w:snapToGrid w:val="0"/>
                <w:sz w:val="21"/>
                <w:szCs w:val="21"/>
              </w:rPr>
              <w:t>Le Temps</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1995</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Semanal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r>
              <w:rPr>
                <w:snapToGrid w:val="0"/>
                <w:sz w:val="21"/>
                <w:szCs w:val="21"/>
              </w:rPr>
              <w:t>4.000</w:t>
            </w: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12</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300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6</w:t>
            </w:r>
          </w:p>
        </w:tc>
        <w:tc>
          <w:tcPr>
            <w:tcW w:w="1637" w:type="pct"/>
            <w:tcMar>
              <w:left w:w="68" w:type="dxa"/>
              <w:right w:w="68" w:type="dxa"/>
            </w:tcMar>
          </w:tcPr>
          <w:p w:rsidR="00000000" w:rsidRDefault="00000000">
            <w:pPr>
              <w:adjustRightInd w:val="0"/>
              <w:snapToGrid w:val="0"/>
              <w:rPr>
                <w:i/>
                <w:snapToGrid w:val="0"/>
                <w:sz w:val="21"/>
                <w:szCs w:val="21"/>
              </w:rPr>
            </w:pPr>
            <w:r>
              <w:rPr>
                <w:i/>
                <w:snapToGrid w:val="0"/>
                <w:sz w:val="21"/>
                <w:szCs w:val="21"/>
              </w:rPr>
              <w:t>L'Interrogatoire</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1995</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Bimensual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r>
              <w:rPr>
                <w:snapToGrid w:val="0"/>
                <w:sz w:val="21"/>
                <w:szCs w:val="21"/>
              </w:rPr>
              <w:t>1.500</w:t>
            </w: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4 a 6</w:t>
            </w:r>
          </w:p>
        </w:tc>
        <w:tc>
          <w:tcPr>
            <w:tcW w:w="584" w:type="pct"/>
            <w:tcMar>
              <w:left w:w="68" w:type="dxa"/>
              <w:right w:w="68" w:type="dxa"/>
            </w:tcMar>
            <w:vAlign w:val="bottom"/>
          </w:tcPr>
          <w:p w:rsidR="00000000" w:rsidRDefault="00000000">
            <w:pPr>
              <w:adjustRightInd w:val="0"/>
              <w:snapToGrid w:val="0"/>
              <w:rPr>
                <w:snapToGrid w:val="0"/>
                <w:sz w:val="21"/>
                <w:szCs w:val="21"/>
              </w:rPr>
            </w:pP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7</w:t>
            </w:r>
          </w:p>
        </w:tc>
        <w:tc>
          <w:tcPr>
            <w:tcW w:w="1637" w:type="pct"/>
            <w:tcMar>
              <w:left w:w="68" w:type="dxa"/>
              <w:right w:w="68" w:type="dxa"/>
            </w:tcMar>
          </w:tcPr>
          <w:p w:rsidR="00000000" w:rsidRDefault="00000000">
            <w:pPr>
              <w:adjustRightInd w:val="0"/>
              <w:snapToGrid w:val="0"/>
              <w:rPr>
                <w:iCs/>
                <w:snapToGrid w:val="0"/>
                <w:sz w:val="21"/>
                <w:szCs w:val="21"/>
              </w:rPr>
            </w:pPr>
            <w:r>
              <w:rPr>
                <w:i/>
                <w:snapToGrid w:val="0"/>
                <w:sz w:val="21"/>
                <w:szCs w:val="21"/>
              </w:rPr>
              <w:t xml:space="preserve">Chronique </w:t>
            </w:r>
            <w:r>
              <w:rPr>
                <w:iCs/>
                <w:snapToGrid w:val="0"/>
                <w:sz w:val="21"/>
                <w:szCs w:val="21"/>
              </w:rPr>
              <w:t xml:space="preserve">Revista de información cívica y de vulgarización del derecho </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1996</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Mensual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p>
        </w:tc>
        <w:tc>
          <w:tcPr>
            <w:tcW w:w="678" w:type="pct"/>
            <w:tcMar>
              <w:left w:w="68" w:type="dxa"/>
              <w:right w:w="68" w:type="dxa"/>
            </w:tcMar>
            <w:vAlign w:val="bottom"/>
          </w:tcPr>
          <w:p w:rsidR="00000000" w:rsidRDefault="00000000">
            <w:pPr>
              <w:adjustRightInd w:val="0"/>
              <w:snapToGrid w:val="0"/>
              <w:jc w:val="center"/>
              <w:rPr>
                <w:snapToGrid w:val="0"/>
                <w:sz w:val="21"/>
                <w:szCs w:val="21"/>
              </w:rPr>
            </w:pP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300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8</w:t>
            </w:r>
          </w:p>
        </w:tc>
        <w:tc>
          <w:tcPr>
            <w:tcW w:w="1637" w:type="pct"/>
            <w:tcMar>
              <w:left w:w="68" w:type="dxa"/>
              <w:right w:w="68" w:type="dxa"/>
            </w:tcMar>
          </w:tcPr>
          <w:p w:rsidR="00000000" w:rsidRDefault="00000000">
            <w:pPr>
              <w:adjustRightInd w:val="0"/>
              <w:snapToGrid w:val="0"/>
              <w:rPr>
                <w:iCs/>
                <w:snapToGrid w:val="0"/>
                <w:sz w:val="21"/>
                <w:szCs w:val="21"/>
              </w:rPr>
            </w:pPr>
            <w:r>
              <w:rPr>
                <w:i/>
                <w:snapToGrid w:val="0"/>
                <w:sz w:val="21"/>
                <w:szCs w:val="21"/>
              </w:rPr>
              <w:t>L'Observateur</w:t>
            </w:r>
            <w:r>
              <w:rPr>
                <w:iCs/>
                <w:snapToGrid w:val="0"/>
                <w:sz w:val="21"/>
                <w:szCs w:val="21"/>
              </w:rPr>
              <w:t xml:space="preserve"> Revista independiente de información general </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1997</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Semanal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r>
              <w:rPr>
                <w:snapToGrid w:val="0"/>
                <w:sz w:val="21"/>
                <w:szCs w:val="21"/>
              </w:rPr>
              <w:t>4.000</w:t>
            </w: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10 a 12</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300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9</w:t>
            </w:r>
          </w:p>
        </w:tc>
        <w:tc>
          <w:tcPr>
            <w:tcW w:w="1637" w:type="pct"/>
            <w:tcMar>
              <w:left w:w="68" w:type="dxa"/>
              <w:right w:w="68" w:type="dxa"/>
            </w:tcMar>
          </w:tcPr>
          <w:p w:rsidR="00000000" w:rsidRDefault="00000000">
            <w:pPr>
              <w:adjustRightInd w:val="0"/>
              <w:snapToGrid w:val="0"/>
              <w:rPr>
                <w:iCs/>
                <w:snapToGrid w:val="0"/>
                <w:sz w:val="21"/>
                <w:szCs w:val="21"/>
              </w:rPr>
            </w:pPr>
            <w:r>
              <w:rPr>
                <w:i/>
                <w:snapToGrid w:val="0"/>
                <w:sz w:val="21"/>
                <w:szCs w:val="21"/>
              </w:rPr>
              <w:t xml:space="preserve">Echange </w:t>
            </w:r>
            <w:r>
              <w:rPr>
                <w:iCs/>
                <w:snapToGrid w:val="0"/>
                <w:sz w:val="21"/>
                <w:szCs w:val="21"/>
              </w:rPr>
              <w:t xml:space="preserve">Intercambio de ideas e información </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1998</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Mensual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r>
              <w:rPr>
                <w:snapToGrid w:val="0"/>
                <w:sz w:val="21"/>
                <w:szCs w:val="21"/>
              </w:rPr>
              <w:t>300</w:t>
            </w: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12</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300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10</w:t>
            </w:r>
          </w:p>
        </w:tc>
        <w:tc>
          <w:tcPr>
            <w:tcW w:w="1637" w:type="pct"/>
            <w:tcMar>
              <w:left w:w="68" w:type="dxa"/>
              <w:right w:w="68" w:type="dxa"/>
            </w:tcMar>
          </w:tcPr>
          <w:p w:rsidR="00000000" w:rsidRDefault="00000000">
            <w:pPr>
              <w:adjustRightInd w:val="0"/>
              <w:snapToGrid w:val="0"/>
              <w:rPr>
                <w:iCs/>
                <w:snapToGrid w:val="0"/>
                <w:sz w:val="21"/>
                <w:szCs w:val="21"/>
              </w:rPr>
            </w:pPr>
            <w:r>
              <w:rPr>
                <w:i/>
                <w:snapToGrid w:val="0"/>
                <w:sz w:val="21"/>
                <w:szCs w:val="21"/>
              </w:rPr>
              <w:t xml:space="preserve">Carrefour </w:t>
            </w:r>
            <w:r>
              <w:rPr>
                <w:iCs/>
                <w:snapToGrid w:val="0"/>
                <w:sz w:val="21"/>
                <w:szCs w:val="21"/>
              </w:rPr>
              <w:t>Publicación del Centro "Al Mouna"</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2000</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Bimestral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r>
              <w:rPr>
                <w:snapToGrid w:val="0"/>
                <w:sz w:val="21"/>
                <w:szCs w:val="21"/>
              </w:rPr>
              <w:t>1.000</w:t>
            </w: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40</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500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11</w:t>
            </w:r>
          </w:p>
        </w:tc>
        <w:tc>
          <w:tcPr>
            <w:tcW w:w="1637" w:type="pct"/>
            <w:tcMar>
              <w:left w:w="68" w:type="dxa"/>
              <w:right w:w="68" w:type="dxa"/>
            </w:tcMar>
          </w:tcPr>
          <w:p w:rsidR="00000000" w:rsidRDefault="00000000">
            <w:pPr>
              <w:adjustRightInd w:val="0"/>
              <w:snapToGrid w:val="0"/>
              <w:rPr>
                <w:iCs/>
                <w:snapToGrid w:val="0"/>
                <w:sz w:val="21"/>
                <w:szCs w:val="21"/>
              </w:rPr>
            </w:pPr>
            <w:r>
              <w:rPr>
                <w:i/>
                <w:snapToGrid w:val="0"/>
                <w:sz w:val="21"/>
                <w:szCs w:val="21"/>
              </w:rPr>
              <w:t xml:space="preserve">Audy </w:t>
            </w:r>
            <w:r>
              <w:rPr>
                <w:iCs/>
                <w:snapToGrid w:val="0"/>
                <w:sz w:val="21"/>
                <w:szCs w:val="21"/>
              </w:rPr>
              <w:t xml:space="preserve">Revista femenina </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2000</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Bimensual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r>
              <w:rPr>
                <w:snapToGrid w:val="0"/>
                <w:sz w:val="21"/>
                <w:szCs w:val="21"/>
              </w:rPr>
              <w:t>600</w:t>
            </w: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20</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600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12</w:t>
            </w:r>
          </w:p>
        </w:tc>
        <w:tc>
          <w:tcPr>
            <w:tcW w:w="1637" w:type="pct"/>
            <w:tcMar>
              <w:left w:w="68" w:type="dxa"/>
              <w:right w:w="68" w:type="dxa"/>
            </w:tcMar>
          </w:tcPr>
          <w:p w:rsidR="00000000" w:rsidRDefault="00000000">
            <w:pPr>
              <w:adjustRightInd w:val="0"/>
              <w:snapToGrid w:val="0"/>
              <w:rPr>
                <w:iCs/>
                <w:snapToGrid w:val="0"/>
                <w:sz w:val="21"/>
                <w:szCs w:val="21"/>
              </w:rPr>
            </w:pPr>
            <w:r>
              <w:rPr>
                <w:i/>
                <w:snapToGrid w:val="0"/>
                <w:sz w:val="21"/>
                <w:szCs w:val="21"/>
              </w:rPr>
              <w:t xml:space="preserve">Notre Temps </w:t>
            </w:r>
            <w:r>
              <w:rPr>
                <w:iCs/>
                <w:snapToGrid w:val="0"/>
                <w:sz w:val="21"/>
                <w:szCs w:val="21"/>
              </w:rPr>
              <w:t xml:space="preserve">Publicación independiente de análisis e información general </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2000</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Semanal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r>
              <w:rPr>
                <w:snapToGrid w:val="0"/>
                <w:sz w:val="21"/>
                <w:szCs w:val="21"/>
              </w:rPr>
              <w:t>3.000</w:t>
            </w: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8 a 12</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300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13</w:t>
            </w:r>
          </w:p>
        </w:tc>
        <w:tc>
          <w:tcPr>
            <w:tcW w:w="1637" w:type="pct"/>
            <w:tcMar>
              <w:left w:w="68" w:type="dxa"/>
              <w:right w:w="68" w:type="dxa"/>
            </w:tcMar>
          </w:tcPr>
          <w:p w:rsidR="00000000" w:rsidRDefault="00000000">
            <w:pPr>
              <w:adjustRightInd w:val="0"/>
              <w:snapToGrid w:val="0"/>
              <w:rPr>
                <w:i/>
                <w:snapToGrid w:val="0"/>
                <w:sz w:val="21"/>
                <w:szCs w:val="21"/>
              </w:rPr>
            </w:pPr>
            <w:r>
              <w:rPr>
                <w:i/>
                <w:snapToGrid w:val="0"/>
                <w:sz w:val="21"/>
                <w:szCs w:val="21"/>
              </w:rPr>
              <w:t xml:space="preserve">Lalekou </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2002</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Bimensual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8</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250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14</w:t>
            </w:r>
          </w:p>
        </w:tc>
        <w:tc>
          <w:tcPr>
            <w:tcW w:w="1637" w:type="pct"/>
            <w:tcMar>
              <w:left w:w="68" w:type="dxa"/>
              <w:right w:w="68" w:type="dxa"/>
            </w:tcMar>
          </w:tcPr>
          <w:p w:rsidR="00000000" w:rsidRDefault="00000000">
            <w:pPr>
              <w:adjustRightInd w:val="0"/>
              <w:snapToGrid w:val="0"/>
              <w:rPr>
                <w:i/>
                <w:iCs/>
                <w:snapToGrid w:val="0"/>
                <w:sz w:val="21"/>
                <w:szCs w:val="21"/>
              </w:rPr>
            </w:pPr>
            <w:r>
              <w:rPr>
                <w:i/>
                <w:snapToGrid w:val="0"/>
                <w:sz w:val="21"/>
                <w:szCs w:val="21"/>
              </w:rPr>
              <w:t xml:space="preserve">Le Miroir </w:t>
            </w:r>
            <w:r>
              <w:rPr>
                <w:iCs/>
                <w:snapToGrid w:val="0"/>
                <w:sz w:val="21"/>
                <w:szCs w:val="21"/>
              </w:rPr>
              <w:t>Información sanitaria, de</w:t>
            </w:r>
            <w:r>
              <w:rPr>
                <w:i/>
                <w:iCs/>
                <w:snapToGrid w:val="0"/>
                <w:sz w:val="21"/>
                <w:szCs w:val="21"/>
              </w:rPr>
              <w:t xml:space="preserve"> </w:t>
            </w:r>
            <w:r>
              <w:rPr>
                <w:iCs/>
                <w:snapToGrid w:val="0"/>
                <w:sz w:val="21"/>
                <w:szCs w:val="21"/>
              </w:rPr>
              <w:t>beneficencia y humorística</w:t>
            </w:r>
            <w:r>
              <w:rPr>
                <w:i/>
                <w:iCs/>
                <w:snapToGrid w:val="0"/>
                <w:sz w:val="21"/>
                <w:szCs w:val="21"/>
              </w:rPr>
              <w:t xml:space="preserve"> </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2003</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Mensual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r>
              <w:rPr>
                <w:snapToGrid w:val="0"/>
                <w:sz w:val="21"/>
                <w:szCs w:val="21"/>
              </w:rPr>
              <w:t>2.000</w:t>
            </w: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6</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250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15</w:t>
            </w:r>
          </w:p>
        </w:tc>
        <w:tc>
          <w:tcPr>
            <w:tcW w:w="1637" w:type="pct"/>
            <w:tcMar>
              <w:left w:w="68" w:type="dxa"/>
              <w:right w:w="68" w:type="dxa"/>
            </w:tcMar>
          </w:tcPr>
          <w:p w:rsidR="00000000" w:rsidRDefault="00000000">
            <w:pPr>
              <w:adjustRightInd w:val="0"/>
              <w:snapToGrid w:val="0"/>
              <w:rPr>
                <w:iCs/>
                <w:snapToGrid w:val="0"/>
                <w:sz w:val="21"/>
                <w:szCs w:val="21"/>
              </w:rPr>
            </w:pPr>
            <w:r>
              <w:rPr>
                <w:i/>
                <w:snapToGrid w:val="0"/>
                <w:sz w:val="21"/>
                <w:szCs w:val="21"/>
              </w:rPr>
              <w:t xml:space="preserve">Sarh Tribune </w:t>
            </w:r>
            <w:r>
              <w:rPr>
                <w:iCs/>
                <w:snapToGrid w:val="0"/>
                <w:sz w:val="21"/>
                <w:szCs w:val="21"/>
              </w:rPr>
              <w:t xml:space="preserve">Educación para un desarrollo integrado </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2004</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Semanal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r>
              <w:rPr>
                <w:snapToGrid w:val="0"/>
                <w:sz w:val="21"/>
                <w:szCs w:val="21"/>
              </w:rPr>
              <w:t>1.000</w:t>
            </w: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4 a 6</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100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16</w:t>
            </w:r>
          </w:p>
        </w:tc>
        <w:tc>
          <w:tcPr>
            <w:tcW w:w="1637" w:type="pct"/>
            <w:tcMar>
              <w:left w:w="68" w:type="dxa"/>
              <w:right w:w="68" w:type="dxa"/>
            </w:tcMar>
          </w:tcPr>
          <w:p w:rsidR="00000000" w:rsidRDefault="00000000">
            <w:pPr>
              <w:adjustRightInd w:val="0"/>
              <w:snapToGrid w:val="0"/>
              <w:rPr>
                <w:i/>
                <w:snapToGrid w:val="0"/>
                <w:sz w:val="21"/>
                <w:szCs w:val="21"/>
              </w:rPr>
            </w:pPr>
            <w:r>
              <w:rPr>
                <w:i/>
                <w:snapToGrid w:val="0"/>
                <w:sz w:val="21"/>
                <w:szCs w:val="21"/>
              </w:rPr>
              <w:t>La Démocratie</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2005</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Bimensual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8</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250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17</w:t>
            </w:r>
          </w:p>
        </w:tc>
        <w:tc>
          <w:tcPr>
            <w:tcW w:w="1637" w:type="pct"/>
            <w:tcMar>
              <w:left w:w="68" w:type="dxa"/>
              <w:right w:w="68" w:type="dxa"/>
            </w:tcMar>
          </w:tcPr>
          <w:p w:rsidR="00000000" w:rsidRDefault="00000000">
            <w:pPr>
              <w:adjustRightInd w:val="0"/>
              <w:snapToGrid w:val="0"/>
              <w:rPr>
                <w:i/>
                <w:snapToGrid w:val="0"/>
                <w:sz w:val="21"/>
                <w:szCs w:val="21"/>
              </w:rPr>
            </w:pPr>
            <w:r>
              <w:rPr>
                <w:i/>
                <w:snapToGrid w:val="0"/>
                <w:sz w:val="21"/>
                <w:szCs w:val="21"/>
              </w:rPr>
              <w:t>Al ­ Istiklal</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2005</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Bimensual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8</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250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16</w:t>
            </w:r>
          </w:p>
        </w:tc>
        <w:tc>
          <w:tcPr>
            <w:tcW w:w="1637" w:type="pct"/>
            <w:tcMar>
              <w:left w:w="68" w:type="dxa"/>
              <w:right w:w="68" w:type="dxa"/>
            </w:tcMar>
          </w:tcPr>
          <w:p w:rsidR="00000000" w:rsidRDefault="00000000">
            <w:pPr>
              <w:adjustRightInd w:val="0"/>
              <w:snapToGrid w:val="0"/>
              <w:rPr>
                <w:i/>
                <w:snapToGrid w:val="0"/>
                <w:sz w:val="21"/>
                <w:szCs w:val="21"/>
              </w:rPr>
            </w:pPr>
            <w:r>
              <w:rPr>
                <w:i/>
                <w:snapToGrid w:val="0"/>
                <w:sz w:val="21"/>
                <w:szCs w:val="21"/>
              </w:rPr>
              <w:t>Le Patriote</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 xml:space="preserve">Periódica </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r>
              <w:rPr>
                <w:snapToGrid w:val="0"/>
                <w:sz w:val="21"/>
                <w:szCs w:val="21"/>
              </w:rPr>
              <w:t>1.500</w:t>
            </w: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4 a 6</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500 CFA</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17</w:t>
            </w:r>
          </w:p>
        </w:tc>
        <w:tc>
          <w:tcPr>
            <w:tcW w:w="1637" w:type="pct"/>
            <w:tcMar>
              <w:left w:w="68" w:type="dxa"/>
              <w:right w:w="68" w:type="dxa"/>
            </w:tcMar>
          </w:tcPr>
          <w:p w:rsidR="00000000" w:rsidRDefault="00000000">
            <w:pPr>
              <w:adjustRightInd w:val="0"/>
              <w:snapToGrid w:val="0"/>
              <w:rPr>
                <w:i/>
                <w:snapToGrid w:val="0"/>
                <w:sz w:val="21"/>
                <w:szCs w:val="21"/>
              </w:rPr>
            </w:pPr>
            <w:r>
              <w:rPr>
                <w:i/>
                <w:snapToGrid w:val="0"/>
                <w:sz w:val="21"/>
                <w:szCs w:val="21"/>
              </w:rPr>
              <w:t>Vecteur Gamma (ENPT)</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Trimestral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r>
              <w:rPr>
                <w:snapToGrid w:val="0"/>
                <w:sz w:val="21"/>
                <w:szCs w:val="21"/>
              </w:rPr>
              <w:t>1.000</w:t>
            </w:r>
          </w:p>
        </w:tc>
        <w:tc>
          <w:tcPr>
            <w:tcW w:w="678" w:type="pct"/>
            <w:tcMar>
              <w:left w:w="68" w:type="dxa"/>
              <w:right w:w="68" w:type="dxa"/>
            </w:tcMar>
            <w:vAlign w:val="bottom"/>
          </w:tcPr>
          <w:p w:rsidR="00000000" w:rsidRDefault="00000000">
            <w:pPr>
              <w:adjustRightInd w:val="0"/>
              <w:snapToGrid w:val="0"/>
              <w:jc w:val="center"/>
              <w:rPr>
                <w:snapToGrid w:val="0"/>
                <w:sz w:val="21"/>
                <w:szCs w:val="21"/>
              </w:rPr>
            </w:pP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NC</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19</w:t>
            </w:r>
          </w:p>
        </w:tc>
        <w:tc>
          <w:tcPr>
            <w:tcW w:w="1637" w:type="pct"/>
            <w:tcMar>
              <w:left w:w="68" w:type="dxa"/>
              <w:right w:w="68" w:type="dxa"/>
            </w:tcMar>
          </w:tcPr>
          <w:p w:rsidR="00000000" w:rsidRDefault="00000000">
            <w:pPr>
              <w:adjustRightInd w:val="0"/>
              <w:snapToGrid w:val="0"/>
              <w:rPr>
                <w:i/>
                <w:snapToGrid w:val="0"/>
                <w:sz w:val="21"/>
                <w:szCs w:val="21"/>
              </w:rPr>
            </w:pPr>
            <w:r>
              <w:rPr>
                <w:i/>
                <w:snapToGrid w:val="0"/>
                <w:sz w:val="21"/>
                <w:szCs w:val="21"/>
              </w:rPr>
              <w:t>Soth Al Djambour</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Mensual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p>
        </w:tc>
        <w:tc>
          <w:tcPr>
            <w:tcW w:w="678" w:type="pct"/>
            <w:tcMar>
              <w:left w:w="68" w:type="dxa"/>
              <w:right w:w="68" w:type="dxa"/>
            </w:tcMar>
            <w:vAlign w:val="bottom"/>
          </w:tcPr>
          <w:p w:rsidR="00000000" w:rsidRDefault="00000000">
            <w:pPr>
              <w:adjustRightInd w:val="0"/>
              <w:snapToGrid w:val="0"/>
              <w:jc w:val="center"/>
              <w:rPr>
                <w:snapToGrid w:val="0"/>
                <w:sz w:val="21"/>
                <w:szCs w:val="21"/>
              </w:rPr>
            </w:pP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NC</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19</w:t>
            </w:r>
          </w:p>
        </w:tc>
        <w:tc>
          <w:tcPr>
            <w:tcW w:w="1637" w:type="pct"/>
            <w:tcMar>
              <w:left w:w="68" w:type="dxa"/>
              <w:right w:w="68" w:type="dxa"/>
            </w:tcMar>
          </w:tcPr>
          <w:p w:rsidR="00000000" w:rsidRDefault="00000000">
            <w:pPr>
              <w:adjustRightInd w:val="0"/>
              <w:snapToGrid w:val="0"/>
              <w:rPr>
                <w:i/>
                <w:snapToGrid w:val="0"/>
                <w:sz w:val="21"/>
                <w:szCs w:val="21"/>
              </w:rPr>
            </w:pPr>
            <w:r>
              <w:rPr>
                <w:i/>
                <w:snapToGrid w:val="0"/>
                <w:sz w:val="21"/>
                <w:szCs w:val="21"/>
              </w:rPr>
              <w:t>Taïba</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Mensual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p>
        </w:tc>
        <w:tc>
          <w:tcPr>
            <w:tcW w:w="678" w:type="pct"/>
            <w:tcMar>
              <w:left w:w="68" w:type="dxa"/>
              <w:right w:w="68" w:type="dxa"/>
            </w:tcMar>
            <w:vAlign w:val="bottom"/>
          </w:tcPr>
          <w:p w:rsidR="00000000" w:rsidRDefault="00000000">
            <w:pPr>
              <w:adjustRightInd w:val="0"/>
              <w:snapToGrid w:val="0"/>
              <w:jc w:val="center"/>
              <w:rPr>
                <w:snapToGrid w:val="0"/>
                <w:sz w:val="21"/>
                <w:szCs w:val="21"/>
              </w:rPr>
            </w:pP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NC</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20</w:t>
            </w:r>
          </w:p>
        </w:tc>
        <w:tc>
          <w:tcPr>
            <w:tcW w:w="1637" w:type="pct"/>
            <w:tcMar>
              <w:left w:w="68" w:type="dxa"/>
              <w:right w:w="68" w:type="dxa"/>
            </w:tcMar>
          </w:tcPr>
          <w:p w:rsidR="00000000" w:rsidRDefault="00000000">
            <w:pPr>
              <w:adjustRightInd w:val="0"/>
              <w:snapToGrid w:val="0"/>
              <w:rPr>
                <w:i/>
                <w:snapToGrid w:val="0"/>
                <w:sz w:val="21"/>
                <w:szCs w:val="21"/>
              </w:rPr>
            </w:pPr>
            <w:r>
              <w:rPr>
                <w:i/>
                <w:snapToGrid w:val="0"/>
                <w:sz w:val="21"/>
                <w:szCs w:val="21"/>
              </w:rPr>
              <w:t>La Lettre de Transparence</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p>
        </w:tc>
        <w:tc>
          <w:tcPr>
            <w:tcW w:w="700" w:type="pct"/>
            <w:tcMar>
              <w:left w:w="68" w:type="dxa"/>
              <w:right w:w="68" w:type="dxa"/>
            </w:tcMar>
            <w:vAlign w:val="bottom"/>
          </w:tcPr>
          <w:p w:rsidR="00000000" w:rsidRDefault="00000000">
            <w:pPr>
              <w:adjustRightInd w:val="0"/>
              <w:snapToGrid w:val="0"/>
              <w:rPr>
                <w:snapToGrid w:val="0"/>
                <w:sz w:val="21"/>
                <w:szCs w:val="21"/>
              </w:rPr>
            </w:pP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p>
        </w:tc>
        <w:tc>
          <w:tcPr>
            <w:tcW w:w="678" w:type="pct"/>
            <w:tcMar>
              <w:left w:w="68" w:type="dxa"/>
              <w:right w:w="68" w:type="dxa"/>
            </w:tcMar>
            <w:vAlign w:val="bottom"/>
          </w:tcPr>
          <w:p w:rsidR="00000000" w:rsidRDefault="00000000">
            <w:pPr>
              <w:adjustRightInd w:val="0"/>
              <w:snapToGrid w:val="0"/>
              <w:jc w:val="center"/>
              <w:rPr>
                <w:snapToGrid w:val="0"/>
                <w:sz w:val="21"/>
                <w:szCs w:val="21"/>
              </w:rPr>
            </w:pP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NC</w:t>
            </w:r>
          </w:p>
        </w:tc>
      </w:tr>
      <w:tr w:rsidR="00000000">
        <w:tc>
          <w:tcPr>
            <w:tcW w:w="369" w:type="pct"/>
            <w:tcMar>
              <w:left w:w="68" w:type="dxa"/>
              <w:right w:w="68" w:type="dxa"/>
            </w:tcMar>
          </w:tcPr>
          <w:p w:rsidR="00000000" w:rsidRDefault="00000000">
            <w:pPr>
              <w:tabs>
                <w:tab w:val="decimal" w:pos="252"/>
              </w:tabs>
              <w:adjustRightInd w:val="0"/>
              <w:snapToGrid w:val="0"/>
              <w:jc w:val="center"/>
              <w:rPr>
                <w:snapToGrid w:val="0"/>
                <w:sz w:val="21"/>
                <w:szCs w:val="21"/>
              </w:rPr>
            </w:pPr>
            <w:r>
              <w:rPr>
                <w:snapToGrid w:val="0"/>
                <w:sz w:val="21"/>
                <w:szCs w:val="21"/>
              </w:rPr>
              <w:t>21</w:t>
            </w:r>
          </w:p>
        </w:tc>
        <w:tc>
          <w:tcPr>
            <w:tcW w:w="1637" w:type="pct"/>
            <w:tcMar>
              <w:left w:w="68" w:type="dxa"/>
              <w:right w:w="68" w:type="dxa"/>
            </w:tcMar>
          </w:tcPr>
          <w:p w:rsidR="00000000" w:rsidRDefault="00000000">
            <w:pPr>
              <w:adjustRightInd w:val="0"/>
              <w:snapToGrid w:val="0"/>
              <w:rPr>
                <w:i/>
                <w:snapToGrid w:val="0"/>
                <w:sz w:val="21"/>
                <w:szCs w:val="21"/>
              </w:rPr>
            </w:pPr>
            <w:r>
              <w:rPr>
                <w:i/>
                <w:snapToGrid w:val="0"/>
                <w:sz w:val="21"/>
                <w:szCs w:val="21"/>
              </w:rPr>
              <w:t>Al ­ Ayam</w:t>
            </w:r>
          </w:p>
        </w:tc>
        <w:tc>
          <w:tcPr>
            <w:tcW w:w="597"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2006</w:t>
            </w:r>
          </w:p>
        </w:tc>
        <w:tc>
          <w:tcPr>
            <w:tcW w:w="700"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Semanal</w:t>
            </w:r>
          </w:p>
        </w:tc>
        <w:tc>
          <w:tcPr>
            <w:tcW w:w="435" w:type="pct"/>
            <w:tcMar>
              <w:left w:w="68" w:type="dxa"/>
              <w:right w:w="68" w:type="dxa"/>
            </w:tcMar>
            <w:vAlign w:val="bottom"/>
          </w:tcPr>
          <w:p w:rsidR="00000000" w:rsidRDefault="00000000">
            <w:pPr>
              <w:tabs>
                <w:tab w:val="decimal" w:pos="493"/>
              </w:tabs>
              <w:adjustRightInd w:val="0"/>
              <w:snapToGrid w:val="0"/>
              <w:jc w:val="center"/>
              <w:rPr>
                <w:snapToGrid w:val="0"/>
                <w:sz w:val="21"/>
                <w:szCs w:val="21"/>
              </w:rPr>
            </w:pPr>
          </w:p>
        </w:tc>
        <w:tc>
          <w:tcPr>
            <w:tcW w:w="678" w:type="pct"/>
            <w:tcMar>
              <w:left w:w="68" w:type="dxa"/>
              <w:right w:w="68" w:type="dxa"/>
            </w:tcMar>
            <w:vAlign w:val="bottom"/>
          </w:tcPr>
          <w:p w:rsidR="00000000" w:rsidRDefault="00000000">
            <w:pPr>
              <w:adjustRightInd w:val="0"/>
              <w:snapToGrid w:val="0"/>
              <w:jc w:val="center"/>
              <w:rPr>
                <w:snapToGrid w:val="0"/>
                <w:sz w:val="21"/>
                <w:szCs w:val="21"/>
              </w:rPr>
            </w:pPr>
            <w:r>
              <w:rPr>
                <w:snapToGrid w:val="0"/>
                <w:sz w:val="21"/>
                <w:szCs w:val="21"/>
              </w:rPr>
              <w:t>8</w:t>
            </w:r>
          </w:p>
        </w:tc>
        <w:tc>
          <w:tcPr>
            <w:tcW w:w="584" w:type="pct"/>
            <w:tcMar>
              <w:left w:w="68" w:type="dxa"/>
              <w:right w:w="68" w:type="dxa"/>
            </w:tcMar>
            <w:vAlign w:val="bottom"/>
          </w:tcPr>
          <w:p w:rsidR="00000000" w:rsidRDefault="00000000">
            <w:pPr>
              <w:adjustRightInd w:val="0"/>
              <w:snapToGrid w:val="0"/>
              <w:rPr>
                <w:snapToGrid w:val="0"/>
                <w:sz w:val="21"/>
                <w:szCs w:val="21"/>
              </w:rPr>
            </w:pPr>
            <w:r>
              <w:rPr>
                <w:snapToGrid w:val="0"/>
                <w:sz w:val="21"/>
                <w:szCs w:val="21"/>
              </w:rPr>
              <w:t>200 CFA</w:t>
            </w:r>
          </w:p>
        </w:tc>
      </w:tr>
    </w:tbl>
    <w:p w:rsidR="00000000" w:rsidRDefault="00000000">
      <w:pPr>
        <w:adjustRightInd w:val="0"/>
        <w:snapToGrid w:val="0"/>
        <w:spacing w:before="240" w:after="480"/>
        <w:rPr>
          <w:snapToGrid w:val="0"/>
          <w:sz w:val="21"/>
          <w:szCs w:val="21"/>
        </w:rPr>
      </w:pPr>
      <w:r>
        <w:rPr>
          <w:i/>
          <w:snapToGrid w:val="0"/>
          <w:sz w:val="21"/>
          <w:szCs w:val="21"/>
        </w:rPr>
        <w:t>Fuente:</w:t>
      </w:r>
      <w:r>
        <w:rPr>
          <w:snapToGrid w:val="0"/>
          <w:sz w:val="21"/>
          <w:szCs w:val="21"/>
        </w:rPr>
        <w:t xml:space="preserve">  Alto Consejo de la Comunicación.</w:t>
      </w:r>
    </w:p>
    <w:p w:rsidR="00000000" w:rsidRDefault="00000000">
      <w:pPr>
        <w:keepNext/>
        <w:keepLines/>
        <w:adjustRightInd w:val="0"/>
        <w:snapToGrid w:val="0"/>
        <w:spacing w:before="240" w:after="240"/>
        <w:jc w:val="center"/>
        <w:rPr>
          <w:b/>
          <w:snapToGrid w:val="0"/>
        </w:rPr>
      </w:pPr>
      <w:r>
        <w:rPr>
          <w:b/>
          <w:snapToGrid w:val="0"/>
        </w:rPr>
        <w:t>Cuadro de emisoras de radio privadas</w:t>
      </w:r>
    </w:p>
    <w:tbl>
      <w:tblPr>
        <w:tblW w:w="0" w:type="auto"/>
        <w:jc w:val="center"/>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8" w:type="dxa"/>
          <w:right w:w="68" w:type="dxa"/>
        </w:tblCellMar>
        <w:tblLook w:val="01E0" w:firstRow="1" w:lastRow="1" w:firstColumn="1" w:lastColumn="1" w:noHBand="0" w:noVBand="0"/>
      </w:tblPr>
      <w:tblGrid>
        <w:gridCol w:w="811"/>
        <w:gridCol w:w="3038"/>
        <w:gridCol w:w="1708"/>
        <w:gridCol w:w="1664"/>
      </w:tblGrid>
      <w:tr w:rsidR="00000000">
        <w:trPr>
          <w:tblHeader/>
          <w:jc w:val="center"/>
        </w:trPr>
        <w:tc>
          <w:tcPr>
            <w:tcW w:w="811" w:type="dxa"/>
            <w:tcMar>
              <w:left w:w="68" w:type="dxa"/>
              <w:right w:w="68" w:type="dxa"/>
            </w:tcMar>
          </w:tcPr>
          <w:p w:rsidR="00000000" w:rsidRDefault="00000000">
            <w:pPr>
              <w:adjustRightInd w:val="0"/>
              <w:snapToGrid w:val="0"/>
              <w:jc w:val="center"/>
              <w:rPr>
                <w:b/>
                <w:iCs/>
                <w:snapToGrid w:val="0"/>
              </w:rPr>
            </w:pPr>
            <w:r>
              <w:rPr>
                <w:b/>
                <w:iCs/>
                <w:snapToGrid w:val="0"/>
              </w:rPr>
              <w:t>Nº</w:t>
            </w:r>
          </w:p>
        </w:tc>
        <w:tc>
          <w:tcPr>
            <w:tcW w:w="3038" w:type="dxa"/>
            <w:tcMar>
              <w:left w:w="68" w:type="dxa"/>
              <w:right w:w="68" w:type="dxa"/>
            </w:tcMar>
          </w:tcPr>
          <w:p w:rsidR="00000000" w:rsidRDefault="00000000">
            <w:pPr>
              <w:adjustRightInd w:val="0"/>
              <w:snapToGrid w:val="0"/>
              <w:jc w:val="center"/>
              <w:rPr>
                <w:b/>
                <w:iCs/>
                <w:snapToGrid w:val="0"/>
              </w:rPr>
            </w:pPr>
            <w:r>
              <w:rPr>
                <w:b/>
                <w:iCs/>
                <w:snapToGrid w:val="0"/>
              </w:rPr>
              <w:t>Nombre de la emisora</w:t>
            </w:r>
          </w:p>
        </w:tc>
        <w:tc>
          <w:tcPr>
            <w:tcW w:w="1708" w:type="dxa"/>
            <w:tcMar>
              <w:left w:w="68" w:type="dxa"/>
              <w:right w:w="68" w:type="dxa"/>
            </w:tcMar>
          </w:tcPr>
          <w:p w:rsidR="00000000" w:rsidRDefault="00000000">
            <w:pPr>
              <w:adjustRightInd w:val="0"/>
              <w:snapToGrid w:val="0"/>
              <w:jc w:val="center"/>
              <w:rPr>
                <w:b/>
                <w:iCs/>
                <w:snapToGrid w:val="0"/>
              </w:rPr>
            </w:pPr>
            <w:r>
              <w:rPr>
                <w:b/>
                <w:iCs/>
                <w:snapToGrid w:val="0"/>
              </w:rPr>
              <w:t>Tipo</w:t>
            </w:r>
          </w:p>
        </w:tc>
        <w:tc>
          <w:tcPr>
            <w:tcW w:w="1664" w:type="dxa"/>
            <w:tcMar>
              <w:left w:w="68" w:type="dxa"/>
              <w:right w:w="68" w:type="dxa"/>
            </w:tcMar>
          </w:tcPr>
          <w:p w:rsidR="00000000" w:rsidRDefault="00000000">
            <w:pPr>
              <w:adjustRightInd w:val="0"/>
              <w:snapToGrid w:val="0"/>
              <w:jc w:val="center"/>
              <w:rPr>
                <w:b/>
                <w:iCs/>
                <w:snapToGrid w:val="0"/>
              </w:rPr>
            </w:pPr>
            <w:r>
              <w:rPr>
                <w:b/>
                <w:iCs/>
                <w:snapToGrid w:val="0"/>
              </w:rPr>
              <w:t>Ciudad</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1</w:t>
            </w:r>
          </w:p>
        </w:tc>
        <w:tc>
          <w:tcPr>
            <w:tcW w:w="3038" w:type="dxa"/>
            <w:tcMar>
              <w:left w:w="68" w:type="dxa"/>
              <w:right w:w="68" w:type="dxa"/>
            </w:tcMar>
          </w:tcPr>
          <w:p w:rsidR="00000000" w:rsidRDefault="00000000">
            <w:pPr>
              <w:adjustRightInd w:val="0"/>
              <w:snapToGrid w:val="0"/>
              <w:rPr>
                <w:snapToGrid w:val="0"/>
              </w:rPr>
            </w:pPr>
            <w:r>
              <w:rPr>
                <w:snapToGrid w:val="0"/>
              </w:rPr>
              <w:t>FM Liberté</w:t>
            </w:r>
          </w:p>
        </w:tc>
        <w:tc>
          <w:tcPr>
            <w:tcW w:w="1708" w:type="dxa"/>
            <w:tcMar>
              <w:left w:w="68" w:type="dxa"/>
              <w:right w:w="68" w:type="dxa"/>
            </w:tcMar>
          </w:tcPr>
          <w:p w:rsidR="00000000" w:rsidRDefault="00000000">
            <w:pPr>
              <w:adjustRightInd w:val="0"/>
              <w:snapToGrid w:val="0"/>
              <w:rPr>
                <w:snapToGrid w:val="0"/>
              </w:rPr>
            </w:pPr>
          </w:p>
        </w:tc>
        <w:tc>
          <w:tcPr>
            <w:tcW w:w="1664" w:type="dxa"/>
            <w:tcMar>
              <w:left w:w="68" w:type="dxa"/>
              <w:right w:w="68" w:type="dxa"/>
            </w:tcMar>
          </w:tcPr>
          <w:p w:rsidR="00000000" w:rsidRDefault="00000000">
            <w:pPr>
              <w:adjustRightInd w:val="0"/>
              <w:snapToGrid w:val="0"/>
              <w:rPr>
                <w:snapToGrid w:val="0"/>
              </w:rPr>
            </w:pPr>
            <w:r>
              <w:rPr>
                <w:snapToGrid w:val="0"/>
              </w:rPr>
              <w:t xml:space="preserve">Yamena  </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2</w:t>
            </w:r>
          </w:p>
        </w:tc>
        <w:tc>
          <w:tcPr>
            <w:tcW w:w="3038" w:type="dxa"/>
            <w:tcMar>
              <w:left w:w="68" w:type="dxa"/>
              <w:right w:w="68" w:type="dxa"/>
            </w:tcMar>
          </w:tcPr>
          <w:p w:rsidR="00000000" w:rsidRDefault="00000000">
            <w:pPr>
              <w:adjustRightInd w:val="0"/>
              <w:snapToGrid w:val="0"/>
              <w:rPr>
                <w:snapToGrid w:val="0"/>
              </w:rPr>
            </w:pPr>
            <w:r>
              <w:rPr>
                <w:snapToGrid w:val="0"/>
              </w:rPr>
              <w:t>Dja FM</w:t>
            </w:r>
          </w:p>
        </w:tc>
        <w:tc>
          <w:tcPr>
            <w:tcW w:w="1708" w:type="dxa"/>
            <w:tcMar>
              <w:left w:w="68" w:type="dxa"/>
              <w:right w:w="68" w:type="dxa"/>
            </w:tcMar>
          </w:tcPr>
          <w:p w:rsidR="00000000" w:rsidRDefault="00000000">
            <w:pPr>
              <w:adjustRightInd w:val="0"/>
              <w:snapToGrid w:val="0"/>
              <w:rPr>
                <w:snapToGrid w:val="0"/>
              </w:rPr>
            </w:pPr>
          </w:p>
        </w:tc>
        <w:tc>
          <w:tcPr>
            <w:tcW w:w="1664" w:type="dxa"/>
            <w:tcMar>
              <w:left w:w="68" w:type="dxa"/>
              <w:right w:w="68" w:type="dxa"/>
            </w:tcMar>
          </w:tcPr>
          <w:p w:rsidR="00000000" w:rsidRDefault="00000000">
            <w:pPr>
              <w:adjustRightInd w:val="0"/>
              <w:snapToGrid w:val="0"/>
              <w:rPr>
                <w:snapToGrid w:val="0"/>
              </w:rPr>
            </w:pPr>
            <w:r>
              <w:rPr>
                <w:snapToGrid w:val="0"/>
              </w:rPr>
              <w:t>Yamena</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3</w:t>
            </w:r>
          </w:p>
        </w:tc>
        <w:tc>
          <w:tcPr>
            <w:tcW w:w="3038" w:type="dxa"/>
            <w:tcMar>
              <w:left w:w="68" w:type="dxa"/>
              <w:right w:w="68" w:type="dxa"/>
            </w:tcMar>
          </w:tcPr>
          <w:p w:rsidR="00000000" w:rsidRDefault="00000000">
            <w:pPr>
              <w:adjustRightInd w:val="0"/>
              <w:snapToGrid w:val="0"/>
              <w:rPr>
                <w:snapToGrid w:val="0"/>
              </w:rPr>
            </w:pPr>
            <w:r>
              <w:rPr>
                <w:snapToGrid w:val="0"/>
              </w:rPr>
              <w:t>Al Nassour</w:t>
            </w:r>
          </w:p>
        </w:tc>
        <w:tc>
          <w:tcPr>
            <w:tcW w:w="1708" w:type="dxa"/>
            <w:tcMar>
              <w:left w:w="68" w:type="dxa"/>
              <w:right w:w="68" w:type="dxa"/>
            </w:tcMar>
          </w:tcPr>
          <w:p w:rsidR="00000000" w:rsidRDefault="00000000">
            <w:pPr>
              <w:adjustRightInd w:val="0"/>
              <w:snapToGrid w:val="0"/>
              <w:rPr>
                <w:snapToGrid w:val="0"/>
              </w:rPr>
            </w:pPr>
          </w:p>
        </w:tc>
        <w:tc>
          <w:tcPr>
            <w:tcW w:w="1664" w:type="dxa"/>
            <w:tcMar>
              <w:left w:w="68" w:type="dxa"/>
              <w:right w:w="68" w:type="dxa"/>
            </w:tcMar>
          </w:tcPr>
          <w:p w:rsidR="00000000" w:rsidRDefault="00000000">
            <w:pPr>
              <w:adjustRightInd w:val="0"/>
              <w:snapToGrid w:val="0"/>
              <w:rPr>
                <w:snapToGrid w:val="0"/>
              </w:rPr>
            </w:pPr>
            <w:r>
              <w:rPr>
                <w:snapToGrid w:val="0"/>
              </w:rPr>
              <w:t>Yamena</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4</w:t>
            </w:r>
          </w:p>
        </w:tc>
        <w:tc>
          <w:tcPr>
            <w:tcW w:w="3038" w:type="dxa"/>
            <w:tcMar>
              <w:left w:w="68" w:type="dxa"/>
              <w:right w:w="68" w:type="dxa"/>
            </w:tcMar>
          </w:tcPr>
          <w:p w:rsidR="00000000" w:rsidRDefault="00000000">
            <w:pPr>
              <w:adjustRightInd w:val="0"/>
              <w:snapToGrid w:val="0"/>
              <w:rPr>
                <w:snapToGrid w:val="0"/>
              </w:rPr>
            </w:pPr>
            <w:r>
              <w:rPr>
                <w:snapToGrid w:val="0"/>
              </w:rPr>
              <w:t>Al Bayan</w:t>
            </w:r>
          </w:p>
        </w:tc>
        <w:tc>
          <w:tcPr>
            <w:tcW w:w="1708" w:type="dxa"/>
            <w:tcMar>
              <w:left w:w="68" w:type="dxa"/>
              <w:right w:w="68" w:type="dxa"/>
            </w:tcMar>
          </w:tcPr>
          <w:p w:rsidR="00000000" w:rsidRDefault="00000000">
            <w:pPr>
              <w:adjustRightInd w:val="0"/>
              <w:snapToGrid w:val="0"/>
              <w:rPr>
                <w:snapToGrid w:val="0"/>
              </w:rPr>
            </w:pPr>
            <w:r>
              <w:rPr>
                <w:snapToGrid w:val="0"/>
              </w:rPr>
              <w:t>Religiosa</w:t>
            </w:r>
          </w:p>
        </w:tc>
        <w:tc>
          <w:tcPr>
            <w:tcW w:w="1664" w:type="dxa"/>
            <w:tcMar>
              <w:left w:w="68" w:type="dxa"/>
              <w:right w:w="68" w:type="dxa"/>
            </w:tcMar>
          </w:tcPr>
          <w:p w:rsidR="00000000" w:rsidRDefault="00000000">
            <w:pPr>
              <w:adjustRightInd w:val="0"/>
              <w:snapToGrid w:val="0"/>
              <w:rPr>
                <w:snapToGrid w:val="0"/>
              </w:rPr>
            </w:pPr>
            <w:r>
              <w:rPr>
                <w:snapToGrid w:val="0"/>
              </w:rPr>
              <w:t>Yamena</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5</w:t>
            </w:r>
          </w:p>
        </w:tc>
        <w:tc>
          <w:tcPr>
            <w:tcW w:w="3038" w:type="dxa"/>
            <w:tcMar>
              <w:left w:w="68" w:type="dxa"/>
              <w:right w:w="68" w:type="dxa"/>
            </w:tcMar>
          </w:tcPr>
          <w:p w:rsidR="00000000" w:rsidRDefault="00000000">
            <w:pPr>
              <w:adjustRightInd w:val="0"/>
              <w:snapToGrid w:val="0"/>
              <w:rPr>
                <w:snapToGrid w:val="0"/>
              </w:rPr>
            </w:pPr>
            <w:r>
              <w:rPr>
                <w:snapToGrid w:val="0"/>
              </w:rPr>
              <w:t>Al Khouran</w:t>
            </w:r>
          </w:p>
        </w:tc>
        <w:tc>
          <w:tcPr>
            <w:tcW w:w="1708" w:type="dxa"/>
            <w:tcMar>
              <w:left w:w="68" w:type="dxa"/>
              <w:right w:w="68" w:type="dxa"/>
            </w:tcMar>
          </w:tcPr>
          <w:p w:rsidR="00000000" w:rsidRDefault="00000000">
            <w:pPr>
              <w:adjustRightInd w:val="0"/>
              <w:snapToGrid w:val="0"/>
              <w:rPr>
                <w:snapToGrid w:val="0"/>
              </w:rPr>
            </w:pPr>
            <w:r>
              <w:rPr>
                <w:snapToGrid w:val="0"/>
              </w:rPr>
              <w:t>Religiosa</w:t>
            </w:r>
          </w:p>
        </w:tc>
        <w:tc>
          <w:tcPr>
            <w:tcW w:w="1664" w:type="dxa"/>
            <w:tcMar>
              <w:left w:w="68" w:type="dxa"/>
              <w:right w:w="68" w:type="dxa"/>
            </w:tcMar>
          </w:tcPr>
          <w:p w:rsidR="00000000" w:rsidRDefault="00000000">
            <w:pPr>
              <w:adjustRightInd w:val="0"/>
              <w:snapToGrid w:val="0"/>
              <w:rPr>
                <w:snapToGrid w:val="0"/>
              </w:rPr>
            </w:pPr>
            <w:r>
              <w:rPr>
                <w:snapToGrid w:val="0"/>
              </w:rPr>
              <w:t>Yamena</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6</w:t>
            </w:r>
          </w:p>
        </w:tc>
        <w:tc>
          <w:tcPr>
            <w:tcW w:w="3038" w:type="dxa"/>
            <w:tcMar>
              <w:left w:w="68" w:type="dxa"/>
              <w:right w:w="68" w:type="dxa"/>
            </w:tcMar>
          </w:tcPr>
          <w:p w:rsidR="00000000" w:rsidRDefault="00000000">
            <w:pPr>
              <w:adjustRightInd w:val="0"/>
              <w:snapToGrid w:val="0"/>
              <w:rPr>
                <w:snapToGrid w:val="0"/>
              </w:rPr>
            </w:pPr>
            <w:r>
              <w:rPr>
                <w:snapToGrid w:val="0"/>
              </w:rPr>
              <w:t>La voix de l'Evangile</w:t>
            </w:r>
          </w:p>
        </w:tc>
        <w:tc>
          <w:tcPr>
            <w:tcW w:w="1708" w:type="dxa"/>
            <w:tcMar>
              <w:left w:w="68" w:type="dxa"/>
              <w:right w:w="68" w:type="dxa"/>
            </w:tcMar>
          </w:tcPr>
          <w:p w:rsidR="00000000" w:rsidRDefault="00000000">
            <w:pPr>
              <w:adjustRightInd w:val="0"/>
              <w:snapToGrid w:val="0"/>
              <w:rPr>
                <w:snapToGrid w:val="0"/>
              </w:rPr>
            </w:pPr>
            <w:r>
              <w:rPr>
                <w:snapToGrid w:val="0"/>
              </w:rPr>
              <w:t>Religiosa</w:t>
            </w:r>
          </w:p>
        </w:tc>
        <w:tc>
          <w:tcPr>
            <w:tcW w:w="1664" w:type="dxa"/>
            <w:tcMar>
              <w:left w:w="68" w:type="dxa"/>
              <w:right w:w="68" w:type="dxa"/>
            </w:tcMar>
          </w:tcPr>
          <w:p w:rsidR="00000000" w:rsidRDefault="00000000">
            <w:pPr>
              <w:adjustRightInd w:val="0"/>
              <w:snapToGrid w:val="0"/>
              <w:rPr>
                <w:snapToGrid w:val="0"/>
              </w:rPr>
            </w:pPr>
            <w:r>
              <w:rPr>
                <w:snapToGrid w:val="0"/>
              </w:rPr>
              <w:t>Yamena</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7</w:t>
            </w:r>
          </w:p>
        </w:tc>
        <w:tc>
          <w:tcPr>
            <w:tcW w:w="3038" w:type="dxa"/>
            <w:tcMar>
              <w:left w:w="68" w:type="dxa"/>
              <w:right w:w="68" w:type="dxa"/>
            </w:tcMar>
          </w:tcPr>
          <w:p w:rsidR="00000000" w:rsidRDefault="00000000">
            <w:pPr>
              <w:adjustRightInd w:val="0"/>
              <w:snapToGrid w:val="0"/>
              <w:rPr>
                <w:snapToGrid w:val="0"/>
              </w:rPr>
            </w:pPr>
            <w:r>
              <w:rPr>
                <w:snapToGrid w:val="0"/>
              </w:rPr>
              <w:t>FM Harmonie</w:t>
            </w:r>
          </w:p>
        </w:tc>
        <w:tc>
          <w:tcPr>
            <w:tcW w:w="1708" w:type="dxa"/>
            <w:tcMar>
              <w:left w:w="68" w:type="dxa"/>
              <w:right w:w="68" w:type="dxa"/>
            </w:tcMar>
          </w:tcPr>
          <w:p w:rsidR="00000000" w:rsidRDefault="00000000">
            <w:pPr>
              <w:adjustRightInd w:val="0"/>
              <w:snapToGrid w:val="0"/>
              <w:rPr>
                <w:snapToGrid w:val="0"/>
              </w:rPr>
            </w:pPr>
          </w:p>
        </w:tc>
        <w:tc>
          <w:tcPr>
            <w:tcW w:w="1664" w:type="dxa"/>
            <w:tcMar>
              <w:left w:w="68" w:type="dxa"/>
              <w:right w:w="68" w:type="dxa"/>
            </w:tcMar>
          </w:tcPr>
          <w:p w:rsidR="00000000" w:rsidRDefault="00000000">
            <w:pPr>
              <w:adjustRightInd w:val="0"/>
              <w:snapToGrid w:val="0"/>
              <w:rPr>
                <w:snapToGrid w:val="0"/>
              </w:rPr>
            </w:pPr>
            <w:r>
              <w:rPr>
                <w:snapToGrid w:val="0"/>
              </w:rPr>
              <w:t>Yamena</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8</w:t>
            </w:r>
          </w:p>
        </w:tc>
        <w:tc>
          <w:tcPr>
            <w:tcW w:w="3038" w:type="dxa"/>
            <w:tcMar>
              <w:left w:w="68" w:type="dxa"/>
              <w:right w:w="68" w:type="dxa"/>
            </w:tcMar>
          </w:tcPr>
          <w:p w:rsidR="00000000" w:rsidRDefault="00000000">
            <w:pPr>
              <w:adjustRightInd w:val="0"/>
              <w:snapToGrid w:val="0"/>
              <w:rPr>
                <w:snapToGrid w:val="0"/>
              </w:rPr>
            </w:pPr>
            <w:r>
              <w:rPr>
                <w:snapToGrid w:val="0"/>
              </w:rPr>
              <w:t>Ngatho FM</w:t>
            </w:r>
          </w:p>
        </w:tc>
        <w:tc>
          <w:tcPr>
            <w:tcW w:w="1708" w:type="dxa"/>
            <w:tcMar>
              <w:left w:w="68" w:type="dxa"/>
              <w:right w:w="68" w:type="dxa"/>
            </w:tcMar>
          </w:tcPr>
          <w:p w:rsidR="00000000" w:rsidRDefault="00000000">
            <w:pPr>
              <w:adjustRightInd w:val="0"/>
              <w:snapToGrid w:val="0"/>
              <w:rPr>
                <w:snapToGrid w:val="0"/>
              </w:rPr>
            </w:pPr>
            <w:r>
              <w:rPr>
                <w:snapToGrid w:val="0"/>
              </w:rPr>
              <w:t>Comercial</w:t>
            </w:r>
          </w:p>
        </w:tc>
        <w:tc>
          <w:tcPr>
            <w:tcW w:w="1664" w:type="dxa"/>
            <w:tcMar>
              <w:left w:w="68" w:type="dxa"/>
              <w:right w:w="68" w:type="dxa"/>
            </w:tcMar>
          </w:tcPr>
          <w:p w:rsidR="00000000" w:rsidRDefault="00000000">
            <w:pPr>
              <w:adjustRightInd w:val="0"/>
              <w:snapToGrid w:val="0"/>
              <w:rPr>
                <w:snapToGrid w:val="0"/>
              </w:rPr>
            </w:pPr>
            <w:r>
              <w:rPr>
                <w:snapToGrid w:val="0"/>
              </w:rPr>
              <w:t>Yamena</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9</w:t>
            </w:r>
          </w:p>
        </w:tc>
        <w:tc>
          <w:tcPr>
            <w:tcW w:w="3038" w:type="dxa"/>
            <w:tcMar>
              <w:left w:w="68" w:type="dxa"/>
              <w:right w:w="68" w:type="dxa"/>
            </w:tcMar>
          </w:tcPr>
          <w:p w:rsidR="00000000" w:rsidRDefault="00000000">
            <w:pPr>
              <w:adjustRightInd w:val="0"/>
              <w:snapToGrid w:val="0"/>
              <w:rPr>
                <w:snapToGrid w:val="0"/>
              </w:rPr>
            </w:pPr>
            <w:r>
              <w:rPr>
                <w:snapToGrid w:val="0"/>
              </w:rPr>
              <w:t>Recherche Onde</w:t>
            </w:r>
          </w:p>
        </w:tc>
        <w:tc>
          <w:tcPr>
            <w:tcW w:w="1708" w:type="dxa"/>
            <w:tcMar>
              <w:left w:w="68" w:type="dxa"/>
              <w:right w:w="68" w:type="dxa"/>
            </w:tcMar>
          </w:tcPr>
          <w:p w:rsidR="00000000" w:rsidRDefault="00000000">
            <w:pPr>
              <w:adjustRightInd w:val="0"/>
              <w:snapToGrid w:val="0"/>
              <w:rPr>
                <w:snapToGrid w:val="0"/>
              </w:rPr>
            </w:pPr>
          </w:p>
        </w:tc>
        <w:tc>
          <w:tcPr>
            <w:tcW w:w="1664" w:type="dxa"/>
            <w:tcMar>
              <w:left w:w="68" w:type="dxa"/>
              <w:right w:w="68" w:type="dxa"/>
            </w:tcMar>
          </w:tcPr>
          <w:p w:rsidR="00000000" w:rsidRDefault="00000000">
            <w:pPr>
              <w:adjustRightInd w:val="0"/>
              <w:snapToGrid w:val="0"/>
              <w:rPr>
                <w:snapToGrid w:val="0"/>
              </w:rPr>
            </w:pPr>
            <w:r>
              <w:rPr>
                <w:snapToGrid w:val="0"/>
              </w:rPr>
              <w:t>Yamena</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10</w:t>
            </w:r>
          </w:p>
        </w:tc>
        <w:tc>
          <w:tcPr>
            <w:tcW w:w="3038" w:type="dxa"/>
            <w:tcMar>
              <w:left w:w="68" w:type="dxa"/>
              <w:right w:w="68" w:type="dxa"/>
            </w:tcMar>
          </w:tcPr>
          <w:p w:rsidR="00000000" w:rsidRDefault="00000000">
            <w:pPr>
              <w:adjustRightInd w:val="0"/>
              <w:snapToGrid w:val="0"/>
              <w:rPr>
                <w:snapToGrid w:val="0"/>
              </w:rPr>
            </w:pPr>
            <w:r>
              <w:rPr>
                <w:snapToGrid w:val="0"/>
              </w:rPr>
              <w:t>Brakoss</w:t>
            </w:r>
          </w:p>
        </w:tc>
        <w:tc>
          <w:tcPr>
            <w:tcW w:w="1708" w:type="dxa"/>
            <w:tcMar>
              <w:left w:w="68" w:type="dxa"/>
              <w:right w:w="68" w:type="dxa"/>
            </w:tcMar>
          </w:tcPr>
          <w:p w:rsidR="00000000" w:rsidRDefault="00000000">
            <w:pPr>
              <w:adjustRightInd w:val="0"/>
              <w:snapToGrid w:val="0"/>
              <w:rPr>
                <w:snapToGrid w:val="0"/>
              </w:rPr>
            </w:pPr>
          </w:p>
        </w:tc>
        <w:tc>
          <w:tcPr>
            <w:tcW w:w="1664" w:type="dxa"/>
            <w:tcMar>
              <w:left w:w="68" w:type="dxa"/>
              <w:right w:w="68" w:type="dxa"/>
            </w:tcMar>
          </w:tcPr>
          <w:p w:rsidR="00000000" w:rsidRDefault="00000000">
            <w:pPr>
              <w:adjustRightInd w:val="0"/>
              <w:snapToGrid w:val="0"/>
              <w:rPr>
                <w:snapToGrid w:val="0"/>
              </w:rPr>
            </w:pPr>
            <w:r>
              <w:rPr>
                <w:snapToGrid w:val="0"/>
              </w:rPr>
              <w:t>Moïssala</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11</w:t>
            </w:r>
          </w:p>
        </w:tc>
        <w:tc>
          <w:tcPr>
            <w:tcW w:w="3038" w:type="dxa"/>
            <w:tcMar>
              <w:left w:w="68" w:type="dxa"/>
              <w:right w:w="68" w:type="dxa"/>
            </w:tcMar>
          </w:tcPr>
          <w:p w:rsidR="00000000" w:rsidRDefault="00000000">
            <w:pPr>
              <w:adjustRightInd w:val="0"/>
              <w:snapToGrid w:val="0"/>
              <w:rPr>
                <w:snapToGrid w:val="0"/>
              </w:rPr>
            </w:pPr>
            <w:r>
              <w:rPr>
                <w:snapToGrid w:val="0"/>
              </w:rPr>
              <w:t>Karuba</w:t>
            </w:r>
          </w:p>
        </w:tc>
        <w:tc>
          <w:tcPr>
            <w:tcW w:w="1708" w:type="dxa"/>
            <w:tcMar>
              <w:left w:w="68" w:type="dxa"/>
              <w:right w:w="68" w:type="dxa"/>
            </w:tcMar>
          </w:tcPr>
          <w:p w:rsidR="00000000" w:rsidRDefault="00000000">
            <w:pPr>
              <w:adjustRightInd w:val="0"/>
              <w:snapToGrid w:val="0"/>
              <w:rPr>
                <w:snapToGrid w:val="0"/>
              </w:rPr>
            </w:pPr>
          </w:p>
        </w:tc>
        <w:tc>
          <w:tcPr>
            <w:tcW w:w="1664" w:type="dxa"/>
            <w:tcMar>
              <w:left w:w="68" w:type="dxa"/>
              <w:right w:w="68" w:type="dxa"/>
            </w:tcMar>
          </w:tcPr>
          <w:p w:rsidR="00000000" w:rsidRDefault="00000000">
            <w:pPr>
              <w:adjustRightInd w:val="0"/>
              <w:snapToGrid w:val="0"/>
              <w:rPr>
                <w:snapToGrid w:val="0"/>
              </w:rPr>
            </w:pPr>
            <w:r>
              <w:rPr>
                <w:snapToGrid w:val="0"/>
              </w:rPr>
              <w:t>Moundou</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12</w:t>
            </w:r>
          </w:p>
        </w:tc>
        <w:tc>
          <w:tcPr>
            <w:tcW w:w="3038" w:type="dxa"/>
            <w:tcMar>
              <w:left w:w="68" w:type="dxa"/>
              <w:right w:w="68" w:type="dxa"/>
            </w:tcMar>
          </w:tcPr>
          <w:p w:rsidR="00000000" w:rsidRDefault="00000000">
            <w:pPr>
              <w:adjustRightInd w:val="0"/>
              <w:snapToGrid w:val="0"/>
              <w:rPr>
                <w:snapToGrid w:val="0"/>
              </w:rPr>
            </w:pPr>
            <w:r>
              <w:rPr>
                <w:snapToGrid w:val="0"/>
              </w:rPr>
              <w:t>Ndudji Lokar</w:t>
            </w:r>
          </w:p>
        </w:tc>
        <w:tc>
          <w:tcPr>
            <w:tcW w:w="1708" w:type="dxa"/>
            <w:tcMar>
              <w:left w:w="68" w:type="dxa"/>
              <w:right w:w="68" w:type="dxa"/>
            </w:tcMar>
          </w:tcPr>
          <w:p w:rsidR="00000000" w:rsidRDefault="00000000">
            <w:pPr>
              <w:adjustRightInd w:val="0"/>
              <w:snapToGrid w:val="0"/>
              <w:rPr>
                <w:snapToGrid w:val="0"/>
              </w:rPr>
            </w:pPr>
          </w:p>
        </w:tc>
        <w:tc>
          <w:tcPr>
            <w:tcW w:w="1664" w:type="dxa"/>
            <w:tcMar>
              <w:left w:w="68" w:type="dxa"/>
              <w:right w:w="68" w:type="dxa"/>
            </w:tcMar>
          </w:tcPr>
          <w:p w:rsidR="00000000" w:rsidRDefault="00000000">
            <w:pPr>
              <w:adjustRightInd w:val="0"/>
              <w:snapToGrid w:val="0"/>
              <w:rPr>
                <w:snapToGrid w:val="0"/>
              </w:rPr>
            </w:pPr>
            <w:r>
              <w:rPr>
                <w:snapToGrid w:val="0"/>
              </w:rPr>
              <w:t>Moundou</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13</w:t>
            </w:r>
          </w:p>
        </w:tc>
        <w:tc>
          <w:tcPr>
            <w:tcW w:w="3038" w:type="dxa"/>
            <w:tcMar>
              <w:left w:w="68" w:type="dxa"/>
              <w:right w:w="68" w:type="dxa"/>
            </w:tcMar>
          </w:tcPr>
          <w:p w:rsidR="00000000" w:rsidRDefault="00000000">
            <w:pPr>
              <w:adjustRightInd w:val="0"/>
              <w:snapToGrid w:val="0"/>
              <w:rPr>
                <w:snapToGrid w:val="0"/>
              </w:rPr>
            </w:pPr>
            <w:r>
              <w:rPr>
                <w:snapToGrid w:val="0"/>
              </w:rPr>
              <w:t>Lotiko</w:t>
            </w:r>
          </w:p>
        </w:tc>
        <w:tc>
          <w:tcPr>
            <w:tcW w:w="1708" w:type="dxa"/>
            <w:tcMar>
              <w:left w:w="68" w:type="dxa"/>
              <w:right w:w="68" w:type="dxa"/>
            </w:tcMar>
          </w:tcPr>
          <w:p w:rsidR="00000000" w:rsidRDefault="00000000">
            <w:pPr>
              <w:adjustRightInd w:val="0"/>
              <w:snapToGrid w:val="0"/>
              <w:rPr>
                <w:snapToGrid w:val="0"/>
              </w:rPr>
            </w:pPr>
          </w:p>
        </w:tc>
        <w:tc>
          <w:tcPr>
            <w:tcW w:w="1664" w:type="dxa"/>
            <w:tcMar>
              <w:left w:w="68" w:type="dxa"/>
              <w:right w:w="68" w:type="dxa"/>
            </w:tcMar>
          </w:tcPr>
          <w:p w:rsidR="00000000" w:rsidRDefault="00000000">
            <w:pPr>
              <w:adjustRightInd w:val="0"/>
              <w:snapToGrid w:val="0"/>
              <w:rPr>
                <w:snapToGrid w:val="0"/>
              </w:rPr>
            </w:pPr>
            <w:r>
              <w:rPr>
                <w:snapToGrid w:val="0"/>
              </w:rPr>
              <w:t>Sarh</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14</w:t>
            </w:r>
          </w:p>
        </w:tc>
        <w:tc>
          <w:tcPr>
            <w:tcW w:w="3038" w:type="dxa"/>
            <w:tcMar>
              <w:left w:w="68" w:type="dxa"/>
              <w:right w:w="68" w:type="dxa"/>
            </w:tcMar>
          </w:tcPr>
          <w:p w:rsidR="00000000" w:rsidRDefault="00000000">
            <w:pPr>
              <w:adjustRightInd w:val="0"/>
              <w:snapToGrid w:val="0"/>
              <w:rPr>
                <w:snapToGrid w:val="0"/>
              </w:rPr>
            </w:pPr>
            <w:r>
              <w:rPr>
                <w:snapToGrid w:val="0"/>
              </w:rPr>
              <w:t>Regd</w:t>
            </w:r>
          </w:p>
        </w:tc>
        <w:tc>
          <w:tcPr>
            <w:tcW w:w="1708" w:type="dxa"/>
            <w:tcMar>
              <w:left w:w="68" w:type="dxa"/>
              <w:right w:w="68" w:type="dxa"/>
            </w:tcMar>
          </w:tcPr>
          <w:p w:rsidR="00000000" w:rsidRDefault="00000000">
            <w:pPr>
              <w:adjustRightInd w:val="0"/>
              <w:snapToGrid w:val="0"/>
              <w:rPr>
                <w:snapToGrid w:val="0"/>
              </w:rPr>
            </w:pPr>
            <w:r>
              <w:rPr>
                <w:snapToGrid w:val="0"/>
              </w:rPr>
              <w:t>Religiosa</w:t>
            </w:r>
          </w:p>
        </w:tc>
        <w:tc>
          <w:tcPr>
            <w:tcW w:w="1664" w:type="dxa"/>
            <w:tcMar>
              <w:left w:w="68" w:type="dxa"/>
              <w:right w:w="68" w:type="dxa"/>
            </w:tcMar>
          </w:tcPr>
          <w:p w:rsidR="00000000" w:rsidRDefault="00000000">
            <w:pPr>
              <w:adjustRightInd w:val="0"/>
              <w:snapToGrid w:val="0"/>
              <w:rPr>
                <w:snapToGrid w:val="0"/>
              </w:rPr>
            </w:pPr>
            <w:r>
              <w:rPr>
                <w:snapToGrid w:val="0"/>
              </w:rPr>
              <w:t>Pala</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15</w:t>
            </w:r>
          </w:p>
        </w:tc>
        <w:tc>
          <w:tcPr>
            <w:tcW w:w="3038" w:type="dxa"/>
            <w:tcMar>
              <w:left w:w="68" w:type="dxa"/>
              <w:right w:w="68" w:type="dxa"/>
            </w:tcMar>
          </w:tcPr>
          <w:p w:rsidR="00000000" w:rsidRDefault="00000000">
            <w:pPr>
              <w:adjustRightInd w:val="0"/>
              <w:snapToGrid w:val="0"/>
              <w:rPr>
                <w:snapToGrid w:val="0"/>
              </w:rPr>
            </w:pPr>
            <w:r>
              <w:rPr>
                <w:snapToGrid w:val="0"/>
              </w:rPr>
              <w:t>Al Nadja</w:t>
            </w:r>
          </w:p>
        </w:tc>
        <w:tc>
          <w:tcPr>
            <w:tcW w:w="1708" w:type="dxa"/>
            <w:tcMar>
              <w:left w:w="68" w:type="dxa"/>
              <w:right w:w="68" w:type="dxa"/>
            </w:tcMar>
          </w:tcPr>
          <w:p w:rsidR="00000000" w:rsidRDefault="00000000">
            <w:pPr>
              <w:adjustRightInd w:val="0"/>
              <w:snapToGrid w:val="0"/>
              <w:rPr>
                <w:snapToGrid w:val="0"/>
              </w:rPr>
            </w:pPr>
          </w:p>
        </w:tc>
        <w:tc>
          <w:tcPr>
            <w:tcW w:w="1664" w:type="dxa"/>
            <w:tcMar>
              <w:left w:w="68" w:type="dxa"/>
              <w:right w:w="68" w:type="dxa"/>
            </w:tcMar>
          </w:tcPr>
          <w:p w:rsidR="00000000" w:rsidRDefault="00000000">
            <w:pPr>
              <w:adjustRightInd w:val="0"/>
              <w:snapToGrid w:val="0"/>
              <w:rPr>
                <w:snapToGrid w:val="0"/>
              </w:rPr>
            </w:pPr>
            <w:r>
              <w:rPr>
                <w:snapToGrid w:val="0"/>
              </w:rPr>
              <w:t>Ati</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16</w:t>
            </w:r>
          </w:p>
        </w:tc>
        <w:tc>
          <w:tcPr>
            <w:tcW w:w="3038" w:type="dxa"/>
            <w:tcMar>
              <w:left w:w="68" w:type="dxa"/>
              <w:right w:w="68" w:type="dxa"/>
            </w:tcMar>
          </w:tcPr>
          <w:p w:rsidR="00000000" w:rsidRDefault="00000000">
            <w:pPr>
              <w:adjustRightInd w:val="0"/>
              <w:snapToGrid w:val="0"/>
              <w:rPr>
                <w:snapToGrid w:val="0"/>
              </w:rPr>
            </w:pPr>
            <w:r>
              <w:rPr>
                <w:snapToGrid w:val="0"/>
              </w:rPr>
              <w:t>Terre Nouvelle</w:t>
            </w:r>
          </w:p>
        </w:tc>
        <w:tc>
          <w:tcPr>
            <w:tcW w:w="1708" w:type="dxa"/>
            <w:tcMar>
              <w:left w:w="68" w:type="dxa"/>
              <w:right w:w="68" w:type="dxa"/>
            </w:tcMar>
          </w:tcPr>
          <w:p w:rsidR="00000000" w:rsidRDefault="00000000">
            <w:pPr>
              <w:adjustRightInd w:val="0"/>
              <w:snapToGrid w:val="0"/>
              <w:rPr>
                <w:snapToGrid w:val="0"/>
              </w:rPr>
            </w:pPr>
            <w:r>
              <w:rPr>
                <w:snapToGrid w:val="0"/>
              </w:rPr>
              <w:t>Religiosa</w:t>
            </w:r>
          </w:p>
        </w:tc>
        <w:tc>
          <w:tcPr>
            <w:tcW w:w="1664" w:type="dxa"/>
            <w:tcMar>
              <w:left w:w="68" w:type="dxa"/>
              <w:right w:w="68" w:type="dxa"/>
            </w:tcMar>
          </w:tcPr>
          <w:p w:rsidR="00000000" w:rsidRDefault="00000000">
            <w:pPr>
              <w:adjustRightInd w:val="0"/>
              <w:snapToGrid w:val="0"/>
              <w:rPr>
                <w:snapToGrid w:val="0"/>
              </w:rPr>
            </w:pPr>
            <w:r>
              <w:rPr>
                <w:snapToGrid w:val="0"/>
              </w:rPr>
              <w:t>Bongor</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17</w:t>
            </w:r>
          </w:p>
        </w:tc>
        <w:tc>
          <w:tcPr>
            <w:tcW w:w="3038" w:type="dxa"/>
            <w:tcMar>
              <w:left w:w="68" w:type="dxa"/>
              <w:right w:w="68" w:type="dxa"/>
            </w:tcMar>
          </w:tcPr>
          <w:p w:rsidR="00000000" w:rsidRDefault="00000000">
            <w:pPr>
              <w:adjustRightInd w:val="0"/>
              <w:snapToGrid w:val="0"/>
              <w:rPr>
                <w:snapToGrid w:val="0"/>
              </w:rPr>
            </w:pPr>
            <w:r>
              <w:rPr>
                <w:snapToGrid w:val="0"/>
              </w:rPr>
              <w:t>La vois du Ouaddai</w:t>
            </w:r>
          </w:p>
        </w:tc>
        <w:tc>
          <w:tcPr>
            <w:tcW w:w="1708" w:type="dxa"/>
            <w:tcMar>
              <w:left w:w="68" w:type="dxa"/>
              <w:right w:w="68" w:type="dxa"/>
            </w:tcMar>
          </w:tcPr>
          <w:p w:rsidR="00000000" w:rsidRDefault="00000000">
            <w:pPr>
              <w:adjustRightInd w:val="0"/>
              <w:snapToGrid w:val="0"/>
              <w:rPr>
                <w:snapToGrid w:val="0"/>
              </w:rPr>
            </w:pPr>
          </w:p>
        </w:tc>
        <w:tc>
          <w:tcPr>
            <w:tcW w:w="1664" w:type="dxa"/>
            <w:tcMar>
              <w:left w:w="68" w:type="dxa"/>
              <w:right w:w="68" w:type="dxa"/>
            </w:tcMar>
          </w:tcPr>
          <w:p w:rsidR="00000000" w:rsidRDefault="00000000">
            <w:pPr>
              <w:adjustRightInd w:val="0"/>
              <w:snapToGrid w:val="0"/>
              <w:rPr>
                <w:snapToGrid w:val="0"/>
              </w:rPr>
            </w:pPr>
            <w:r>
              <w:rPr>
                <w:snapToGrid w:val="0"/>
              </w:rPr>
              <w:t>Abéché</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18</w:t>
            </w:r>
          </w:p>
        </w:tc>
        <w:tc>
          <w:tcPr>
            <w:tcW w:w="3038" w:type="dxa"/>
            <w:tcMar>
              <w:left w:w="68" w:type="dxa"/>
              <w:right w:w="68" w:type="dxa"/>
            </w:tcMar>
          </w:tcPr>
          <w:p w:rsidR="00000000" w:rsidRDefault="00000000">
            <w:pPr>
              <w:adjustRightInd w:val="0"/>
              <w:snapToGrid w:val="0"/>
              <w:rPr>
                <w:snapToGrid w:val="0"/>
              </w:rPr>
            </w:pPr>
            <w:r>
              <w:rPr>
                <w:snapToGrid w:val="0"/>
              </w:rPr>
              <w:t>Abssoun</w:t>
            </w:r>
          </w:p>
        </w:tc>
        <w:tc>
          <w:tcPr>
            <w:tcW w:w="1708" w:type="dxa"/>
            <w:tcMar>
              <w:left w:w="68" w:type="dxa"/>
              <w:right w:w="68" w:type="dxa"/>
            </w:tcMar>
          </w:tcPr>
          <w:p w:rsidR="00000000" w:rsidRDefault="00000000">
            <w:pPr>
              <w:adjustRightInd w:val="0"/>
              <w:snapToGrid w:val="0"/>
              <w:rPr>
                <w:snapToGrid w:val="0"/>
              </w:rPr>
            </w:pPr>
          </w:p>
        </w:tc>
        <w:tc>
          <w:tcPr>
            <w:tcW w:w="1664" w:type="dxa"/>
            <w:tcMar>
              <w:left w:w="68" w:type="dxa"/>
              <w:right w:w="68" w:type="dxa"/>
            </w:tcMar>
          </w:tcPr>
          <w:p w:rsidR="00000000" w:rsidRDefault="00000000">
            <w:pPr>
              <w:adjustRightInd w:val="0"/>
              <w:snapToGrid w:val="0"/>
              <w:rPr>
                <w:snapToGrid w:val="0"/>
              </w:rPr>
            </w:pPr>
            <w:r>
              <w:rPr>
                <w:snapToGrid w:val="0"/>
              </w:rPr>
              <w:t>Iriba</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19</w:t>
            </w:r>
          </w:p>
        </w:tc>
        <w:tc>
          <w:tcPr>
            <w:tcW w:w="3038" w:type="dxa"/>
            <w:tcMar>
              <w:left w:w="68" w:type="dxa"/>
              <w:right w:w="68" w:type="dxa"/>
            </w:tcMar>
          </w:tcPr>
          <w:p w:rsidR="00000000" w:rsidRDefault="00000000">
            <w:pPr>
              <w:adjustRightInd w:val="0"/>
              <w:snapToGrid w:val="0"/>
              <w:rPr>
                <w:snapToGrid w:val="0"/>
              </w:rPr>
            </w:pPr>
            <w:r>
              <w:rPr>
                <w:snapToGrid w:val="0"/>
              </w:rPr>
              <w:t>Palmerai</w:t>
            </w:r>
          </w:p>
        </w:tc>
        <w:tc>
          <w:tcPr>
            <w:tcW w:w="1708" w:type="dxa"/>
            <w:tcMar>
              <w:left w:w="68" w:type="dxa"/>
              <w:right w:w="68" w:type="dxa"/>
            </w:tcMar>
          </w:tcPr>
          <w:p w:rsidR="00000000" w:rsidRDefault="00000000">
            <w:pPr>
              <w:adjustRightInd w:val="0"/>
              <w:snapToGrid w:val="0"/>
              <w:rPr>
                <w:snapToGrid w:val="0"/>
              </w:rPr>
            </w:pPr>
          </w:p>
        </w:tc>
        <w:tc>
          <w:tcPr>
            <w:tcW w:w="1664" w:type="dxa"/>
            <w:tcMar>
              <w:left w:w="68" w:type="dxa"/>
              <w:right w:w="68" w:type="dxa"/>
            </w:tcMar>
          </w:tcPr>
          <w:p w:rsidR="00000000" w:rsidRDefault="00000000">
            <w:pPr>
              <w:adjustRightInd w:val="0"/>
              <w:snapToGrid w:val="0"/>
              <w:rPr>
                <w:snapToGrid w:val="0"/>
              </w:rPr>
            </w:pPr>
            <w:r>
              <w:rPr>
                <w:snapToGrid w:val="0"/>
              </w:rPr>
              <w:t>Faya</w:t>
            </w:r>
          </w:p>
        </w:tc>
      </w:tr>
      <w:tr w:rsidR="00000000">
        <w:trPr>
          <w:jc w:val="center"/>
        </w:trPr>
        <w:tc>
          <w:tcPr>
            <w:tcW w:w="811" w:type="dxa"/>
            <w:tcMar>
              <w:left w:w="68" w:type="dxa"/>
              <w:right w:w="68" w:type="dxa"/>
            </w:tcMar>
          </w:tcPr>
          <w:p w:rsidR="00000000" w:rsidRDefault="00000000">
            <w:pPr>
              <w:tabs>
                <w:tab w:val="decimal" w:pos="251"/>
              </w:tabs>
              <w:adjustRightInd w:val="0"/>
              <w:snapToGrid w:val="0"/>
              <w:jc w:val="center"/>
              <w:rPr>
                <w:snapToGrid w:val="0"/>
              </w:rPr>
            </w:pPr>
            <w:r>
              <w:rPr>
                <w:snapToGrid w:val="0"/>
              </w:rPr>
              <w:t>20</w:t>
            </w:r>
          </w:p>
        </w:tc>
        <w:tc>
          <w:tcPr>
            <w:tcW w:w="3038" w:type="dxa"/>
            <w:tcMar>
              <w:left w:w="68" w:type="dxa"/>
              <w:right w:w="68" w:type="dxa"/>
            </w:tcMar>
          </w:tcPr>
          <w:p w:rsidR="00000000" w:rsidRDefault="00000000">
            <w:pPr>
              <w:adjustRightInd w:val="0"/>
              <w:snapToGrid w:val="0"/>
              <w:rPr>
                <w:snapToGrid w:val="0"/>
              </w:rPr>
            </w:pPr>
            <w:r>
              <w:rPr>
                <w:snapToGrid w:val="0"/>
              </w:rPr>
              <w:t>Effata</w:t>
            </w:r>
          </w:p>
        </w:tc>
        <w:tc>
          <w:tcPr>
            <w:tcW w:w="1708" w:type="dxa"/>
            <w:tcMar>
              <w:left w:w="68" w:type="dxa"/>
              <w:right w:w="68" w:type="dxa"/>
            </w:tcMar>
          </w:tcPr>
          <w:p w:rsidR="00000000" w:rsidRDefault="00000000">
            <w:pPr>
              <w:adjustRightInd w:val="0"/>
              <w:snapToGrid w:val="0"/>
              <w:rPr>
                <w:snapToGrid w:val="0"/>
              </w:rPr>
            </w:pPr>
          </w:p>
        </w:tc>
        <w:tc>
          <w:tcPr>
            <w:tcW w:w="1664" w:type="dxa"/>
            <w:tcMar>
              <w:left w:w="68" w:type="dxa"/>
              <w:right w:w="68" w:type="dxa"/>
            </w:tcMar>
          </w:tcPr>
          <w:p w:rsidR="00000000" w:rsidRDefault="00000000">
            <w:pPr>
              <w:adjustRightInd w:val="0"/>
              <w:snapToGrid w:val="0"/>
              <w:rPr>
                <w:snapToGrid w:val="0"/>
              </w:rPr>
            </w:pPr>
            <w:r>
              <w:rPr>
                <w:snapToGrid w:val="0"/>
              </w:rPr>
              <w:t>Laï</w:t>
            </w:r>
          </w:p>
        </w:tc>
      </w:tr>
    </w:tbl>
    <w:p w:rsidR="00000000" w:rsidRDefault="00000000">
      <w:pPr>
        <w:tabs>
          <w:tab w:val="left" w:pos="1080"/>
        </w:tabs>
        <w:adjustRightInd w:val="0"/>
        <w:snapToGrid w:val="0"/>
        <w:spacing w:before="240" w:after="480"/>
        <w:rPr>
          <w:snapToGrid w:val="0"/>
        </w:rPr>
      </w:pPr>
      <w:r>
        <w:rPr>
          <w:i/>
          <w:snapToGrid w:val="0"/>
        </w:rPr>
        <w:tab/>
        <w:t>Fuente:</w:t>
      </w:r>
      <w:r>
        <w:rPr>
          <w:snapToGrid w:val="0"/>
        </w:rPr>
        <w:t xml:space="preserve">  Alto Consejo de la Comunicación.</w:t>
      </w:r>
    </w:p>
    <w:p w:rsidR="00000000" w:rsidRDefault="00000000">
      <w:pPr>
        <w:adjustRightInd w:val="0"/>
        <w:snapToGrid w:val="0"/>
        <w:spacing w:after="240"/>
        <w:rPr>
          <w:snapToGrid w:val="0"/>
        </w:rPr>
      </w:pPr>
      <w:r>
        <w:rPr>
          <w:snapToGrid w:val="0"/>
        </w:rPr>
        <w:t>304.</w:t>
      </w:r>
      <w:r>
        <w:rPr>
          <w:snapToGrid w:val="0"/>
        </w:rPr>
        <w:tab/>
        <w:t>La tarea que incumbe a los medios de comunicación y a los defensores de los derechos humanos, a saber, alcanzar el ideal común previsto en el preámbulo de la Declaración Universal de Derechos Humanos y el estado de derecho, constituye un gran desafío que es preciso afrontar.</w:t>
      </w:r>
    </w:p>
    <w:p w:rsidR="00000000" w:rsidRDefault="00000000">
      <w:pPr>
        <w:adjustRightInd w:val="0"/>
        <w:snapToGrid w:val="0"/>
        <w:spacing w:after="240"/>
        <w:jc w:val="center"/>
      </w:pPr>
      <w:r>
        <w:rPr>
          <w:snapToGrid w:val="0"/>
        </w:rPr>
        <w:t>-----</w:t>
      </w:r>
    </w:p>
    <w:sectPr w:rsidR="00000000">
      <w:headerReference w:type="even" r:id="rId11"/>
      <w:headerReference w:type="default" r:id="rId12"/>
      <w:pgSz w:w="11906" w:h="16838" w:code="9"/>
      <w:pgMar w:top="1701" w:right="850" w:bottom="1984" w:left="1701" w:header="85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00000">
      <w:r>
        <w:separator/>
      </w:r>
    </w:p>
  </w:endnote>
  <w:endnote w:type="continuationSeparator" w:id="0">
    <w:p w:rsidR="00000000" w:rsidRDefault="00000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00000">
      <w:r>
        <w:separator/>
      </w:r>
    </w:p>
  </w:footnote>
  <w:footnote w:type="continuationSeparator" w:id="0">
    <w:p w:rsidR="00000000" w:rsidRDefault="00000000">
      <w:r>
        <w:continuationSeparator/>
      </w:r>
    </w:p>
  </w:footnote>
  <w:footnote w:id="1">
    <w:p w:rsidR="00000000" w:rsidRDefault="00000000">
      <w:pPr>
        <w:spacing w:after="240"/>
      </w:pPr>
      <w:r>
        <w:rPr>
          <w:rStyle w:val="FootnoteReference"/>
        </w:rPr>
        <w:t>*</w:t>
      </w:r>
      <w:r>
        <w:t xml:space="preserve"> El presente documento agrupa los informes periódicos 10º, 11º, 12º, 13º, 14º y 15º del Chad que se debían presentar el 16 de septiembre de 1996, 1998, 2000, 2002, 2004 y 2006 respectivamente.  Los informes periódicos quinto, sexto, séptimo, octavo y noveno y las actas resumidas de las sesiones del Comité en que fueron examinados dichos informes figuran en los documentos CERD/C/259/Add.1, CERD/C/SR.1119 y A/50/18, párrs. 637 a 668.</w:t>
      </w:r>
    </w:p>
  </w:footnote>
  <w:footnote w:id="2">
    <w:p w:rsidR="00000000" w:rsidRDefault="00000000">
      <w:pPr>
        <w:spacing w:after="480"/>
      </w:pPr>
      <w:r>
        <w:rPr>
          <w:rStyle w:val="FootnoteReference"/>
        </w:rPr>
        <w:t>**</w:t>
      </w:r>
      <w:r>
        <w:t xml:space="preserve"> Con arreglo a la información transmitida a los Estados partes acerca de la publicación de sus informes, el presente documento no fue objeto de revisión editorial oficial antes de ser enviado a los servicios de traducción de las Naciones Unidas.</w:t>
      </w:r>
    </w:p>
    <w:p w:rsidR="00000000" w:rsidRDefault="00000000">
      <w:r>
        <w:t>GE.09-41355  (S)    220509    240609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pPr>
    <w:r>
      <w:t xml:space="preserve">CERD/C/TCD/15 </w:t>
    </w:r>
  </w:p>
  <w:p w:rsidR="00000000" w:rsidRDefault="00000000">
    <w:pPr>
      <w:pStyle w:val="Header"/>
    </w:pPr>
    <w:r>
      <w:t xml:space="preserve">página </w:t>
    </w:r>
    <w:r>
      <w:fldChar w:fldCharType="begin"/>
    </w:r>
    <w:r>
      <w:instrText xml:space="preserve"> PAGE  \* MERGEFORMAT </w:instrText>
    </w:r>
    <w:r>
      <w:fldChar w:fldCharType="separate"/>
    </w:r>
    <w:r>
      <w:rPr>
        <w:noProof/>
      </w:rPr>
      <w:t>40</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000000">
    <w:pPr>
      <w:pStyle w:val="Header"/>
      <w:tabs>
        <w:tab w:val="clear" w:pos="4252"/>
        <w:tab w:val="left" w:pos="7615"/>
      </w:tabs>
    </w:pPr>
    <w:r>
      <w:tab/>
      <w:t xml:space="preserve">CERD/C/TCD/15 </w:t>
    </w:r>
  </w:p>
  <w:p w:rsidR="00000000" w:rsidRDefault="00000000">
    <w:pPr>
      <w:pStyle w:val="Header"/>
      <w:tabs>
        <w:tab w:val="clear" w:pos="4252"/>
        <w:tab w:val="left" w:pos="7615"/>
      </w:tabs>
    </w:pPr>
    <w:r>
      <w:tab/>
      <w:t xml:space="preserve">página </w:t>
    </w:r>
    <w:r>
      <w:fldChar w:fldCharType="begin"/>
    </w:r>
    <w:r>
      <w:instrText xml:space="preserve"> PAGE  \* MERGEFORMAT </w:instrText>
    </w:r>
    <w:r>
      <w:fldChar w:fldCharType="separate"/>
    </w:r>
    <w:r>
      <w:rPr>
        <w:noProof/>
      </w:rPr>
      <w:t>41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02EC252"/>
    <w:lvl w:ilvl="0">
      <w:start w:val="1"/>
      <w:numFmt w:val="decimal"/>
      <w:lvlText w:val="%1."/>
      <w:lvlJc w:val="left"/>
      <w:pPr>
        <w:tabs>
          <w:tab w:val="num" w:pos="1492"/>
        </w:tabs>
        <w:ind w:left="1492" w:hanging="360"/>
      </w:pPr>
    </w:lvl>
  </w:abstractNum>
  <w:abstractNum w:abstractNumId="1">
    <w:nsid w:val="FFFFFF7D"/>
    <w:multiLevelType w:val="singleLevel"/>
    <w:tmpl w:val="2FB6E8DE"/>
    <w:lvl w:ilvl="0">
      <w:start w:val="1"/>
      <w:numFmt w:val="decimal"/>
      <w:lvlText w:val="%1."/>
      <w:lvlJc w:val="left"/>
      <w:pPr>
        <w:tabs>
          <w:tab w:val="num" w:pos="1209"/>
        </w:tabs>
        <w:ind w:left="1209" w:hanging="360"/>
      </w:pPr>
    </w:lvl>
  </w:abstractNum>
  <w:abstractNum w:abstractNumId="2">
    <w:nsid w:val="FFFFFF7E"/>
    <w:multiLevelType w:val="singleLevel"/>
    <w:tmpl w:val="2BAE357E"/>
    <w:lvl w:ilvl="0">
      <w:start w:val="1"/>
      <w:numFmt w:val="decimal"/>
      <w:lvlText w:val="%1."/>
      <w:lvlJc w:val="left"/>
      <w:pPr>
        <w:tabs>
          <w:tab w:val="num" w:pos="926"/>
        </w:tabs>
        <w:ind w:left="926" w:hanging="360"/>
      </w:pPr>
    </w:lvl>
  </w:abstractNum>
  <w:abstractNum w:abstractNumId="3">
    <w:nsid w:val="FFFFFF7F"/>
    <w:multiLevelType w:val="singleLevel"/>
    <w:tmpl w:val="FFB0B49E"/>
    <w:lvl w:ilvl="0">
      <w:start w:val="1"/>
      <w:numFmt w:val="decimal"/>
      <w:lvlText w:val="%1."/>
      <w:lvlJc w:val="left"/>
      <w:pPr>
        <w:tabs>
          <w:tab w:val="num" w:pos="643"/>
        </w:tabs>
        <w:ind w:left="643" w:hanging="360"/>
      </w:pPr>
    </w:lvl>
  </w:abstractNum>
  <w:abstractNum w:abstractNumId="4">
    <w:nsid w:val="FFFFFF80"/>
    <w:multiLevelType w:val="singleLevel"/>
    <w:tmpl w:val="3D70671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83C4CE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12EE4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23610B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F341852"/>
    <w:lvl w:ilvl="0">
      <w:start w:val="1"/>
      <w:numFmt w:val="decimal"/>
      <w:lvlText w:val="%1."/>
      <w:lvlJc w:val="left"/>
      <w:pPr>
        <w:tabs>
          <w:tab w:val="num" w:pos="360"/>
        </w:tabs>
        <w:ind w:left="360" w:hanging="360"/>
      </w:pPr>
    </w:lvl>
  </w:abstractNum>
  <w:abstractNum w:abstractNumId="9">
    <w:nsid w:val="FFFFFF89"/>
    <w:multiLevelType w:val="singleLevel"/>
    <w:tmpl w:val="D3585C16"/>
    <w:lvl w:ilvl="0">
      <w:start w:val="1"/>
      <w:numFmt w:val="bullet"/>
      <w:lvlText w:val=""/>
      <w:lvlJc w:val="left"/>
      <w:pPr>
        <w:tabs>
          <w:tab w:val="num" w:pos="360"/>
        </w:tabs>
        <w:ind w:left="360" w:hanging="360"/>
      </w:pPr>
      <w:rPr>
        <w:rFonts w:ascii="Symbol" w:hAnsi="Symbol" w:hint="default"/>
      </w:rPr>
    </w:lvl>
  </w:abstractNum>
  <w:abstractNum w:abstractNumId="10">
    <w:nsid w:val="09B17D14"/>
    <w:multiLevelType w:val="hybridMultilevel"/>
    <w:tmpl w:val="A0428AF8"/>
    <w:lvl w:ilvl="0" w:tplc="A5427D78">
      <w:start w:val="200"/>
      <w:numFmt w:val="decimal"/>
      <w:lvlText w:val="%1."/>
      <w:lvlJc w:val="left"/>
      <w:pPr>
        <w:tabs>
          <w:tab w:val="num" w:pos="720"/>
        </w:tabs>
        <w:ind w:left="720" w:hanging="360"/>
      </w:pPr>
      <w:rPr>
        <w:rFonts w:hint="default"/>
        <w:b w:val="0"/>
      </w:rPr>
    </w:lvl>
    <w:lvl w:ilvl="1" w:tplc="040C0003">
      <w:start w:val="1"/>
      <w:numFmt w:val="bullet"/>
      <w:lvlText w:val="o"/>
      <w:lvlJc w:val="left"/>
      <w:pPr>
        <w:tabs>
          <w:tab w:val="num" w:pos="1440"/>
        </w:tabs>
        <w:ind w:left="1440" w:hanging="360"/>
      </w:pPr>
      <w:rPr>
        <w:rFonts w:ascii="Courier New" w:hAnsi="Courier New" w:cs="Courier New" w:hint="default"/>
      </w:rPr>
    </w:lvl>
    <w:lvl w:ilvl="2" w:tplc="6824B2C6">
      <w:numFmt w:val="bullet"/>
      <w:lvlText w:val="-"/>
      <w:lvlJc w:val="left"/>
      <w:pPr>
        <w:tabs>
          <w:tab w:val="num" w:pos="2340"/>
        </w:tabs>
        <w:ind w:left="2340" w:hanging="360"/>
      </w:pPr>
      <w:rPr>
        <w:rFonts w:ascii="Times New Roman" w:eastAsia="Times New Roman" w:hAnsi="Times New Roman" w:cs="Times New Roman" w:hint="default"/>
        <w:color w:val="auto"/>
      </w:rPr>
    </w:lvl>
    <w:lvl w:ilvl="3" w:tplc="040C0003">
      <w:start w:val="1"/>
      <w:numFmt w:val="bullet"/>
      <w:lvlText w:val="o"/>
      <w:lvlJc w:val="left"/>
      <w:pPr>
        <w:tabs>
          <w:tab w:val="num" w:pos="2880"/>
        </w:tabs>
        <w:ind w:left="2880" w:hanging="360"/>
      </w:pPr>
      <w:rPr>
        <w:rFonts w:ascii="Courier New" w:hAnsi="Courier New" w:cs="Courier New" w:hint="default"/>
      </w:rPr>
    </w:lvl>
    <w:lvl w:ilvl="4" w:tplc="87E8568C">
      <w:start w:val="1"/>
      <w:numFmt w:val="upperRoman"/>
      <w:lvlText w:val="%5."/>
      <w:lvlJc w:val="left"/>
      <w:pPr>
        <w:tabs>
          <w:tab w:val="num" w:pos="3960"/>
        </w:tabs>
        <w:ind w:left="3960" w:hanging="720"/>
      </w:pPr>
      <w:rPr>
        <w:rFonts w:hint="default"/>
      </w:r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0E951731"/>
    <w:multiLevelType w:val="hybridMultilevel"/>
    <w:tmpl w:val="25C2DC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81851FE"/>
    <w:multiLevelType w:val="hybridMultilevel"/>
    <w:tmpl w:val="7EA88CBC"/>
    <w:lvl w:ilvl="0" w:tplc="040C000F">
      <w:start w:val="1"/>
      <w:numFmt w:val="decimal"/>
      <w:lvlText w:val="%1."/>
      <w:lvlJc w:val="left"/>
      <w:pPr>
        <w:tabs>
          <w:tab w:val="num" w:pos="720"/>
        </w:tabs>
        <w:ind w:left="720" w:hanging="360"/>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nsid w:val="321C28BC"/>
    <w:multiLevelType w:val="hybridMultilevel"/>
    <w:tmpl w:val="E9004A6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7440127A"/>
    <w:multiLevelType w:val="hybridMultilevel"/>
    <w:tmpl w:val="0168439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3"/>
  </w:num>
  <w:num w:numId="12">
    <w:abstractNumId w:val="14"/>
  </w:num>
  <w:num w:numId="13">
    <w:abstractNumId w:val="12"/>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s-ES" w:vendorID="64" w:dllVersion="131078" w:nlCheck="1" w:checkStyle="1"/>
  <w:activeWritingStyle w:appName="MSWord" w:lang="es-ES_tradnl" w:vendorID="64" w:dllVersion="131078" w:nlCheck="1" w:checkStyle="1"/>
  <w:activeWritingStyle w:appName="MSWord" w:lang="fr-FR" w:vendorID="64" w:dllVersion="131078" w:nlCheck="1" w:checkStyle="1"/>
  <w:doNotTrackMoves/>
  <w:defaultTabStop w:val="567"/>
  <w:hyphenationZone w:val="425"/>
  <w:evenAndOddHeaders/>
  <w:drawingGridHorizontalSpacing w:val="120"/>
  <w:displayHorizontalDrawingGridEvery w:val="2"/>
  <w:noPunctuationKerning/>
  <w:characterSpacingControl w:val="doNotCompress"/>
  <w:footnotePr>
    <w:footnote w:id="-1"/>
    <w:footnote w:id="0"/>
  </w:footnotePr>
  <w:endnotePr>
    <w:endnote w:id="-1"/>
    <w:endnote w:id="0"/>
  </w:endnotePr>
  <w:compat>
    <w:footnoteLayoutLikeWW8/>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 w:eastAsia="en-U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252"/>
      </w:tabs>
    </w:pPr>
  </w:style>
  <w:style w:type="character" w:styleId="EndnoteReference">
    <w:name w:val="endnote reference"/>
    <w:semiHidden/>
    <w:rPr>
      <w:rFonts w:ascii="Times New Roman" w:hAnsi="Times New Roman"/>
      <w:b/>
      <w:sz w:val="24"/>
      <w:vertAlign w:val="superscript"/>
    </w:rPr>
  </w:style>
  <w:style w:type="character" w:styleId="FootnoteReference">
    <w:name w:val="footnote reference"/>
    <w:semiHidden/>
    <w:rPr>
      <w:rFonts w:ascii="Times New Roman" w:hAnsi="Times New Roman"/>
      <w:b/>
      <w:sz w:val="24"/>
      <w:vertAlign w:val="superscript"/>
    </w:rPr>
  </w:style>
  <w:style w:type="paragraph" w:styleId="EndnoteText">
    <w:name w:val="endnote text"/>
    <w:basedOn w:val="Normal"/>
    <w:semiHidden/>
    <w:pPr>
      <w:spacing w:after="240" w:line="840" w:lineRule="auto"/>
    </w:pPr>
    <w:rPr>
      <w:szCs w:val="20"/>
    </w:rPr>
  </w:style>
  <w:style w:type="paragraph" w:styleId="FootnoteText">
    <w:name w:val="footnote text"/>
    <w:basedOn w:val="Normal"/>
    <w:semiHidden/>
    <w:pPr>
      <w:spacing w:after="240" w:line="840" w:lineRule="auto"/>
    </w:pPr>
    <w:rPr>
      <w:szCs w:val="20"/>
    </w:rPr>
  </w:style>
  <w:style w:type="paragraph" w:styleId="Footer">
    <w:name w:val="footer"/>
    <w:basedOn w:val="Normal"/>
    <w:semiHidden/>
    <w:rPr>
      <w:lang w:eastAsia="es-ES"/>
    </w:rPr>
  </w:style>
  <w:style w:type="paragraph" w:styleId="NormalWeb">
    <w:name w:val="Normal (Web)"/>
    <w:basedOn w:val="Normal"/>
    <w:semiHidden/>
    <w:pPr>
      <w:spacing w:before="100" w:beforeAutospacing="1" w:after="100" w:afterAutospacing="1"/>
    </w:pPr>
    <w:rPr>
      <w:rFonts w:ascii="Verdana" w:hAnsi="Verdana"/>
      <w:color w:val="555555"/>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1</Pages>
  <Words>19918</Words>
  <Characters>113535</Characters>
  <Application>Microsoft Office Word</Application>
  <DocSecurity>4</DocSecurity>
  <Lines>946</Lines>
  <Paragraphs>227</Paragraphs>
  <ScaleCrop>false</ScaleCrop>
  <HeadingPairs>
    <vt:vector size="2" baseType="variant">
      <vt:variant>
        <vt:lpstr>Title</vt:lpstr>
      </vt:variant>
      <vt:variant>
        <vt:i4>1</vt:i4>
      </vt:variant>
    </vt:vector>
  </HeadingPairs>
  <TitlesOfParts>
    <vt:vector size="1" baseType="lpstr">
      <vt:lpstr>CERD/C/TCD/15  -09-41355</vt:lpstr>
    </vt:vector>
  </TitlesOfParts>
  <Company>CSD</Company>
  <LinksUpToDate>false</LinksUpToDate>
  <CharactersWithSpaces>139428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CERD/C/TCD/15  -09-41355</dc:title>
  <dc:subject>Final</dc:subject>
  <dc:creator>Romina Meriño</dc:creator>
  <cp:keywords/>
  <dc:description/>
  <cp:lastModifiedBy>csd</cp:lastModifiedBy>
  <cp:revision>2</cp:revision>
  <cp:lastPrinted>2009-06-24T10:43:00Z</cp:lastPrinted>
  <dcterms:created xsi:type="dcterms:W3CDTF">2009-07-06T09:05:00Z</dcterms:created>
  <dcterms:modified xsi:type="dcterms:W3CDTF">2009-07-06T09:05:00Z</dcterms:modified>
</cp:coreProperties>
</file>