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7E2A0F"/>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7E2A0F" w:rsidP="007E2A0F">
            <w:pPr>
              <w:jc w:val="right"/>
            </w:pPr>
            <w:r w:rsidRPr="007E2A0F">
              <w:rPr>
                <w:sz w:val="40"/>
              </w:rPr>
              <w:t>CRC</w:t>
            </w:r>
            <w:r>
              <w:t>/C/83/D/30/2017</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8B740A">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7E2A0F" w:rsidP="008F3CA0">
            <w:pPr>
              <w:spacing w:before="240"/>
            </w:pPr>
            <w:proofErr w:type="spellStart"/>
            <w:r>
              <w:t>Distr</w:t>
            </w:r>
            <w:proofErr w:type="spellEnd"/>
            <w:r>
              <w:t>. générale</w:t>
            </w:r>
          </w:p>
          <w:p w:rsidR="007E2A0F" w:rsidRDefault="007E2A0F" w:rsidP="007E2A0F">
            <w:pPr>
              <w:spacing w:line="240" w:lineRule="exact"/>
            </w:pPr>
            <w:r>
              <w:t>12 mars 2020</w:t>
            </w:r>
          </w:p>
          <w:p w:rsidR="007E2A0F" w:rsidRDefault="007E2A0F" w:rsidP="007E2A0F">
            <w:pPr>
              <w:spacing w:line="240" w:lineRule="exact"/>
            </w:pPr>
            <w:r>
              <w:t>Français</w:t>
            </w:r>
          </w:p>
          <w:p w:rsidR="007E2A0F" w:rsidRPr="00DB58B5" w:rsidRDefault="007E2A0F" w:rsidP="007E2A0F">
            <w:pPr>
              <w:spacing w:line="240" w:lineRule="exact"/>
            </w:pPr>
            <w:r>
              <w:t>Original : espagnol</w:t>
            </w:r>
          </w:p>
        </w:tc>
      </w:tr>
    </w:tbl>
    <w:p w:rsidR="002D14A3" w:rsidRDefault="002D14A3" w:rsidP="002D14A3">
      <w:pPr>
        <w:spacing w:before="120"/>
        <w:rPr>
          <w:b/>
          <w:sz w:val="24"/>
          <w:szCs w:val="24"/>
        </w:rPr>
      </w:pPr>
      <w:r w:rsidRPr="00DA3BE9">
        <w:rPr>
          <w:b/>
          <w:sz w:val="24"/>
          <w:szCs w:val="24"/>
        </w:rPr>
        <w:t>Comité des droits de l</w:t>
      </w:r>
      <w:r w:rsidR="008B740A">
        <w:rPr>
          <w:b/>
          <w:sz w:val="24"/>
          <w:szCs w:val="24"/>
        </w:rPr>
        <w:t>’</w:t>
      </w:r>
      <w:r w:rsidRPr="00DA3BE9">
        <w:rPr>
          <w:b/>
          <w:sz w:val="24"/>
          <w:szCs w:val="24"/>
        </w:rPr>
        <w:t>enfant</w:t>
      </w:r>
      <w:bookmarkStart w:id="0" w:name="_GoBack"/>
      <w:bookmarkEnd w:id="0"/>
    </w:p>
    <w:p w:rsidR="007E2A0F" w:rsidRPr="00711EE7" w:rsidRDefault="007E2A0F" w:rsidP="007E2A0F">
      <w:pPr>
        <w:pStyle w:val="HChG"/>
        <w:rPr>
          <w:bCs/>
          <w:lang w:val="fr-FR"/>
        </w:rPr>
      </w:pPr>
      <w:r w:rsidRPr="00711EE7">
        <w:rPr>
          <w:lang w:val="fr-FR"/>
        </w:rPr>
        <w:tab/>
      </w:r>
      <w:r w:rsidRPr="00711EE7">
        <w:rPr>
          <w:lang w:val="fr-FR"/>
        </w:rPr>
        <w:tab/>
      </w:r>
      <w:r w:rsidRPr="00FA34A6">
        <w:rPr>
          <w:lang w:val="fr-FR"/>
        </w:rPr>
        <w:t>Constatations adoptées par le Comité au titre du Protocole facultatif à la Convention relative aux droits de l</w:t>
      </w:r>
      <w:r w:rsidR="008B740A">
        <w:rPr>
          <w:lang w:val="fr-FR"/>
        </w:rPr>
        <w:t>’</w:t>
      </w:r>
      <w:r w:rsidRPr="00FA34A6">
        <w:rPr>
          <w:lang w:val="fr-FR"/>
        </w:rPr>
        <w:t>enfant établissant une procédure de présentation de communications, concernant la communication</w:t>
      </w:r>
      <w:r w:rsidRPr="00711EE7">
        <w:rPr>
          <w:lang w:val="fr-FR"/>
        </w:rPr>
        <w:t xml:space="preserve"> n</w:t>
      </w:r>
      <w:r w:rsidRPr="00711EE7">
        <w:rPr>
          <w:vertAlign w:val="superscript"/>
          <w:lang w:val="fr-FR"/>
        </w:rPr>
        <w:t>o</w:t>
      </w:r>
      <w:r w:rsidRPr="00711EE7">
        <w:rPr>
          <w:lang w:val="fr-FR"/>
        </w:rPr>
        <w:t> 30/2017</w:t>
      </w:r>
      <w:r w:rsidRPr="007E2A0F">
        <w:rPr>
          <w:rStyle w:val="Appelnotedebasdep"/>
          <w:b w:val="0"/>
          <w:bCs/>
          <w:vertAlign w:val="baseline"/>
        </w:rPr>
        <w:footnoteReference w:customMarkFollows="1" w:id="2"/>
        <w:t>*</w:t>
      </w:r>
      <w:r w:rsidRPr="007E2A0F">
        <w:rPr>
          <w:b w:val="0"/>
          <w:bCs/>
          <w:position w:val="6"/>
          <w:sz w:val="20"/>
        </w:rPr>
        <w:t>,</w:t>
      </w:r>
      <w:r w:rsidRPr="00F53DD3">
        <w:rPr>
          <w:b w:val="0"/>
          <w:bCs/>
          <w:position w:val="6"/>
          <w:sz w:val="20"/>
          <w:vertAlign w:val="subscript"/>
        </w:rPr>
        <w:t xml:space="preserve"> </w:t>
      </w:r>
      <w:r w:rsidRPr="007E2A0F">
        <w:rPr>
          <w:rStyle w:val="Appelnotedebasdep"/>
          <w:b w:val="0"/>
          <w:bCs/>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7E2A0F" w:rsidRPr="00797A16" w:rsidTr="007E2A0F">
        <w:tc>
          <w:tcPr>
            <w:tcW w:w="2552" w:type="dxa"/>
          </w:tcPr>
          <w:p w:rsidR="007E2A0F" w:rsidRPr="00797A16" w:rsidRDefault="007E2A0F" w:rsidP="007E2A0F">
            <w:pPr>
              <w:pStyle w:val="SingleTxtG"/>
              <w:ind w:left="0" w:right="0"/>
              <w:jc w:val="left"/>
              <w:rPr>
                <w:i/>
              </w:rPr>
            </w:pPr>
            <w:r w:rsidRPr="00797A16">
              <w:rPr>
                <w:i/>
              </w:rPr>
              <w:t>Communication présentée par</w:t>
            </w:r>
            <w:r>
              <w:t> :</w:t>
            </w:r>
          </w:p>
        </w:tc>
        <w:tc>
          <w:tcPr>
            <w:tcW w:w="4253" w:type="dxa"/>
          </w:tcPr>
          <w:p w:rsidR="007E2A0F" w:rsidRPr="00797A16" w:rsidRDefault="007E2A0F" w:rsidP="007E2A0F">
            <w:pPr>
              <w:pStyle w:val="SingleTxtG"/>
              <w:ind w:left="57" w:right="0"/>
              <w:jc w:val="left"/>
            </w:pPr>
            <w:r w:rsidRPr="00711EE7">
              <w:rPr>
                <w:iCs/>
                <w:lang w:val="fr-FR"/>
              </w:rPr>
              <w:t>N</w:t>
            </w:r>
            <w:r>
              <w:rPr>
                <w:iCs/>
                <w:lang w:val="fr-FR"/>
              </w:rPr>
              <w:t>. </w:t>
            </w:r>
            <w:r w:rsidRPr="00711EE7">
              <w:rPr>
                <w:iCs/>
                <w:lang w:val="fr-FR"/>
              </w:rPr>
              <w:t>R</w:t>
            </w:r>
            <w:r>
              <w:rPr>
                <w:iCs/>
                <w:lang w:val="fr-FR"/>
              </w:rPr>
              <w:t>.</w:t>
            </w:r>
            <w:r w:rsidRPr="00711EE7">
              <w:rPr>
                <w:iCs/>
                <w:lang w:val="fr-FR"/>
              </w:rPr>
              <w:t xml:space="preserve"> (représenté par un conseil, </w:t>
            </w:r>
            <w:r>
              <w:rPr>
                <w:iCs/>
                <w:lang w:val="fr-FR"/>
              </w:rPr>
              <w:br/>
            </w:r>
            <w:r w:rsidRPr="00711EE7">
              <w:rPr>
                <w:iCs/>
                <w:lang w:val="fr-FR"/>
              </w:rPr>
              <w:t xml:space="preserve">Alberto Manuel </w:t>
            </w:r>
            <w:proofErr w:type="spellStart"/>
            <w:r w:rsidRPr="00711EE7">
              <w:rPr>
                <w:iCs/>
                <w:lang w:val="fr-FR"/>
              </w:rPr>
              <w:t>Poletti</w:t>
            </w:r>
            <w:proofErr w:type="spellEnd"/>
            <w:r w:rsidRPr="00711EE7">
              <w:rPr>
                <w:iCs/>
                <w:lang w:val="fr-FR"/>
              </w:rPr>
              <w:t xml:space="preserve"> Adorno)</w:t>
            </w:r>
          </w:p>
        </w:tc>
      </w:tr>
      <w:tr w:rsidR="007E2A0F" w:rsidRPr="00797A16" w:rsidTr="007E2A0F">
        <w:tc>
          <w:tcPr>
            <w:tcW w:w="2552" w:type="dxa"/>
          </w:tcPr>
          <w:p w:rsidR="007E2A0F" w:rsidRPr="00797A16" w:rsidRDefault="007E2A0F" w:rsidP="007E2A0F">
            <w:pPr>
              <w:pStyle w:val="SingleTxtG"/>
              <w:ind w:left="0" w:right="0"/>
              <w:jc w:val="left"/>
              <w:rPr>
                <w:i/>
              </w:rPr>
            </w:pPr>
            <w:r>
              <w:rPr>
                <w:i/>
              </w:rPr>
              <w:t>Victime(s) présumée(s)</w:t>
            </w:r>
            <w:r>
              <w:t> :</w:t>
            </w:r>
          </w:p>
        </w:tc>
        <w:tc>
          <w:tcPr>
            <w:tcW w:w="4253" w:type="dxa"/>
          </w:tcPr>
          <w:p w:rsidR="007E2A0F" w:rsidRPr="00797A16" w:rsidRDefault="007E2A0F" w:rsidP="007E2A0F">
            <w:pPr>
              <w:pStyle w:val="SingleTxtG"/>
              <w:ind w:left="57" w:right="0"/>
              <w:jc w:val="left"/>
            </w:pPr>
            <w:r w:rsidRPr="00711EE7">
              <w:rPr>
                <w:lang w:val="fr-FR"/>
              </w:rPr>
              <w:t>C.</w:t>
            </w:r>
            <w:r>
              <w:rPr>
                <w:lang w:val="fr-FR"/>
              </w:rPr>
              <w:t> </w:t>
            </w:r>
            <w:r w:rsidRPr="00711EE7">
              <w:rPr>
                <w:lang w:val="fr-FR"/>
              </w:rPr>
              <w:t>R.</w:t>
            </w:r>
          </w:p>
        </w:tc>
      </w:tr>
      <w:tr w:rsidR="007E2A0F" w:rsidRPr="00797A16" w:rsidTr="007E2A0F">
        <w:tc>
          <w:tcPr>
            <w:tcW w:w="2552" w:type="dxa"/>
          </w:tcPr>
          <w:p w:rsidR="007E2A0F" w:rsidRPr="00797A16" w:rsidRDefault="007E2A0F" w:rsidP="007E2A0F">
            <w:pPr>
              <w:pStyle w:val="SingleTxtG"/>
              <w:ind w:left="0" w:right="0"/>
              <w:jc w:val="left"/>
              <w:rPr>
                <w:i/>
              </w:rPr>
            </w:pPr>
            <w:r w:rsidRPr="00797A16">
              <w:rPr>
                <w:i/>
              </w:rPr>
              <w:t>État partie</w:t>
            </w:r>
            <w:r>
              <w:t> :</w:t>
            </w:r>
          </w:p>
        </w:tc>
        <w:tc>
          <w:tcPr>
            <w:tcW w:w="4253" w:type="dxa"/>
          </w:tcPr>
          <w:p w:rsidR="007E2A0F" w:rsidRPr="00797A16" w:rsidRDefault="007E2A0F" w:rsidP="007E2A0F">
            <w:pPr>
              <w:pStyle w:val="SingleTxtG"/>
              <w:ind w:left="57" w:right="0"/>
              <w:jc w:val="left"/>
            </w:pPr>
            <w:r w:rsidRPr="00711EE7">
              <w:rPr>
                <w:lang w:val="fr-FR"/>
              </w:rPr>
              <w:t>Paraguay</w:t>
            </w:r>
          </w:p>
        </w:tc>
      </w:tr>
      <w:tr w:rsidR="007E2A0F" w:rsidRPr="00797A16" w:rsidTr="007E2A0F">
        <w:tc>
          <w:tcPr>
            <w:tcW w:w="2552" w:type="dxa"/>
          </w:tcPr>
          <w:p w:rsidR="007E2A0F" w:rsidRPr="00797A16" w:rsidRDefault="007E2A0F" w:rsidP="007E2A0F">
            <w:pPr>
              <w:pStyle w:val="SingleTxtG"/>
              <w:ind w:left="0" w:right="0"/>
              <w:jc w:val="left"/>
              <w:rPr>
                <w:i/>
              </w:rPr>
            </w:pPr>
            <w:r w:rsidRPr="00797A16">
              <w:rPr>
                <w:i/>
              </w:rPr>
              <w:t>Date de la communication</w:t>
            </w:r>
            <w:r>
              <w:t> :</w:t>
            </w:r>
          </w:p>
        </w:tc>
        <w:tc>
          <w:tcPr>
            <w:tcW w:w="4253" w:type="dxa"/>
          </w:tcPr>
          <w:p w:rsidR="007E2A0F" w:rsidRPr="00797A16" w:rsidRDefault="007E2A0F" w:rsidP="007E2A0F">
            <w:pPr>
              <w:pStyle w:val="SingleTxtG"/>
              <w:ind w:left="57" w:right="0"/>
              <w:jc w:val="left"/>
            </w:pPr>
            <w:r w:rsidRPr="00711EE7">
              <w:rPr>
                <w:lang w:val="fr-FR"/>
              </w:rPr>
              <w:t>10 mai 2017</w:t>
            </w:r>
          </w:p>
        </w:tc>
      </w:tr>
      <w:tr w:rsidR="007E2A0F" w:rsidRPr="00797A16" w:rsidTr="007E2A0F">
        <w:tc>
          <w:tcPr>
            <w:tcW w:w="2552" w:type="dxa"/>
          </w:tcPr>
          <w:p w:rsidR="007E2A0F" w:rsidRPr="00797A16" w:rsidRDefault="007E2A0F" w:rsidP="007E2A0F">
            <w:pPr>
              <w:pStyle w:val="SingleTxtG"/>
              <w:ind w:left="0" w:right="0"/>
              <w:jc w:val="left"/>
              <w:rPr>
                <w:i/>
              </w:rPr>
            </w:pPr>
            <w:r w:rsidRPr="00797A16">
              <w:rPr>
                <w:i/>
              </w:rPr>
              <w:t xml:space="preserve">Date </w:t>
            </w:r>
            <w:r>
              <w:rPr>
                <w:i/>
              </w:rPr>
              <w:t>des constatations</w:t>
            </w:r>
            <w:r>
              <w:t> :</w:t>
            </w:r>
          </w:p>
        </w:tc>
        <w:tc>
          <w:tcPr>
            <w:tcW w:w="4253" w:type="dxa"/>
            <w:vAlign w:val="bottom"/>
          </w:tcPr>
          <w:p w:rsidR="007E2A0F" w:rsidRPr="00797A16" w:rsidRDefault="007E2A0F" w:rsidP="007E2A0F">
            <w:pPr>
              <w:pStyle w:val="SingleTxtG"/>
              <w:ind w:left="57" w:right="0"/>
              <w:jc w:val="left"/>
            </w:pPr>
            <w:r>
              <w:rPr>
                <w:lang w:val="fr-FR"/>
              </w:rPr>
              <w:t>3 février</w:t>
            </w:r>
            <w:r w:rsidRPr="00711EE7">
              <w:rPr>
                <w:lang w:val="fr-FR"/>
              </w:rPr>
              <w:t xml:space="preserve"> 2020</w:t>
            </w:r>
          </w:p>
        </w:tc>
      </w:tr>
      <w:tr w:rsidR="007E2A0F" w:rsidRPr="00797A16" w:rsidTr="007E2A0F">
        <w:tc>
          <w:tcPr>
            <w:tcW w:w="2552" w:type="dxa"/>
          </w:tcPr>
          <w:p w:rsidR="007E2A0F" w:rsidRPr="00797A16" w:rsidRDefault="007E2A0F" w:rsidP="007E2A0F">
            <w:pPr>
              <w:pStyle w:val="SingleTxtG"/>
              <w:ind w:left="0" w:right="0"/>
              <w:jc w:val="left"/>
            </w:pPr>
            <w:r w:rsidRPr="00797A16">
              <w:rPr>
                <w:i/>
              </w:rPr>
              <w:t>Objet</w:t>
            </w:r>
            <w:r>
              <w:t> :</w:t>
            </w:r>
          </w:p>
        </w:tc>
        <w:tc>
          <w:tcPr>
            <w:tcW w:w="4253" w:type="dxa"/>
            <w:vAlign w:val="bottom"/>
          </w:tcPr>
          <w:p w:rsidR="007E2A0F" w:rsidRPr="00797A16" w:rsidRDefault="007E2A0F" w:rsidP="007E2A0F">
            <w:pPr>
              <w:pStyle w:val="SingleTxtG"/>
              <w:ind w:left="57" w:right="0"/>
              <w:jc w:val="left"/>
            </w:pPr>
            <w:r w:rsidRPr="00711EE7">
              <w:rPr>
                <w:lang w:val="fr-FR"/>
              </w:rPr>
              <w:t>Droit d</w:t>
            </w:r>
            <w:r w:rsidR="008B740A">
              <w:rPr>
                <w:lang w:val="fr-FR"/>
              </w:rPr>
              <w:t>’</w:t>
            </w:r>
            <w:r w:rsidRPr="00711EE7">
              <w:rPr>
                <w:lang w:val="fr-FR"/>
              </w:rPr>
              <w:t>entretenir des relations personnelles et des contacts directs avec le père</w:t>
            </w:r>
          </w:p>
        </w:tc>
      </w:tr>
      <w:tr w:rsidR="007E2A0F" w:rsidRPr="00797A16" w:rsidTr="007E2A0F">
        <w:tc>
          <w:tcPr>
            <w:tcW w:w="2552" w:type="dxa"/>
          </w:tcPr>
          <w:p w:rsidR="007E2A0F" w:rsidRPr="00797A16" w:rsidRDefault="007E2A0F" w:rsidP="007E2A0F">
            <w:pPr>
              <w:pStyle w:val="SingleTxtG"/>
              <w:ind w:left="0" w:right="0"/>
              <w:jc w:val="left"/>
            </w:pPr>
            <w:r w:rsidRPr="00797A16">
              <w:rPr>
                <w:i/>
              </w:rPr>
              <w:t>Question(s) de procédure</w:t>
            </w:r>
            <w:r>
              <w:t> :</w:t>
            </w:r>
          </w:p>
        </w:tc>
        <w:tc>
          <w:tcPr>
            <w:tcW w:w="4253" w:type="dxa"/>
            <w:vAlign w:val="bottom"/>
          </w:tcPr>
          <w:p w:rsidR="007E2A0F" w:rsidRPr="00797A16" w:rsidRDefault="007E2A0F" w:rsidP="007E2A0F">
            <w:pPr>
              <w:pStyle w:val="SingleTxtG"/>
              <w:ind w:left="57" w:right="0"/>
              <w:jc w:val="left"/>
            </w:pPr>
            <w:r w:rsidRPr="00711EE7">
              <w:rPr>
                <w:lang w:val="fr-FR"/>
              </w:rPr>
              <w:t xml:space="preserve">Irrecevabilité </w:t>
            </w:r>
            <w:proofErr w:type="spellStart"/>
            <w:r w:rsidRPr="00711EE7">
              <w:rPr>
                <w:i/>
                <w:iCs/>
                <w:lang w:val="fr-FR"/>
              </w:rPr>
              <w:t>ratione</w:t>
            </w:r>
            <w:proofErr w:type="spellEnd"/>
            <w:r w:rsidRPr="00711EE7">
              <w:rPr>
                <w:i/>
                <w:iCs/>
                <w:lang w:val="fr-FR"/>
              </w:rPr>
              <w:t xml:space="preserve"> </w:t>
            </w:r>
            <w:proofErr w:type="spellStart"/>
            <w:r w:rsidRPr="00711EE7">
              <w:rPr>
                <w:i/>
                <w:iCs/>
                <w:lang w:val="fr-FR"/>
              </w:rPr>
              <w:t>temporis</w:t>
            </w:r>
            <w:proofErr w:type="spellEnd"/>
            <w:r>
              <w:rPr>
                <w:i/>
                <w:iCs/>
                <w:lang w:val="fr-FR"/>
              </w:rPr>
              <w:t> ;</w:t>
            </w:r>
            <w:r w:rsidRPr="00711EE7">
              <w:rPr>
                <w:i/>
                <w:iCs/>
                <w:lang w:val="fr-FR"/>
              </w:rPr>
              <w:t xml:space="preserve"> </w:t>
            </w:r>
            <w:r w:rsidRPr="00711EE7">
              <w:rPr>
                <w:lang w:val="fr-FR"/>
              </w:rPr>
              <w:t>non-épuisement des recours internes</w:t>
            </w:r>
            <w:r>
              <w:rPr>
                <w:lang w:val="fr-FR"/>
              </w:rPr>
              <w:t xml:space="preserve"> ; défaut de fondement des </w:t>
            </w:r>
            <w:r w:rsidRPr="00711EE7">
              <w:rPr>
                <w:lang w:val="fr-FR"/>
              </w:rPr>
              <w:t xml:space="preserve">griefs </w:t>
            </w:r>
          </w:p>
        </w:tc>
      </w:tr>
      <w:tr w:rsidR="007E2A0F" w:rsidRPr="00797A16" w:rsidTr="007E2A0F">
        <w:tc>
          <w:tcPr>
            <w:tcW w:w="2552" w:type="dxa"/>
          </w:tcPr>
          <w:p w:rsidR="007E2A0F" w:rsidRPr="00797A16" w:rsidRDefault="007E2A0F" w:rsidP="007E2A0F">
            <w:pPr>
              <w:pStyle w:val="SingleTxtG"/>
              <w:ind w:left="0" w:right="0"/>
              <w:jc w:val="left"/>
            </w:pPr>
            <w:r w:rsidRPr="00797A16">
              <w:rPr>
                <w:i/>
              </w:rPr>
              <w:t>Article(s) de la Convention</w:t>
            </w:r>
            <w:r>
              <w:t> :</w:t>
            </w:r>
          </w:p>
        </w:tc>
        <w:tc>
          <w:tcPr>
            <w:tcW w:w="4253" w:type="dxa"/>
            <w:vAlign w:val="bottom"/>
          </w:tcPr>
          <w:p w:rsidR="007E2A0F" w:rsidRPr="00797A16" w:rsidRDefault="007E2A0F" w:rsidP="007E2A0F">
            <w:pPr>
              <w:pStyle w:val="SingleTxtG"/>
              <w:ind w:left="57" w:right="0"/>
              <w:jc w:val="left"/>
            </w:pPr>
            <w:bookmarkStart w:id="1" w:name="_Hlk55571427"/>
            <w:r w:rsidRPr="00711EE7">
              <w:rPr>
                <w:color w:val="000000"/>
                <w:szCs w:val="24"/>
                <w:lang w:val="fr-FR"/>
              </w:rPr>
              <w:t>3, 4, 5</w:t>
            </w:r>
            <w:r>
              <w:rPr>
                <w:color w:val="000000"/>
                <w:szCs w:val="24"/>
                <w:lang w:val="fr-FR"/>
              </w:rPr>
              <w:t>, 9 (par. 3), 10</w:t>
            </w:r>
            <w:r w:rsidRPr="00711EE7">
              <w:rPr>
                <w:color w:val="000000"/>
                <w:szCs w:val="24"/>
                <w:lang w:val="fr-FR"/>
              </w:rPr>
              <w:t xml:space="preserve"> (par. 2), 18 et 19</w:t>
            </w:r>
            <w:bookmarkEnd w:id="1"/>
          </w:p>
        </w:tc>
      </w:tr>
      <w:tr w:rsidR="007E2A0F" w:rsidRPr="00797A16" w:rsidTr="007E2A0F">
        <w:tc>
          <w:tcPr>
            <w:tcW w:w="2552" w:type="dxa"/>
          </w:tcPr>
          <w:p w:rsidR="007E2A0F" w:rsidRPr="00797A16" w:rsidRDefault="007E2A0F" w:rsidP="007E2A0F">
            <w:pPr>
              <w:pStyle w:val="SingleTxtG"/>
              <w:ind w:left="0" w:right="0"/>
              <w:jc w:val="left"/>
            </w:pPr>
            <w:r w:rsidRPr="00797A16">
              <w:rPr>
                <w:i/>
              </w:rPr>
              <w:t>Article(s) du Protocole facultatif</w:t>
            </w:r>
            <w:r>
              <w:t> :</w:t>
            </w:r>
          </w:p>
        </w:tc>
        <w:tc>
          <w:tcPr>
            <w:tcW w:w="4253" w:type="dxa"/>
          </w:tcPr>
          <w:p w:rsidR="007E2A0F" w:rsidRPr="00797A16" w:rsidRDefault="007E2A0F" w:rsidP="007E2A0F">
            <w:pPr>
              <w:pStyle w:val="SingleTxtG"/>
              <w:ind w:left="57" w:right="0"/>
              <w:jc w:val="left"/>
            </w:pPr>
            <w:r w:rsidRPr="00711EE7">
              <w:rPr>
                <w:lang w:val="fr-FR"/>
              </w:rPr>
              <w:t xml:space="preserve">7 </w:t>
            </w:r>
            <w:r>
              <w:rPr>
                <w:lang w:val="fr-FR"/>
              </w:rPr>
              <w:t>(al. </w:t>
            </w:r>
            <w:r>
              <w:rPr>
                <w:iCs/>
                <w:lang w:val="fr-FR"/>
              </w:rPr>
              <w:t>e), f) et g))</w:t>
            </w:r>
          </w:p>
        </w:tc>
      </w:tr>
    </w:tbl>
    <w:p w:rsidR="007E2A0F" w:rsidRDefault="007E2A0F" w:rsidP="007341B7"/>
    <w:p w:rsidR="007E2A0F" w:rsidRPr="00711EE7" w:rsidRDefault="007E2A0F" w:rsidP="007E2A0F">
      <w:pPr>
        <w:pStyle w:val="SingleTxtG"/>
        <w:rPr>
          <w:spacing w:val="-2"/>
          <w:lang w:val="fr-FR"/>
        </w:rPr>
      </w:pPr>
      <w:r>
        <w:br w:type="page"/>
      </w:r>
      <w:r w:rsidRPr="00711EE7">
        <w:rPr>
          <w:lang w:val="fr-FR"/>
        </w:rPr>
        <w:lastRenderedPageBreak/>
        <w:t>1.</w:t>
      </w:r>
      <w:r w:rsidRPr="00711EE7">
        <w:rPr>
          <w:lang w:val="fr-FR"/>
        </w:rPr>
        <w:tab/>
        <w:t>L</w:t>
      </w:r>
      <w:r w:rsidR="008B740A">
        <w:rPr>
          <w:lang w:val="fr-FR"/>
        </w:rPr>
        <w:t>’</w:t>
      </w:r>
      <w:r w:rsidRPr="00711EE7">
        <w:rPr>
          <w:lang w:val="fr-FR"/>
        </w:rPr>
        <w:t>auteur de la communication est N</w:t>
      </w:r>
      <w:r>
        <w:rPr>
          <w:lang w:val="fr-FR"/>
        </w:rPr>
        <w:t>.</w:t>
      </w:r>
      <w:r w:rsidR="00BE3F07">
        <w:rPr>
          <w:lang w:val="fr-FR"/>
        </w:rPr>
        <w:t> </w:t>
      </w:r>
      <w:r w:rsidRPr="00711EE7">
        <w:rPr>
          <w:lang w:val="fr-FR"/>
        </w:rPr>
        <w:t>R</w:t>
      </w:r>
      <w:r>
        <w:rPr>
          <w:lang w:val="fr-FR"/>
        </w:rPr>
        <w:t>.</w:t>
      </w:r>
      <w:r w:rsidRPr="00711EE7">
        <w:rPr>
          <w:lang w:val="fr-FR"/>
        </w:rPr>
        <w:t>, de nationalité argentine, né le 20 janvier 1976. Il présente la communication au nom de sa fille, C.</w:t>
      </w:r>
      <w:r>
        <w:rPr>
          <w:lang w:val="fr-FR"/>
        </w:rPr>
        <w:t> </w:t>
      </w:r>
      <w:r w:rsidRPr="00711EE7">
        <w:rPr>
          <w:lang w:val="fr-FR"/>
        </w:rPr>
        <w:t xml:space="preserve">R, </w:t>
      </w:r>
      <w:r>
        <w:rPr>
          <w:lang w:val="fr-FR"/>
        </w:rPr>
        <w:t xml:space="preserve">également </w:t>
      </w:r>
      <w:r w:rsidRPr="00711EE7">
        <w:rPr>
          <w:lang w:val="fr-FR"/>
        </w:rPr>
        <w:t xml:space="preserve">de nationalité argentine, née le 16 juin 2009. </w:t>
      </w:r>
      <w:r>
        <w:rPr>
          <w:lang w:val="fr-FR"/>
        </w:rPr>
        <w:t>Il</w:t>
      </w:r>
      <w:r w:rsidRPr="00711EE7">
        <w:rPr>
          <w:lang w:val="fr-FR"/>
        </w:rPr>
        <w:t xml:space="preserve"> </w:t>
      </w:r>
      <w:r>
        <w:rPr>
          <w:lang w:val="fr-FR"/>
        </w:rPr>
        <w:t>affirme</w:t>
      </w:r>
      <w:r w:rsidRPr="00711EE7">
        <w:rPr>
          <w:lang w:val="fr-FR"/>
        </w:rPr>
        <w:t xml:space="preserve"> que sa fille est victime de la violation par l</w:t>
      </w:r>
      <w:r w:rsidR="008B740A">
        <w:rPr>
          <w:lang w:val="fr-FR"/>
        </w:rPr>
        <w:t>’</w:t>
      </w:r>
      <w:r w:rsidRPr="00711EE7">
        <w:rPr>
          <w:lang w:val="fr-FR"/>
        </w:rPr>
        <w:t>État partie des articles</w:t>
      </w:r>
      <w:r>
        <w:rPr>
          <w:lang w:val="fr-FR"/>
        </w:rPr>
        <w:t> </w:t>
      </w:r>
      <w:r w:rsidRPr="00527923">
        <w:rPr>
          <w:lang w:val="fr-FR"/>
        </w:rPr>
        <w:t>3, 4, 5, 9 (par.</w:t>
      </w:r>
      <w:r w:rsidR="00BE3F07">
        <w:rPr>
          <w:lang w:val="fr-FR"/>
        </w:rPr>
        <w:t> </w:t>
      </w:r>
      <w:r w:rsidRPr="00527923">
        <w:rPr>
          <w:lang w:val="fr-FR"/>
        </w:rPr>
        <w:t>3), 10 (par.</w:t>
      </w:r>
      <w:r w:rsidR="00BE3F07">
        <w:rPr>
          <w:lang w:val="fr-FR"/>
        </w:rPr>
        <w:t> </w:t>
      </w:r>
      <w:r w:rsidRPr="00527923">
        <w:rPr>
          <w:lang w:val="fr-FR"/>
        </w:rPr>
        <w:t>2), 18 et 19</w:t>
      </w:r>
      <w:r>
        <w:rPr>
          <w:lang w:val="fr-FR"/>
        </w:rPr>
        <w:t xml:space="preserve"> </w:t>
      </w:r>
      <w:r w:rsidRPr="00711EE7">
        <w:rPr>
          <w:lang w:val="fr-FR"/>
        </w:rPr>
        <w:t>de la Convention. Le Protocole facultatif est entré en vigueur pour l</w:t>
      </w:r>
      <w:r w:rsidR="008B740A">
        <w:rPr>
          <w:lang w:val="fr-FR"/>
        </w:rPr>
        <w:t>’</w:t>
      </w:r>
      <w:r w:rsidRPr="00711EE7">
        <w:rPr>
          <w:lang w:val="fr-FR"/>
        </w:rPr>
        <w:t xml:space="preserve">État partie le </w:t>
      </w:r>
      <w:r w:rsidRPr="00711EE7">
        <w:rPr>
          <w:spacing w:val="-2"/>
          <w:lang w:val="fr-FR"/>
        </w:rPr>
        <w:t xml:space="preserve">20 avril 2017. </w:t>
      </w:r>
    </w:p>
    <w:p w:rsidR="007E2A0F" w:rsidRPr="00711EE7" w:rsidRDefault="007E2A0F" w:rsidP="007E2A0F">
      <w:pPr>
        <w:pStyle w:val="H23G"/>
        <w:rPr>
          <w:lang w:val="fr-FR"/>
        </w:rPr>
      </w:pPr>
      <w:r w:rsidRPr="00711EE7">
        <w:rPr>
          <w:lang w:val="fr-FR"/>
        </w:rPr>
        <w:tab/>
      </w:r>
      <w:r w:rsidRPr="00711EE7">
        <w:rPr>
          <w:lang w:val="fr-FR"/>
        </w:rPr>
        <w:tab/>
        <w:t>Rappel des faits présentés par l</w:t>
      </w:r>
      <w:r w:rsidR="008B740A">
        <w:rPr>
          <w:lang w:val="fr-FR"/>
        </w:rPr>
        <w:t>’</w:t>
      </w:r>
      <w:r w:rsidRPr="00711EE7">
        <w:rPr>
          <w:lang w:val="fr-FR"/>
        </w:rPr>
        <w:t>auteur</w:t>
      </w:r>
    </w:p>
    <w:p w:rsidR="007E2A0F" w:rsidRPr="00711EE7" w:rsidRDefault="007E2A0F" w:rsidP="007E2A0F">
      <w:pPr>
        <w:pStyle w:val="SingleTxtG"/>
        <w:spacing w:line="238" w:lineRule="atLeast"/>
        <w:rPr>
          <w:lang w:val="fr-FR"/>
        </w:rPr>
      </w:pPr>
      <w:r w:rsidRPr="00711EE7">
        <w:rPr>
          <w:lang w:val="fr-FR"/>
        </w:rPr>
        <w:t>2.1</w:t>
      </w:r>
      <w:r w:rsidRPr="00711EE7">
        <w:rPr>
          <w:lang w:val="fr-FR"/>
        </w:rPr>
        <w:tab/>
        <w:t>Pendant une période non précisée, l</w:t>
      </w:r>
      <w:r w:rsidR="008B740A">
        <w:rPr>
          <w:lang w:val="fr-FR"/>
        </w:rPr>
        <w:t>’</w:t>
      </w:r>
      <w:r w:rsidRPr="00711EE7">
        <w:rPr>
          <w:lang w:val="fr-FR"/>
        </w:rPr>
        <w:t xml:space="preserve">auteur a entretenu une relation avec </w:t>
      </w:r>
      <w:r>
        <w:rPr>
          <w:lang w:val="fr-FR"/>
        </w:rPr>
        <w:t>L. R. R.</w:t>
      </w:r>
      <w:r w:rsidRPr="00711EE7">
        <w:rPr>
          <w:lang w:val="fr-FR"/>
        </w:rPr>
        <w:t xml:space="preserve">, de nationalité paraguayenne, </w:t>
      </w:r>
      <w:r>
        <w:rPr>
          <w:lang w:val="fr-FR"/>
        </w:rPr>
        <w:t xml:space="preserve">relation </w:t>
      </w:r>
      <w:r w:rsidRPr="00711EE7">
        <w:rPr>
          <w:lang w:val="fr-FR"/>
        </w:rPr>
        <w:t xml:space="preserve">de laquelle est née une fille, </w:t>
      </w:r>
      <w:r>
        <w:rPr>
          <w:lang w:val="fr-FR"/>
        </w:rPr>
        <w:t>C. R.</w:t>
      </w:r>
      <w:r w:rsidRPr="00711EE7">
        <w:rPr>
          <w:lang w:val="fr-FR"/>
        </w:rPr>
        <w:t xml:space="preserve">, </w:t>
      </w:r>
      <w:r>
        <w:rPr>
          <w:lang w:val="fr-FR"/>
        </w:rPr>
        <w:t xml:space="preserve">à </w:t>
      </w:r>
      <w:r w:rsidRPr="00711EE7">
        <w:rPr>
          <w:lang w:val="fr-FR"/>
        </w:rPr>
        <w:t xml:space="preserve">La </w:t>
      </w:r>
      <w:proofErr w:type="spellStart"/>
      <w:r w:rsidRPr="00711EE7">
        <w:rPr>
          <w:lang w:val="fr-FR"/>
        </w:rPr>
        <w:t>Plata</w:t>
      </w:r>
      <w:proofErr w:type="spellEnd"/>
      <w:r w:rsidRPr="00711EE7">
        <w:rPr>
          <w:lang w:val="fr-FR"/>
        </w:rPr>
        <w:t xml:space="preserve"> (Argentine). En juin 2009, </w:t>
      </w:r>
      <w:r>
        <w:rPr>
          <w:lang w:val="fr-FR"/>
        </w:rPr>
        <w:t xml:space="preserve">onze </w:t>
      </w:r>
      <w:r w:rsidRPr="00711EE7">
        <w:rPr>
          <w:lang w:val="fr-FR"/>
        </w:rPr>
        <w:t xml:space="preserve">jours après la naissance de </w:t>
      </w:r>
      <w:r>
        <w:rPr>
          <w:lang w:val="fr-FR"/>
        </w:rPr>
        <w:t>la petite</w:t>
      </w:r>
      <w:r w:rsidRPr="00711EE7">
        <w:rPr>
          <w:lang w:val="fr-FR"/>
        </w:rPr>
        <w:t xml:space="preserve"> fille, </w:t>
      </w:r>
      <w:r>
        <w:rPr>
          <w:lang w:val="fr-FR"/>
        </w:rPr>
        <w:t>L. R. R.</w:t>
      </w:r>
      <w:r w:rsidRPr="00711EE7">
        <w:rPr>
          <w:lang w:val="fr-FR"/>
        </w:rPr>
        <w:t xml:space="preserve"> l</w:t>
      </w:r>
      <w:r w:rsidR="008B740A">
        <w:rPr>
          <w:lang w:val="fr-FR"/>
        </w:rPr>
        <w:t>’</w:t>
      </w:r>
      <w:r w:rsidRPr="00711EE7">
        <w:rPr>
          <w:lang w:val="fr-FR"/>
        </w:rPr>
        <w:t>a emmenée avec elle dans sa ville natale, Asunción (Paraguay), où elle a établi sa résidence. L</w:t>
      </w:r>
      <w:r w:rsidR="008B740A">
        <w:rPr>
          <w:lang w:val="fr-FR"/>
        </w:rPr>
        <w:t>’</w:t>
      </w:r>
      <w:r w:rsidRPr="00711EE7">
        <w:rPr>
          <w:lang w:val="fr-FR"/>
        </w:rPr>
        <w:t>auteur s</w:t>
      </w:r>
      <w:r w:rsidR="008B740A">
        <w:rPr>
          <w:lang w:val="fr-FR"/>
        </w:rPr>
        <w:t>’</w:t>
      </w:r>
      <w:r w:rsidRPr="00711EE7">
        <w:rPr>
          <w:lang w:val="fr-FR"/>
        </w:rPr>
        <w:t>est rendu occasionnellement au Paraguay pour rendre visite à sa fille pendant qu</w:t>
      </w:r>
      <w:r w:rsidR="008B740A">
        <w:rPr>
          <w:lang w:val="fr-FR"/>
        </w:rPr>
        <w:t>’</w:t>
      </w:r>
      <w:r w:rsidRPr="00711EE7">
        <w:rPr>
          <w:lang w:val="fr-FR"/>
        </w:rPr>
        <w:t xml:space="preserve">elle était toute </w:t>
      </w:r>
      <w:r>
        <w:rPr>
          <w:lang w:val="fr-FR"/>
        </w:rPr>
        <w:t>petite</w:t>
      </w:r>
      <w:r w:rsidRPr="00711EE7">
        <w:rPr>
          <w:lang w:val="fr-FR"/>
        </w:rPr>
        <w:t>. Il explique qu</w:t>
      </w:r>
      <w:r w:rsidR="008B740A">
        <w:rPr>
          <w:lang w:val="fr-FR"/>
        </w:rPr>
        <w:t>’</w:t>
      </w:r>
      <w:r w:rsidRPr="00711EE7">
        <w:rPr>
          <w:lang w:val="fr-FR"/>
        </w:rPr>
        <w:t>à aucun moment un accord n</w:t>
      </w:r>
      <w:r w:rsidR="008B740A">
        <w:rPr>
          <w:lang w:val="fr-FR"/>
        </w:rPr>
        <w:t>’</w:t>
      </w:r>
      <w:r w:rsidRPr="00711EE7">
        <w:rPr>
          <w:lang w:val="fr-FR"/>
        </w:rPr>
        <w:t xml:space="preserve">a été conclu au sujet de la garde de </w:t>
      </w:r>
      <w:r>
        <w:rPr>
          <w:lang w:val="fr-FR"/>
        </w:rPr>
        <w:t>l</w:t>
      </w:r>
      <w:r w:rsidR="008B740A">
        <w:rPr>
          <w:lang w:val="fr-FR"/>
        </w:rPr>
        <w:t>’</w:t>
      </w:r>
      <w:r>
        <w:rPr>
          <w:lang w:val="fr-FR"/>
        </w:rPr>
        <w:t>enfant</w:t>
      </w:r>
      <w:r w:rsidRPr="00711EE7">
        <w:rPr>
          <w:lang w:val="fr-FR"/>
        </w:rPr>
        <w:t>, qui a incombé de fait à sa mère.</w:t>
      </w:r>
    </w:p>
    <w:p w:rsidR="007E2A0F" w:rsidRPr="00711EE7" w:rsidRDefault="007E2A0F" w:rsidP="007E2A0F">
      <w:pPr>
        <w:pStyle w:val="SingleTxtG"/>
        <w:spacing w:line="238" w:lineRule="atLeast"/>
        <w:rPr>
          <w:lang w:val="fr-FR"/>
        </w:rPr>
      </w:pPr>
      <w:r w:rsidRPr="00711EE7">
        <w:rPr>
          <w:lang w:val="fr-FR"/>
        </w:rPr>
        <w:t>2.2</w:t>
      </w:r>
      <w:r w:rsidRPr="00711EE7">
        <w:rPr>
          <w:lang w:val="fr-FR"/>
        </w:rPr>
        <w:tab/>
        <w:t xml:space="preserve">À une date non précisée, </w:t>
      </w:r>
      <w:r>
        <w:rPr>
          <w:lang w:val="fr-FR"/>
        </w:rPr>
        <w:t>L. R. R.</w:t>
      </w:r>
      <w:r w:rsidRPr="00711EE7">
        <w:rPr>
          <w:lang w:val="fr-FR"/>
        </w:rPr>
        <w:t xml:space="preserve"> a refait sa vie et commencé à empêcher tout contact entre l</w:t>
      </w:r>
      <w:r w:rsidR="008B740A">
        <w:rPr>
          <w:lang w:val="fr-FR"/>
        </w:rPr>
        <w:t>’</w:t>
      </w:r>
      <w:r w:rsidRPr="00711EE7">
        <w:rPr>
          <w:lang w:val="fr-FR"/>
        </w:rPr>
        <w:t>auteur et sa fille. Il explique qu</w:t>
      </w:r>
      <w:r w:rsidR="008B740A">
        <w:rPr>
          <w:lang w:val="fr-FR"/>
        </w:rPr>
        <w:t>’</w:t>
      </w:r>
      <w:r w:rsidRPr="00711EE7">
        <w:rPr>
          <w:lang w:val="fr-FR"/>
        </w:rPr>
        <w:t>à cause de l</w:t>
      </w:r>
      <w:r w:rsidR="008B740A">
        <w:rPr>
          <w:lang w:val="fr-FR"/>
        </w:rPr>
        <w:t>’</w:t>
      </w:r>
      <w:r w:rsidRPr="00711EE7">
        <w:rPr>
          <w:lang w:val="fr-FR"/>
        </w:rPr>
        <w:t>intransigeance de son ex</w:t>
      </w:r>
      <w:r>
        <w:rPr>
          <w:lang w:val="fr-FR"/>
        </w:rPr>
        <w:noBreakHyphen/>
      </w:r>
      <w:r w:rsidRPr="00711EE7">
        <w:rPr>
          <w:lang w:val="fr-FR"/>
        </w:rPr>
        <w:t>compagne, il n</w:t>
      </w:r>
      <w:r w:rsidR="008B740A">
        <w:rPr>
          <w:lang w:val="fr-FR"/>
        </w:rPr>
        <w:t>’</w:t>
      </w:r>
      <w:r w:rsidRPr="00711EE7">
        <w:rPr>
          <w:lang w:val="fr-FR"/>
        </w:rPr>
        <w:t>a pas pu rester régulièrement en contact avec sa fille.</w:t>
      </w:r>
    </w:p>
    <w:p w:rsidR="007E2A0F" w:rsidRPr="00711EE7" w:rsidRDefault="007E2A0F" w:rsidP="007E2A0F">
      <w:pPr>
        <w:pStyle w:val="SingleTxtG"/>
        <w:spacing w:line="238" w:lineRule="atLeast"/>
        <w:rPr>
          <w:lang w:val="fr-FR"/>
        </w:rPr>
      </w:pPr>
      <w:r w:rsidRPr="00711EE7">
        <w:rPr>
          <w:lang w:val="fr-FR"/>
        </w:rPr>
        <w:t>2.3</w:t>
      </w:r>
      <w:r w:rsidRPr="00711EE7">
        <w:rPr>
          <w:lang w:val="fr-FR"/>
        </w:rPr>
        <w:tab/>
        <w:t>Le 16 février 2015, l</w:t>
      </w:r>
      <w:r w:rsidR="008B740A">
        <w:rPr>
          <w:lang w:val="fr-FR"/>
        </w:rPr>
        <w:t>’</w:t>
      </w:r>
      <w:r w:rsidRPr="00711EE7">
        <w:rPr>
          <w:lang w:val="fr-FR"/>
        </w:rPr>
        <w:t>auteur a adressé une demande de</w:t>
      </w:r>
      <w:r w:rsidR="00BE3F07">
        <w:rPr>
          <w:lang w:val="fr-FR"/>
        </w:rPr>
        <w:t xml:space="preserve"> </w:t>
      </w:r>
      <w:r w:rsidRPr="00711EE7">
        <w:rPr>
          <w:lang w:val="fr-FR"/>
        </w:rPr>
        <w:t>« régime de maintien des relations</w:t>
      </w:r>
      <w:r>
        <w:rPr>
          <w:lang w:val="fr-FR"/>
        </w:rPr>
        <w:t> </w:t>
      </w:r>
      <w:r w:rsidRPr="00711EE7">
        <w:rPr>
          <w:lang w:val="fr-FR"/>
        </w:rPr>
        <w:t>» au secrétariat n</w:t>
      </w:r>
      <w:r w:rsidRPr="00711EE7">
        <w:rPr>
          <w:vertAlign w:val="superscript"/>
          <w:lang w:val="fr-FR"/>
        </w:rPr>
        <w:t>o</w:t>
      </w:r>
      <w:r w:rsidRPr="00711EE7">
        <w:rPr>
          <w:lang w:val="fr-FR"/>
        </w:rPr>
        <w:t> 7 du Tribunal pour enfants et adolescents du quatrième district d</w:t>
      </w:r>
      <w:r w:rsidR="008B740A">
        <w:rPr>
          <w:lang w:val="fr-FR"/>
        </w:rPr>
        <w:t>’</w:t>
      </w:r>
      <w:r w:rsidRPr="00711EE7">
        <w:rPr>
          <w:lang w:val="fr-FR"/>
        </w:rPr>
        <w:t xml:space="preserve">Asunción. Il demandait </w:t>
      </w:r>
      <w:r>
        <w:rPr>
          <w:lang w:val="fr-FR"/>
        </w:rPr>
        <w:t xml:space="preserve">que sa fille puisse </w:t>
      </w:r>
      <w:r w:rsidRPr="00711EE7">
        <w:rPr>
          <w:lang w:val="fr-FR"/>
        </w:rPr>
        <w:t xml:space="preserve">avoir des contacts téléphoniques avec </w:t>
      </w:r>
      <w:r>
        <w:rPr>
          <w:lang w:val="fr-FR"/>
        </w:rPr>
        <w:t xml:space="preserve">lui </w:t>
      </w:r>
      <w:r w:rsidRPr="00711EE7">
        <w:rPr>
          <w:lang w:val="fr-FR"/>
        </w:rPr>
        <w:t>et venir lui rendre visite en Argentine, voyages qu</w:t>
      </w:r>
      <w:r w:rsidR="008B740A">
        <w:rPr>
          <w:lang w:val="fr-FR"/>
        </w:rPr>
        <w:t>’</w:t>
      </w:r>
      <w:r w:rsidRPr="00711EE7">
        <w:rPr>
          <w:lang w:val="fr-FR"/>
        </w:rPr>
        <w:t>il s</w:t>
      </w:r>
      <w:r w:rsidR="008B740A">
        <w:rPr>
          <w:lang w:val="fr-FR"/>
        </w:rPr>
        <w:t>’</w:t>
      </w:r>
      <w:r w:rsidRPr="00711EE7">
        <w:rPr>
          <w:lang w:val="fr-FR"/>
        </w:rPr>
        <w:t>engageait à prendre à sa charge</w:t>
      </w:r>
      <w:r w:rsidRPr="00A122C5">
        <w:rPr>
          <w:rStyle w:val="Appelnotedebasdep"/>
        </w:rPr>
        <w:footnoteReference w:id="4"/>
      </w:r>
      <w:r w:rsidRPr="00711EE7">
        <w:rPr>
          <w:lang w:val="fr-FR"/>
        </w:rPr>
        <w:t>.</w:t>
      </w:r>
    </w:p>
    <w:p w:rsidR="007E2A0F" w:rsidRPr="00711EE7" w:rsidRDefault="007E2A0F" w:rsidP="007E2A0F">
      <w:pPr>
        <w:pStyle w:val="SingleTxtG"/>
        <w:spacing w:line="238" w:lineRule="atLeast"/>
        <w:rPr>
          <w:lang w:val="fr-FR"/>
        </w:rPr>
      </w:pPr>
      <w:r w:rsidRPr="00711EE7">
        <w:rPr>
          <w:lang w:val="fr-FR"/>
        </w:rPr>
        <w:t>2.4</w:t>
      </w:r>
      <w:r w:rsidRPr="00711EE7">
        <w:rPr>
          <w:lang w:val="fr-FR"/>
        </w:rPr>
        <w:tab/>
      </w:r>
      <w:r w:rsidRPr="00902F94">
        <w:rPr>
          <w:spacing w:val="-2"/>
          <w:lang w:val="fr-FR"/>
        </w:rPr>
        <w:t xml:space="preserve">Le 12 mars 2015, L. R. R. a répondu </w:t>
      </w:r>
      <w:r>
        <w:rPr>
          <w:spacing w:val="-2"/>
          <w:lang w:val="fr-FR"/>
        </w:rPr>
        <w:t>à</w:t>
      </w:r>
      <w:r w:rsidRPr="00902F94">
        <w:rPr>
          <w:spacing w:val="-2"/>
          <w:lang w:val="fr-FR"/>
        </w:rPr>
        <w:t xml:space="preserve"> cette demande en disant clairement que, l</w:t>
      </w:r>
      <w:r w:rsidR="008B740A">
        <w:rPr>
          <w:spacing w:val="-2"/>
          <w:lang w:val="fr-FR"/>
        </w:rPr>
        <w:t>’</w:t>
      </w:r>
      <w:r w:rsidRPr="00902F94">
        <w:rPr>
          <w:spacing w:val="-2"/>
          <w:lang w:val="fr-FR"/>
        </w:rPr>
        <w:t xml:space="preserve">auteur </w:t>
      </w:r>
      <w:r>
        <w:rPr>
          <w:spacing w:val="-2"/>
          <w:lang w:val="fr-FR"/>
        </w:rPr>
        <w:t xml:space="preserve">refusant </w:t>
      </w:r>
      <w:r w:rsidRPr="00902F94">
        <w:rPr>
          <w:spacing w:val="-2"/>
          <w:lang w:val="fr-FR"/>
        </w:rPr>
        <w:t>d</w:t>
      </w:r>
      <w:r w:rsidR="008B740A">
        <w:rPr>
          <w:spacing w:val="-2"/>
          <w:lang w:val="fr-FR"/>
        </w:rPr>
        <w:t>’</w:t>
      </w:r>
      <w:r w:rsidRPr="00902F94">
        <w:rPr>
          <w:spacing w:val="-2"/>
          <w:lang w:val="fr-FR"/>
        </w:rPr>
        <w:t>accepter une proposition de majoration de la pension alimentaire, « puisqu</w:t>
      </w:r>
      <w:r w:rsidR="008B740A">
        <w:rPr>
          <w:spacing w:val="-2"/>
          <w:lang w:val="fr-FR"/>
        </w:rPr>
        <w:t>’</w:t>
      </w:r>
      <w:r w:rsidRPr="00902F94">
        <w:rPr>
          <w:spacing w:val="-2"/>
          <w:lang w:val="fr-FR"/>
        </w:rPr>
        <w:t>il n</w:t>
      </w:r>
      <w:r w:rsidR="008B740A">
        <w:rPr>
          <w:spacing w:val="-2"/>
          <w:lang w:val="fr-FR"/>
        </w:rPr>
        <w:t>’</w:t>
      </w:r>
      <w:r w:rsidRPr="00902F94">
        <w:rPr>
          <w:spacing w:val="-2"/>
          <w:lang w:val="fr-FR"/>
        </w:rPr>
        <w:t>y a pas d</w:t>
      </w:r>
      <w:r w:rsidR="008B740A">
        <w:rPr>
          <w:spacing w:val="-2"/>
          <w:lang w:val="fr-FR"/>
        </w:rPr>
        <w:t>’</w:t>
      </w:r>
      <w:r w:rsidRPr="00902F94">
        <w:rPr>
          <w:spacing w:val="-2"/>
          <w:lang w:val="fr-FR"/>
        </w:rPr>
        <w:t>accord, tu n</w:t>
      </w:r>
      <w:r w:rsidR="008B740A">
        <w:rPr>
          <w:spacing w:val="-2"/>
          <w:lang w:val="fr-FR"/>
        </w:rPr>
        <w:t>’</w:t>
      </w:r>
      <w:r w:rsidRPr="00902F94">
        <w:rPr>
          <w:spacing w:val="-2"/>
          <w:lang w:val="fr-FR"/>
        </w:rPr>
        <w:t>auras plus aucun contact et aucune communication avec l</w:t>
      </w:r>
      <w:r w:rsidR="008B740A">
        <w:rPr>
          <w:spacing w:val="-2"/>
          <w:lang w:val="fr-FR"/>
        </w:rPr>
        <w:t>’</w:t>
      </w:r>
      <w:r w:rsidRPr="00902F94">
        <w:rPr>
          <w:spacing w:val="-2"/>
          <w:lang w:val="fr-FR"/>
        </w:rPr>
        <w:t>enfant parce que telle est notre volonté ». L</w:t>
      </w:r>
      <w:r w:rsidR="008B740A">
        <w:rPr>
          <w:spacing w:val="-2"/>
          <w:lang w:val="fr-FR"/>
        </w:rPr>
        <w:t>’</w:t>
      </w:r>
      <w:r w:rsidRPr="00902F94">
        <w:rPr>
          <w:spacing w:val="-2"/>
          <w:lang w:val="fr-FR"/>
        </w:rPr>
        <w:t>auteur explique que, par le passé, à une date non précisée, il avait reçu une demande de « pension alimentaire » et que la raison pour laquelle on lui refusait tout contact avec sa fille était que le montant de la pension alimentaire qu</w:t>
      </w:r>
      <w:r w:rsidR="008B740A">
        <w:rPr>
          <w:spacing w:val="-2"/>
          <w:lang w:val="fr-FR"/>
        </w:rPr>
        <w:t>’</w:t>
      </w:r>
      <w:r w:rsidRPr="00902F94">
        <w:rPr>
          <w:spacing w:val="-2"/>
          <w:lang w:val="fr-FR"/>
        </w:rPr>
        <w:t>il versait était trop peu élevé selon la mère de l</w:t>
      </w:r>
      <w:r w:rsidR="008B740A">
        <w:rPr>
          <w:spacing w:val="-2"/>
          <w:lang w:val="fr-FR"/>
        </w:rPr>
        <w:t>’</w:t>
      </w:r>
      <w:r w:rsidRPr="00902F94">
        <w:rPr>
          <w:spacing w:val="-2"/>
          <w:lang w:val="fr-FR"/>
        </w:rPr>
        <w:t>enfant</w:t>
      </w:r>
      <w:r w:rsidRPr="00711EE7">
        <w:rPr>
          <w:lang w:val="fr-FR"/>
        </w:rPr>
        <w:t>.</w:t>
      </w:r>
    </w:p>
    <w:p w:rsidR="007E2A0F" w:rsidRPr="00711EE7" w:rsidRDefault="007E2A0F" w:rsidP="007E2A0F">
      <w:pPr>
        <w:pStyle w:val="SingleTxtG"/>
        <w:spacing w:line="238" w:lineRule="atLeast"/>
        <w:rPr>
          <w:lang w:val="fr-FR"/>
        </w:rPr>
      </w:pPr>
      <w:r w:rsidRPr="00711EE7">
        <w:rPr>
          <w:lang w:val="fr-FR"/>
        </w:rPr>
        <w:t>2.5</w:t>
      </w:r>
      <w:r w:rsidRPr="00711EE7">
        <w:rPr>
          <w:lang w:val="fr-FR"/>
        </w:rPr>
        <w:tab/>
        <w:t>Le 14 avril</w:t>
      </w:r>
      <w:r w:rsidR="00BE3F07">
        <w:rPr>
          <w:lang w:val="fr-FR"/>
        </w:rPr>
        <w:t> </w:t>
      </w:r>
      <w:r w:rsidRPr="00711EE7">
        <w:rPr>
          <w:lang w:val="fr-FR"/>
        </w:rPr>
        <w:t>2015, une audience a eu lieu et les parties sont convenues de ce qui suit</w:t>
      </w:r>
      <w:r>
        <w:rPr>
          <w:lang w:val="fr-FR"/>
        </w:rPr>
        <w:t> :</w:t>
      </w:r>
      <w:r w:rsidRPr="00711EE7">
        <w:rPr>
          <w:lang w:val="fr-FR"/>
        </w:rPr>
        <w:t xml:space="preserve"> a) l</w:t>
      </w:r>
      <w:r w:rsidR="008B740A">
        <w:rPr>
          <w:lang w:val="fr-FR"/>
        </w:rPr>
        <w:t>’</w:t>
      </w:r>
      <w:r w:rsidRPr="00711EE7">
        <w:rPr>
          <w:lang w:val="fr-FR"/>
        </w:rPr>
        <w:t>auteur pourrait communiquer par Skype avec sa fille les lundi</w:t>
      </w:r>
      <w:r>
        <w:rPr>
          <w:lang w:val="fr-FR"/>
        </w:rPr>
        <w:t>s</w:t>
      </w:r>
      <w:r w:rsidRPr="00711EE7">
        <w:rPr>
          <w:lang w:val="fr-FR"/>
        </w:rPr>
        <w:t>, mercredi</w:t>
      </w:r>
      <w:r>
        <w:rPr>
          <w:lang w:val="fr-FR"/>
        </w:rPr>
        <w:t>s</w:t>
      </w:r>
      <w:r w:rsidRPr="00711EE7">
        <w:rPr>
          <w:lang w:val="fr-FR"/>
        </w:rPr>
        <w:t xml:space="preserve"> et vendredi</w:t>
      </w:r>
      <w:r>
        <w:rPr>
          <w:lang w:val="fr-FR"/>
        </w:rPr>
        <w:t>s</w:t>
      </w:r>
      <w:r w:rsidRPr="00711EE7">
        <w:rPr>
          <w:lang w:val="fr-FR"/>
        </w:rPr>
        <w:t xml:space="preserve"> </w:t>
      </w:r>
      <w:r>
        <w:rPr>
          <w:lang w:val="fr-FR"/>
        </w:rPr>
        <w:t>de</w:t>
      </w:r>
      <w:r w:rsidRPr="00711EE7">
        <w:rPr>
          <w:lang w:val="fr-FR"/>
        </w:rPr>
        <w:t xml:space="preserve"> 18 h </w:t>
      </w:r>
      <w:r>
        <w:rPr>
          <w:lang w:val="fr-FR"/>
        </w:rPr>
        <w:t>à</w:t>
      </w:r>
      <w:r w:rsidRPr="00711EE7">
        <w:rPr>
          <w:lang w:val="fr-FR"/>
        </w:rPr>
        <w:t xml:space="preserve"> 19 h, l</w:t>
      </w:r>
      <w:r w:rsidR="008B740A">
        <w:rPr>
          <w:lang w:val="fr-FR"/>
        </w:rPr>
        <w:t>’</w:t>
      </w:r>
      <w:r w:rsidRPr="00711EE7">
        <w:rPr>
          <w:lang w:val="fr-FR"/>
        </w:rPr>
        <w:t>achat de l</w:t>
      </w:r>
      <w:r w:rsidR="008B740A">
        <w:rPr>
          <w:lang w:val="fr-FR"/>
        </w:rPr>
        <w:t>’</w:t>
      </w:r>
      <w:r w:rsidRPr="00711EE7">
        <w:rPr>
          <w:lang w:val="fr-FR"/>
        </w:rPr>
        <w:t>équipement nécessaire étant à sa charge</w:t>
      </w:r>
      <w:r>
        <w:rPr>
          <w:lang w:val="fr-FR"/>
        </w:rPr>
        <w:t> ;</w:t>
      </w:r>
      <w:r w:rsidRPr="00711EE7">
        <w:rPr>
          <w:lang w:val="fr-FR"/>
        </w:rPr>
        <w:t xml:space="preserve"> b) l</w:t>
      </w:r>
      <w:r w:rsidR="008B740A">
        <w:rPr>
          <w:lang w:val="fr-FR"/>
        </w:rPr>
        <w:t>’</w:t>
      </w:r>
      <w:r w:rsidRPr="00711EE7">
        <w:rPr>
          <w:lang w:val="fr-FR"/>
        </w:rPr>
        <w:t>enfant passerait sept jours avec l</w:t>
      </w:r>
      <w:r w:rsidR="008B740A">
        <w:rPr>
          <w:lang w:val="fr-FR"/>
        </w:rPr>
        <w:t>’</w:t>
      </w:r>
      <w:r w:rsidRPr="00711EE7">
        <w:rPr>
          <w:lang w:val="fr-FR"/>
        </w:rPr>
        <w:t>auteur en Argentine pendant les vacances d</w:t>
      </w:r>
      <w:r w:rsidR="008B740A">
        <w:rPr>
          <w:lang w:val="fr-FR"/>
        </w:rPr>
        <w:t>’</w:t>
      </w:r>
      <w:r w:rsidRPr="00711EE7">
        <w:rPr>
          <w:lang w:val="fr-FR"/>
        </w:rPr>
        <w:t>hiver et sept autres jours à l</w:t>
      </w:r>
      <w:r w:rsidR="008B740A">
        <w:rPr>
          <w:lang w:val="fr-FR"/>
        </w:rPr>
        <w:t>’</w:t>
      </w:r>
      <w:r w:rsidRPr="00711EE7">
        <w:rPr>
          <w:lang w:val="fr-FR"/>
        </w:rPr>
        <w:t>occasion de l</w:t>
      </w:r>
      <w:r w:rsidR="008B740A">
        <w:rPr>
          <w:lang w:val="fr-FR"/>
        </w:rPr>
        <w:t>’</w:t>
      </w:r>
      <w:r w:rsidRPr="00711EE7">
        <w:rPr>
          <w:lang w:val="fr-FR"/>
        </w:rPr>
        <w:t>anniversaire de l</w:t>
      </w:r>
      <w:r w:rsidR="008B740A">
        <w:rPr>
          <w:lang w:val="fr-FR"/>
        </w:rPr>
        <w:t>’</w:t>
      </w:r>
      <w:r w:rsidRPr="00711EE7">
        <w:rPr>
          <w:lang w:val="fr-FR"/>
        </w:rPr>
        <w:t>auteur (19 janvier), pendant les vacances d</w:t>
      </w:r>
      <w:r w:rsidR="008B740A">
        <w:rPr>
          <w:lang w:val="fr-FR"/>
        </w:rPr>
        <w:t>’</w:t>
      </w:r>
      <w:r w:rsidRPr="00711EE7">
        <w:rPr>
          <w:lang w:val="fr-FR"/>
        </w:rPr>
        <w:t>été</w:t>
      </w:r>
      <w:r>
        <w:rPr>
          <w:lang w:val="fr-FR"/>
        </w:rPr>
        <w:t> ;</w:t>
      </w:r>
      <w:r w:rsidRPr="00711EE7">
        <w:rPr>
          <w:lang w:val="fr-FR"/>
        </w:rPr>
        <w:t xml:space="preserve"> c) l</w:t>
      </w:r>
      <w:r w:rsidR="008B740A">
        <w:rPr>
          <w:lang w:val="fr-FR"/>
        </w:rPr>
        <w:t>’</w:t>
      </w:r>
      <w:r w:rsidRPr="00711EE7">
        <w:rPr>
          <w:lang w:val="fr-FR"/>
        </w:rPr>
        <w:t>auteur passerait un samedi par mois avec sa fille de 9 h à 18 h.</w:t>
      </w:r>
    </w:p>
    <w:p w:rsidR="007E2A0F" w:rsidRPr="00711EE7" w:rsidRDefault="007E2A0F" w:rsidP="007E2A0F">
      <w:pPr>
        <w:pStyle w:val="SingleTxtG"/>
        <w:spacing w:line="238" w:lineRule="atLeast"/>
        <w:rPr>
          <w:lang w:val="fr-FR"/>
        </w:rPr>
      </w:pPr>
      <w:r w:rsidRPr="00711EE7">
        <w:rPr>
          <w:lang w:val="fr-FR"/>
        </w:rPr>
        <w:t>2.6</w:t>
      </w:r>
      <w:r w:rsidRPr="00711EE7">
        <w:rPr>
          <w:lang w:val="fr-FR"/>
        </w:rPr>
        <w:tab/>
        <w:t>Le 30 avril 2015, le Tribunal a rendu le jugement définitif</w:t>
      </w:r>
      <w:r>
        <w:rPr>
          <w:lang w:val="fr-FR"/>
        </w:rPr>
        <w:t xml:space="preserve"> </w:t>
      </w:r>
      <w:r w:rsidRPr="00711EE7">
        <w:rPr>
          <w:lang w:val="fr-FR"/>
        </w:rPr>
        <w:t>SD</w:t>
      </w:r>
      <w:r>
        <w:rPr>
          <w:lang w:val="fr-FR"/>
        </w:rPr>
        <w:t xml:space="preserve"> </w:t>
      </w:r>
      <w:r w:rsidRPr="00440C4E">
        <w:rPr>
          <w:rFonts w:eastAsia="MS Mincho"/>
          <w:lang w:val="fr-FR"/>
        </w:rPr>
        <w:t>n</w:t>
      </w:r>
      <w:r w:rsidRPr="00440C4E">
        <w:rPr>
          <w:rFonts w:eastAsia="MS Mincho"/>
          <w:vertAlign w:val="superscript"/>
          <w:lang w:val="fr-FR"/>
        </w:rPr>
        <w:t>o</w:t>
      </w:r>
      <w:r>
        <w:rPr>
          <w:lang w:val="fr-FR"/>
        </w:rPr>
        <w:t> </w:t>
      </w:r>
      <w:r w:rsidRPr="00711EE7">
        <w:rPr>
          <w:lang w:val="fr-FR"/>
        </w:rPr>
        <w:t>139, dans lequel était énoncé le régime du droit de visite applicable</w:t>
      </w:r>
      <w:r w:rsidRPr="00A122C5">
        <w:rPr>
          <w:rStyle w:val="Appelnotedebasdep"/>
        </w:rPr>
        <w:footnoteReference w:id="5"/>
      </w:r>
      <w:r w:rsidRPr="00711EE7">
        <w:rPr>
          <w:lang w:val="fr-FR"/>
        </w:rPr>
        <w:t>. Dans sa requête, l</w:t>
      </w:r>
      <w:r w:rsidR="008B740A">
        <w:rPr>
          <w:lang w:val="fr-FR"/>
        </w:rPr>
        <w:t>’</w:t>
      </w:r>
      <w:r w:rsidRPr="00711EE7">
        <w:rPr>
          <w:lang w:val="fr-FR"/>
        </w:rPr>
        <w:t>auteur avait demandé que ce régime soit sous réserve des dispositions de l</w:t>
      </w:r>
      <w:r w:rsidR="008B740A">
        <w:rPr>
          <w:lang w:val="fr-FR"/>
        </w:rPr>
        <w:t>’</w:t>
      </w:r>
      <w:r w:rsidRPr="00711EE7">
        <w:rPr>
          <w:lang w:val="fr-FR"/>
        </w:rPr>
        <w:t>article</w:t>
      </w:r>
      <w:r w:rsidR="00AB4BCB">
        <w:rPr>
          <w:lang w:val="fr-FR"/>
        </w:rPr>
        <w:t xml:space="preserve"> </w:t>
      </w:r>
      <w:r w:rsidRPr="00711EE7">
        <w:rPr>
          <w:lang w:val="fr-FR"/>
        </w:rPr>
        <w:t>96 du Code de l</w:t>
      </w:r>
      <w:r w:rsidR="008B740A">
        <w:rPr>
          <w:lang w:val="fr-FR"/>
        </w:rPr>
        <w:t>’</w:t>
      </w:r>
      <w:r w:rsidRPr="00711EE7">
        <w:rPr>
          <w:lang w:val="fr-FR"/>
        </w:rPr>
        <w:t>enfance et de l</w:t>
      </w:r>
      <w:r w:rsidR="008B740A">
        <w:rPr>
          <w:lang w:val="fr-FR"/>
        </w:rPr>
        <w:t>’</w:t>
      </w:r>
      <w:r w:rsidRPr="00711EE7">
        <w:rPr>
          <w:lang w:val="fr-FR"/>
        </w:rPr>
        <w:t>adolescence</w:t>
      </w:r>
      <w:r w:rsidRPr="00A122C5">
        <w:rPr>
          <w:rStyle w:val="Appelnotedebasdep"/>
        </w:rPr>
        <w:footnoteReference w:id="6"/>
      </w:r>
      <w:r w:rsidRPr="00711EE7">
        <w:rPr>
          <w:lang w:val="fr-FR"/>
        </w:rPr>
        <w:t xml:space="preserve"> et de la loi </w:t>
      </w:r>
      <w:r w:rsidRPr="00972F66">
        <w:rPr>
          <w:rFonts w:eastAsia="MS Mincho"/>
          <w:lang w:val="fr-FR"/>
        </w:rPr>
        <w:t>n</w:t>
      </w:r>
      <w:r w:rsidRPr="00972F66">
        <w:rPr>
          <w:rFonts w:eastAsia="MS Mincho"/>
          <w:vertAlign w:val="superscript"/>
          <w:lang w:val="fr-FR"/>
        </w:rPr>
        <w:t>o</w:t>
      </w:r>
      <w:r>
        <w:rPr>
          <w:lang w:val="fr-FR"/>
        </w:rPr>
        <w:t> </w:t>
      </w:r>
      <w:r w:rsidRPr="00711EE7">
        <w:rPr>
          <w:lang w:val="fr-FR"/>
        </w:rPr>
        <w:t>4711</w:t>
      </w:r>
      <w:r w:rsidRPr="00A122C5">
        <w:rPr>
          <w:rStyle w:val="Appelnotedebasdep"/>
        </w:rPr>
        <w:footnoteReference w:id="7"/>
      </w:r>
      <w:r w:rsidRPr="00711EE7">
        <w:rPr>
          <w:lang w:val="fr-FR"/>
        </w:rPr>
        <w:t>. Il n</w:t>
      </w:r>
      <w:r w:rsidR="008B740A">
        <w:rPr>
          <w:lang w:val="fr-FR"/>
        </w:rPr>
        <w:t>’</w:t>
      </w:r>
      <w:r w:rsidRPr="00711EE7">
        <w:rPr>
          <w:lang w:val="fr-FR"/>
        </w:rPr>
        <w:t>a toutefois pas été fait droit à cette demande, raison pour laquelle le 11 juin 2015 il a formé un recours en explication, qui a été rejeté le 13 août 2015. Le 11 août 2016, le Tribunal d</w:t>
      </w:r>
      <w:r w:rsidR="008B740A">
        <w:rPr>
          <w:lang w:val="fr-FR"/>
        </w:rPr>
        <w:t>’</w:t>
      </w:r>
      <w:r w:rsidRPr="00711EE7">
        <w:rPr>
          <w:lang w:val="fr-FR"/>
        </w:rPr>
        <w:t>appel a débouté l</w:t>
      </w:r>
      <w:r w:rsidR="008B740A">
        <w:rPr>
          <w:lang w:val="fr-FR"/>
        </w:rPr>
        <w:t>’</w:t>
      </w:r>
      <w:r w:rsidRPr="00711EE7">
        <w:rPr>
          <w:lang w:val="fr-FR"/>
        </w:rPr>
        <w:t>auteur, qui avait fait appel de cette décision</w:t>
      </w:r>
      <w:r w:rsidRPr="00A122C5">
        <w:rPr>
          <w:rStyle w:val="Appelnotedebasdep"/>
        </w:rPr>
        <w:footnoteReference w:id="8"/>
      </w:r>
      <w:r w:rsidRPr="00711EE7">
        <w:rPr>
          <w:lang w:val="fr-FR"/>
        </w:rPr>
        <w:t>.</w:t>
      </w:r>
    </w:p>
    <w:p w:rsidR="007E2A0F" w:rsidRPr="00711EE7" w:rsidRDefault="007E2A0F" w:rsidP="007E2A0F">
      <w:pPr>
        <w:pStyle w:val="SingleTxtG"/>
        <w:spacing w:after="100" w:line="236" w:lineRule="atLeast"/>
        <w:rPr>
          <w:lang w:val="fr-FR"/>
        </w:rPr>
      </w:pPr>
      <w:r w:rsidRPr="00711EE7">
        <w:rPr>
          <w:lang w:val="fr-FR"/>
        </w:rPr>
        <w:t>2.7</w:t>
      </w:r>
      <w:r w:rsidRPr="00711EE7">
        <w:rPr>
          <w:lang w:val="fr-FR"/>
        </w:rPr>
        <w:tab/>
        <w:t>Le 5 octobre 2015, l</w:t>
      </w:r>
      <w:r w:rsidR="008B740A">
        <w:rPr>
          <w:lang w:val="fr-FR"/>
        </w:rPr>
        <w:t>’</w:t>
      </w:r>
      <w:r w:rsidRPr="00711EE7">
        <w:rPr>
          <w:lang w:val="fr-FR"/>
        </w:rPr>
        <w:t xml:space="preserve">auteur a déposé une demande tendant à rendre exécutoire le jugement en question. Depuis lors, </w:t>
      </w:r>
      <w:r>
        <w:rPr>
          <w:lang w:val="fr-FR"/>
        </w:rPr>
        <w:t>il</w:t>
      </w:r>
      <w:r w:rsidRPr="00711EE7">
        <w:rPr>
          <w:lang w:val="fr-FR"/>
        </w:rPr>
        <w:t xml:space="preserve"> s</w:t>
      </w:r>
      <w:r w:rsidR="008B740A">
        <w:rPr>
          <w:lang w:val="fr-FR"/>
        </w:rPr>
        <w:t>’</w:t>
      </w:r>
      <w:r w:rsidRPr="00711EE7">
        <w:rPr>
          <w:lang w:val="fr-FR"/>
        </w:rPr>
        <w:t>est plaint de la non-exécution du jugement et a demandé l</w:t>
      </w:r>
      <w:r w:rsidR="008B740A">
        <w:rPr>
          <w:lang w:val="fr-FR"/>
        </w:rPr>
        <w:t>’</w:t>
      </w:r>
      <w:r w:rsidRPr="00711EE7">
        <w:rPr>
          <w:lang w:val="fr-FR"/>
        </w:rPr>
        <w:t>application de l</w:t>
      </w:r>
      <w:r w:rsidR="008B740A">
        <w:rPr>
          <w:lang w:val="fr-FR"/>
        </w:rPr>
        <w:t>’</w:t>
      </w:r>
      <w:r w:rsidRPr="00711EE7">
        <w:rPr>
          <w:lang w:val="fr-FR"/>
        </w:rPr>
        <w:t>article 96 du Code de l</w:t>
      </w:r>
      <w:r w:rsidR="008B740A">
        <w:rPr>
          <w:lang w:val="fr-FR"/>
        </w:rPr>
        <w:t>’</w:t>
      </w:r>
      <w:r w:rsidRPr="00711EE7">
        <w:rPr>
          <w:lang w:val="fr-FR"/>
        </w:rPr>
        <w:t>enfance et de l</w:t>
      </w:r>
      <w:r w:rsidR="008B740A">
        <w:rPr>
          <w:lang w:val="fr-FR"/>
        </w:rPr>
        <w:t>’</w:t>
      </w:r>
      <w:r w:rsidRPr="00711EE7">
        <w:rPr>
          <w:lang w:val="fr-FR"/>
        </w:rPr>
        <w:t xml:space="preserve">adolescence, de </w:t>
      </w:r>
      <w:r w:rsidRPr="00711EE7">
        <w:rPr>
          <w:lang w:val="fr-FR"/>
        </w:rPr>
        <w:lastRenderedPageBreak/>
        <w:t>l</w:t>
      </w:r>
      <w:r w:rsidR="008B740A">
        <w:rPr>
          <w:lang w:val="fr-FR"/>
        </w:rPr>
        <w:t>’</w:t>
      </w:r>
      <w:r w:rsidRPr="00711EE7">
        <w:rPr>
          <w:lang w:val="fr-FR"/>
        </w:rPr>
        <w:t>article 236 du Code de l</w:t>
      </w:r>
      <w:r w:rsidR="008B740A">
        <w:rPr>
          <w:lang w:val="fr-FR"/>
        </w:rPr>
        <w:t>’</w:t>
      </w:r>
      <w:r w:rsidRPr="00711EE7">
        <w:rPr>
          <w:lang w:val="fr-FR"/>
        </w:rPr>
        <w:t>organisation judiciaire</w:t>
      </w:r>
      <w:r w:rsidRPr="00A122C5">
        <w:rPr>
          <w:rStyle w:val="Appelnotedebasdep"/>
        </w:rPr>
        <w:footnoteReference w:id="9"/>
      </w:r>
      <w:r w:rsidRPr="00711EE7">
        <w:rPr>
          <w:lang w:val="fr-FR"/>
        </w:rPr>
        <w:t xml:space="preserve"> et de </w:t>
      </w:r>
      <w:r w:rsidRPr="00975522">
        <w:rPr>
          <w:lang w:val="fr-FR"/>
        </w:rPr>
        <w:t xml:space="preserve">la loi </w:t>
      </w:r>
      <w:r w:rsidRPr="00975522">
        <w:rPr>
          <w:rFonts w:eastAsia="MS Mincho"/>
          <w:lang w:val="fr-FR"/>
        </w:rPr>
        <w:t>n</w:t>
      </w:r>
      <w:r w:rsidRPr="00975522">
        <w:rPr>
          <w:rFonts w:eastAsia="MS Mincho"/>
          <w:vertAlign w:val="superscript"/>
          <w:lang w:val="fr-FR"/>
        </w:rPr>
        <w:t>o</w:t>
      </w:r>
      <w:r w:rsidRPr="00975522">
        <w:rPr>
          <w:lang w:val="fr-FR"/>
        </w:rPr>
        <w:t> 4711/2012</w:t>
      </w:r>
      <w:r w:rsidRPr="00711EE7">
        <w:rPr>
          <w:lang w:val="fr-FR"/>
        </w:rPr>
        <w:t>, devant le Tribunal pour enfants et adolescents, le 14 décembre 2015</w:t>
      </w:r>
      <w:r>
        <w:rPr>
          <w:lang w:val="fr-FR"/>
        </w:rPr>
        <w:t xml:space="preserve"> et les</w:t>
      </w:r>
      <w:r w:rsidRPr="00711EE7">
        <w:rPr>
          <w:lang w:val="fr-FR"/>
        </w:rPr>
        <w:t xml:space="preserve"> 6 et 12 janvier 2016. Il a déposé plainte pour retard dans l</w:t>
      </w:r>
      <w:r w:rsidR="008B740A">
        <w:rPr>
          <w:lang w:val="fr-FR"/>
        </w:rPr>
        <w:t>’</w:t>
      </w:r>
      <w:r w:rsidRPr="00711EE7">
        <w:rPr>
          <w:lang w:val="fr-FR"/>
        </w:rPr>
        <w:t>administration de la justice les 29 avril 2015 et 24 février 2016</w:t>
      </w:r>
      <w:r w:rsidRPr="00A122C5">
        <w:rPr>
          <w:rStyle w:val="Appelnotedebasdep"/>
        </w:rPr>
        <w:footnoteReference w:id="10"/>
      </w:r>
      <w:r w:rsidRPr="00711EE7">
        <w:rPr>
          <w:lang w:val="fr-FR"/>
        </w:rPr>
        <w:t>. Il a également demandé aux tribunaux de l</w:t>
      </w:r>
      <w:r w:rsidR="008B740A">
        <w:rPr>
          <w:lang w:val="fr-FR"/>
        </w:rPr>
        <w:t>’</w:t>
      </w:r>
      <w:r w:rsidRPr="00711EE7">
        <w:rPr>
          <w:lang w:val="fr-FR"/>
        </w:rPr>
        <w:t>État partie d</w:t>
      </w:r>
      <w:r w:rsidR="008B740A">
        <w:rPr>
          <w:lang w:val="fr-FR"/>
        </w:rPr>
        <w:t>’</w:t>
      </w:r>
      <w:r w:rsidRPr="00711EE7">
        <w:rPr>
          <w:lang w:val="fr-FR"/>
        </w:rPr>
        <w:t>adopter des mesures provisoires les 22 avril 2015, 29 avril 2015 et 6 janvier 2016, sans jamais obtenir de réponse</w:t>
      </w:r>
      <w:r w:rsidRPr="00A122C5">
        <w:rPr>
          <w:rStyle w:val="Appelnotedebasdep"/>
        </w:rPr>
        <w:footnoteReference w:id="11"/>
      </w:r>
      <w:r w:rsidRPr="00711EE7">
        <w:rPr>
          <w:lang w:val="fr-FR"/>
        </w:rPr>
        <w:t xml:space="preserve">. </w:t>
      </w:r>
      <w:bookmarkStart w:id="2" w:name="_Hlk26516321"/>
      <w:r>
        <w:rPr>
          <w:lang w:val="fr-FR"/>
        </w:rPr>
        <w:t>Il</w:t>
      </w:r>
      <w:r w:rsidRPr="00711EE7">
        <w:rPr>
          <w:lang w:val="fr-FR"/>
        </w:rPr>
        <w:t xml:space="preserve"> explique que sa demande de mesures provisoires n</w:t>
      </w:r>
      <w:r w:rsidR="008B740A">
        <w:rPr>
          <w:lang w:val="fr-FR"/>
        </w:rPr>
        <w:t>’</w:t>
      </w:r>
      <w:r w:rsidRPr="00711EE7">
        <w:rPr>
          <w:lang w:val="fr-FR"/>
        </w:rPr>
        <w:t>a été examinée par aucune instance du système judiciaire paraguayen.</w:t>
      </w:r>
    </w:p>
    <w:bookmarkEnd w:id="2"/>
    <w:p w:rsidR="007E2A0F" w:rsidRPr="00711EE7" w:rsidRDefault="007E2A0F" w:rsidP="007E2A0F">
      <w:pPr>
        <w:pStyle w:val="SingleTxtG"/>
        <w:spacing w:after="100" w:line="236" w:lineRule="atLeast"/>
        <w:rPr>
          <w:lang w:val="fr-FR"/>
        </w:rPr>
      </w:pPr>
      <w:r w:rsidRPr="00711EE7">
        <w:rPr>
          <w:lang w:val="fr-FR"/>
        </w:rPr>
        <w:t>2.8</w:t>
      </w:r>
      <w:r w:rsidRPr="00711EE7">
        <w:rPr>
          <w:lang w:val="fr-FR"/>
        </w:rPr>
        <w:tab/>
        <w:t>Le 30 mars 2016, le Tribunal d</w:t>
      </w:r>
      <w:r w:rsidR="008B740A">
        <w:rPr>
          <w:lang w:val="fr-FR"/>
        </w:rPr>
        <w:t>’</w:t>
      </w:r>
      <w:r w:rsidRPr="00711EE7">
        <w:rPr>
          <w:lang w:val="fr-FR"/>
        </w:rPr>
        <w:t>appel, par décision interlocutoire</w:t>
      </w:r>
      <w:r>
        <w:rPr>
          <w:lang w:val="fr-FR"/>
        </w:rPr>
        <w:t xml:space="preserve"> </w:t>
      </w:r>
      <w:r w:rsidRPr="00711EE7">
        <w:rPr>
          <w:lang w:val="fr-FR"/>
        </w:rPr>
        <w:t>AI</w:t>
      </w:r>
      <w:r>
        <w:rPr>
          <w:lang w:val="fr-FR"/>
        </w:rPr>
        <w:t xml:space="preserve"> </w:t>
      </w:r>
      <w:r w:rsidRPr="00440C4E">
        <w:rPr>
          <w:rFonts w:eastAsia="MS Mincho"/>
          <w:lang w:val="fr-FR"/>
        </w:rPr>
        <w:t>n</w:t>
      </w:r>
      <w:r w:rsidRPr="00440C4E">
        <w:rPr>
          <w:rFonts w:eastAsia="MS Mincho"/>
          <w:vertAlign w:val="superscript"/>
          <w:lang w:val="fr-FR"/>
        </w:rPr>
        <w:t>o</w:t>
      </w:r>
      <w:r>
        <w:rPr>
          <w:lang w:val="fr-FR"/>
        </w:rPr>
        <w:t> </w:t>
      </w:r>
      <w:r w:rsidRPr="00711EE7">
        <w:rPr>
          <w:lang w:val="fr-FR"/>
        </w:rPr>
        <w:t>64, a accepté la plainte pour retard dans l</w:t>
      </w:r>
      <w:r w:rsidR="008B740A">
        <w:rPr>
          <w:lang w:val="fr-FR"/>
        </w:rPr>
        <w:t>’</w:t>
      </w:r>
      <w:r w:rsidRPr="00711EE7">
        <w:rPr>
          <w:lang w:val="fr-FR"/>
        </w:rPr>
        <w:t>administration de la justice et chargé le Tribunal de première instance de rendre une ordonnance exigeant l</w:t>
      </w:r>
      <w:r w:rsidR="008B740A">
        <w:rPr>
          <w:lang w:val="fr-FR"/>
        </w:rPr>
        <w:t>’</w:t>
      </w:r>
      <w:r w:rsidRPr="00711EE7">
        <w:rPr>
          <w:lang w:val="fr-FR"/>
        </w:rPr>
        <w:t xml:space="preserve">exécution du jugement dans les </w:t>
      </w:r>
      <w:r>
        <w:rPr>
          <w:lang w:val="fr-FR"/>
        </w:rPr>
        <w:t>soixante</w:t>
      </w:r>
      <w:r>
        <w:rPr>
          <w:lang w:val="fr-FR"/>
        </w:rPr>
        <w:noBreakHyphen/>
        <w:t xml:space="preserve">douze </w:t>
      </w:r>
      <w:r w:rsidRPr="00711EE7">
        <w:rPr>
          <w:lang w:val="fr-FR"/>
        </w:rPr>
        <w:t>heures suivant la notification de la décision. Le 7 avril 2016, par décision interlocutoire</w:t>
      </w:r>
      <w:r>
        <w:rPr>
          <w:lang w:val="fr-FR"/>
        </w:rPr>
        <w:t xml:space="preserve"> </w:t>
      </w:r>
      <w:r w:rsidRPr="00711EE7">
        <w:rPr>
          <w:lang w:val="fr-FR"/>
        </w:rPr>
        <w:t>AI</w:t>
      </w:r>
      <w:r>
        <w:rPr>
          <w:lang w:val="fr-FR"/>
        </w:rPr>
        <w:t xml:space="preserve"> </w:t>
      </w:r>
      <w:r w:rsidRPr="00440C4E">
        <w:rPr>
          <w:rFonts w:eastAsia="MS Mincho"/>
          <w:lang w:val="fr-FR"/>
        </w:rPr>
        <w:t>n</w:t>
      </w:r>
      <w:r w:rsidRPr="00440C4E">
        <w:rPr>
          <w:rFonts w:eastAsia="MS Mincho"/>
          <w:vertAlign w:val="superscript"/>
          <w:lang w:val="fr-FR"/>
        </w:rPr>
        <w:t>o</w:t>
      </w:r>
      <w:r>
        <w:rPr>
          <w:lang w:val="fr-FR"/>
        </w:rPr>
        <w:t> </w:t>
      </w:r>
      <w:r w:rsidRPr="00711EE7">
        <w:rPr>
          <w:lang w:val="fr-FR"/>
        </w:rPr>
        <w:t>66, le Tribunal pour enfants et adolescents a de nouveau demandé l</w:t>
      </w:r>
      <w:r w:rsidR="008B740A">
        <w:rPr>
          <w:lang w:val="fr-FR"/>
        </w:rPr>
        <w:t>’</w:t>
      </w:r>
      <w:r w:rsidRPr="00711EE7">
        <w:rPr>
          <w:lang w:val="fr-FR"/>
        </w:rPr>
        <w:t>exécution du régime de maintien des relations, sa décision devant être notifiée à la défenderesse</w:t>
      </w:r>
      <w:r w:rsidRPr="00711EE7">
        <w:rPr>
          <w:color w:val="FF0000"/>
          <w:lang w:val="fr-FR"/>
        </w:rPr>
        <w:t xml:space="preserve"> </w:t>
      </w:r>
      <w:r w:rsidRPr="00711EE7">
        <w:rPr>
          <w:lang w:val="fr-FR"/>
        </w:rPr>
        <w:t>dans les trois jours. En mai 2016, par décision interlocutoire</w:t>
      </w:r>
      <w:r>
        <w:rPr>
          <w:lang w:val="fr-FR"/>
        </w:rPr>
        <w:t xml:space="preserve"> </w:t>
      </w:r>
      <w:r w:rsidRPr="00711EE7">
        <w:rPr>
          <w:lang w:val="fr-FR"/>
        </w:rPr>
        <w:t>AI</w:t>
      </w:r>
      <w:r>
        <w:rPr>
          <w:lang w:val="fr-FR"/>
        </w:rPr>
        <w:t xml:space="preserve"> </w:t>
      </w:r>
      <w:r w:rsidRPr="00440C4E">
        <w:rPr>
          <w:rFonts w:eastAsia="MS Mincho"/>
          <w:lang w:val="fr-FR"/>
        </w:rPr>
        <w:t>n</w:t>
      </w:r>
      <w:r w:rsidRPr="00440C4E">
        <w:rPr>
          <w:rFonts w:eastAsia="MS Mincho"/>
          <w:vertAlign w:val="superscript"/>
          <w:lang w:val="fr-FR"/>
        </w:rPr>
        <w:t>o</w:t>
      </w:r>
      <w:r>
        <w:rPr>
          <w:lang w:val="fr-FR"/>
        </w:rPr>
        <w:t> </w:t>
      </w:r>
      <w:r w:rsidRPr="00711EE7">
        <w:rPr>
          <w:lang w:val="fr-FR"/>
        </w:rPr>
        <w:t>128, le Tribunal a ordonné l</w:t>
      </w:r>
      <w:r w:rsidR="008B740A">
        <w:rPr>
          <w:lang w:val="fr-FR"/>
        </w:rPr>
        <w:t>’</w:t>
      </w:r>
      <w:r w:rsidRPr="00711EE7">
        <w:rPr>
          <w:lang w:val="fr-FR"/>
        </w:rPr>
        <w:t>exécution du jugement et décidé d</w:t>
      </w:r>
      <w:r w:rsidR="008B740A">
        <w:rPr>
          <w:lang w:val="fr-FR"/>
        </w:rPr>
        <w:t>’</w:t>
      </w:r>
      <w:r w:rsidRPr="00711EE7">
        <w:rPr>
          <w:lang w:val="fr-FR"/>
        </w:rPr>
        <w:t>envoyer une assistante sociale au domicile de la défenderesse aux fins de faire exécuter le régime de maintien des relations de l</w:t>
      </w:r>
      <w:r w:rsidR="008B740A">
        <w:rPr>
          <w:lang w:val="fr-FR"/>
        </w:rPr>
        <w:t>’</w:t>
      </w:r>
      <w:r w:rsidRPr="00711EE7">
        <w:rPr>
          <w:lang w:val="fr-FR"/>
        </w:rPr>
        <w:t>enfant avec l</w:t>
      </w:r>
      <w:r w:rsidR="008B740A">
        <w:rPr>
          <w:lang w:val="fr-FR"/>
        </w:rPr>
        <w:t>’</w:t>
      </w:r>
      <w:r w:rsidRPr="00711EE7">
        <w:rPr>
          <w:lang w:val="fr-FR"/>
        </w:rPr>
        <w:t>auteur. Le 28 juin 2016, le Tribunal, par décision définitive</w:t>
      </w:r>
      <w:r>
        <w:rPr>
          <w:lang w:val="fr-FR"/>
        </w:rPr>
        <w:t xml:space="preserve"> </w:t>
      </w:r>
      <w:r w:rsidRPr="00711EE7">
        <w:rPr>
          <w:lang w:val="fr-FR"/>
        </w:rPr>
        <w:t>SD</w:t>
      </w:r>
      <w:r>
        <w:rPr>
          <w:lang w:val="fr-FR"/>
        </w:rPr>
        <w:t xml:space="preserve"> </w:t>
      </w:r>
      <w:r w:rsidRPr="00440C4E">
        <w:rPr>
          <w:rFonts w:eastAsia="MS Mincho"/>
          <w:lang w:val="fr-FR"/>
        </w:rPr>
        <w:t>n</w:t>
      </w:r>
      <w:r w:rsidRPr="00440C4E">
        <w:rPr>
          <w:rFonts w:eastAsia="MS Mincho"/>
          <w:vertAlign w:val="superscript"/>
          <w:lang w:val="fr-FR"/>
        </w:rPr>
        <w:t>o</w:t>
      </w:r>
      <w:r>
        <w:rPr>
          <w:lang w:val="fr-FR"/>
        </w:rPr>
        <w:t> </w:t>
      </w:r>
      <w:r w:rsidRPr="00711EE7">
        <w:rPr>
          <w:lang w:val="fr-FR"/>
        </w:rPr>
        <w:t>188, a ordonné l</w:t>
      </w:r>
      <w:r w:rsidR="008B740A">
        <w:rPr>
          <w:lang w:val="fr-FR"/>
        </w:rPr>
        <w:t>’</w:t>
      </w:r>
      <w:r w:rsidRPr="00711EE7">
        <w:rPr>
          <w:lang w:val="fr-FR"/>
        </w:rPr>
        <w:t>exécution demandée par l</w:t>
      </w:r>
      <w:r w:rsidR="008B740A">
        <w:rPr>
          <w:lang w:val="fr-FR"/>
        </w:rPr>
        <w:t>’</w:t>
      </w:r>
      <w:r w:rsidRPr="00711EE7">
        <w:rPr>
          <w:lang w:val="fr-FR"/>
        </w:rPr>
        <w:t>auteur selon les termes du jugement définitif</w:t>
      </w:r>
      <w:r>
        <w:rPr>
          <w:lang w:val="fr-FR"/>
        </w:rPr>
        <w:t xml:space="preserve"> </w:t>
      </w:r>
      <w:r w:rsidRPr="00711EE7">
        <w:rPr>
          <w:lang w:val="fr-FR"/>
        </w:rPr>
        <w:t xml:space="preserve">SD </w:t>
      </w:r>
      <w:r w:rsidRPr="00440C4E">
        <w:rPr>
          <w:rFonts w:eastAsia="MS Mincho"/>
          <w:lang w:val="fr-FR"/>
        </w:rPr>
        <w:t>n</w:t>
      </w:r>
      <w:r w:rsidRPr="00440C4E">
        <w:rPr>
          <w:rFonts w:eastAsia="MS Mincho"/>
          <w:vertAlign w:val="superscript"/>
          <w:lang w:val="fr-FR"/>
        </w:rPr>
        <w:t>o</w:t>
      </w:r>
      <w:r>
        <w:rPr>
          <w:lang w:val="fr-FR"/>
        </w:rPr>
        <w:t> </w:t>
      </w:r>
      <w:r w:rsidRPr="00711EE7">
        <w:rPr>
          <w:lang w:val="fr-FR"/>
        </w:rPr>
        <w:t>139 du 30 avril 2015. L</w:t>
      </w:r>
      <w:r w:rsidR="008B740A">
        <w:rPr>
          <w:lang w:val="fr-FR"/>
        </w:rPr>
        <w:t>’</w:t>
      </w:r>
      <w:r w:rsidRPr="00711EE7">
        <w:rPr>
          <w:lang w:val="fr-FR"/>
        </w:rPr>
        <w:t>auteur signale que les mesures imposées par la décision interlocutoire</w:t>
      </w:r>
      <w:r>
        <w:rPr>
          <w:lang w:val="fr-FR"/>
        </w:rPr>
        <w:t xml:space="preserve"> </w:t>
      </w:r>
      <w:r w:rsidRPr="00711EE7">
        <w:rPr>
          <w:lang w:val="fr-FR"/>
        </w:rPr>
        <w:t>AI</w:t>
      </w:r>
      <w:r>
        <w:rPr>
          <w:lang w:val="fr-FR"/>
        </w:rPr>
        <w:t xml:space="preserve"> </w:t>
      </w:r>
      <w:r w:rsidRPr="00440C4E">
        <w:rPr>
          <w:rFonts w:eastAsia="MS Mincho"/>
          <w:lang w:val="fr-FR"/>
        </w:rPr>
        <w:t>n</w:t>
      </w:r>
      <w:r w:rsidRPr="00440C4E">
        <w:rPr>
          <w:rFonts w:eastAsia="MS Mincho"/>
          <w:vertAlign w:val="superscript"/>
          <w:lang w:val="fr-FR"/>
        </w:rPr>
        <w:t>o</w:t>
      </w:r>
      <w:r>
        <w:rPr>
          <w:lang w:val="fr-FR"/>
        </w:rPr>
        <w:t> </w:t>
      </w:r>
      <w:r w:rsidRPr="00711EE7">
        <w:rPr>
          <w:lang w:val="fr-FR"/>
        </w:rPr>
        <w:t>66 et le jugement définitif</w:t>
      </w:r>
      <w:r>
        <w:rPr>
          <w:lang w:val="fr-FR"/>
        </w:rPr>
        <w:t xml:space="preserve"> </w:t>
      </w:r>
      <w:r w:rsidRPr="00711EE7">
        <w:rPr>
          <w:lang w:val="fr-FR"/>
        </w:rPr>
        <w:t>SD</w:t>
      </w:r>
      <w:r>
        <w:rPr>
          <w:lang w:val="fr-FR"/>
        </w:rPr>
        <w:t xml:space="preserve"> </w:t>
      </w:r>
      <w:r w:rsidRPr="00440C4E">
        <w:rPr>
          <w:rFonts w:eastAsia="MS Mincho"/>
          <w:lang w:val="fr-FR"/>
        </w:rPr>
        <w:t>n</w:t>
      </w:r>
      <w:r w:rsidRPr="00440C4E">
        <w:rPr>
          <w:rFonts w:eastAsia="MS Mincho"/>
          <w:vertAlign w:val="superscript"/>
          <w:lang w:val="fr-FR"/>
        </w:rPr>
        <w:t>o</w:t>
      </w:r>
      <w:r>
        <w:rPr>
          <w:lang w:val="fr-FR"/>
        </w:rPr>
        <w:t> </w:t>
      </w:r>
      <w:r w:rsidRPr="00711EE7">
        <w:rPr>
          <w:lang w:val="fr-FR"/>
        </w:rPr>
        <w:t>188 ne traitent pas des mesures visant à assurer l</w:t>
      </w:r>
      <w:r w:rsidR="008B740A">
        <w:rPr>
          <w:lang w:val="fr-FR"/>
        </w:rPr>
        <w:t>’</w:t>
      </w:r>
      <w:r w:rsidRPr="00711EE7">
        <w:rPr>
          <w:lang w:val="fr-FR"/>
        </w:rPr>
        <w:t>exécution à la suite des nombreuses plaintes présentées par l</w:t>
      </w:r>
      <w:r w:rsidR="008B740A">
        <w:rPr>
          <w:lang w:val="fr-FR"/>
        </w:rPr>
        <w:t>’</w:t>
      </w:r>
      <w:r w:rsidRPr="00711EE7">
        <w:rPr>
          <w:lang w:val="fr-FR"/>
        </w:rPr>
        <w:t>auteur. Elles ne mentionnent pas non plus les nombreuses plaintes qu</w:t>
      </w:r>
      <w:r w:rsidR="008B740A">
        <w:rPr>
          <w:lang w:val="fr-FR"/>
        </w:rPr>
        <w:t>’</w:t>
      </w:r>
      <w:r w:rsidRPr="00711EE7">
        <w:rPr>
          <w:lang w:val="fr-FR"/>
        </w:rPr>
        <w:t>il a déposées pour dénoncer le non</w:t>
      </w:r>
      <w:r>
        <w:rPr>
          <w:lang w:val="fr-FR"/>
        </w:rPr>
        <w:noBreakHyphen/>
      </w:r>
      <w:r w:rsidRPr="00711EE7">
        <w:rPr>
          <w:lang w:val="fr-FR"/>
        </w:rPr>
        <w:t>respect du régime de maintien des relations par la défenderesse et demander que des mesures provisoires soient prises.</w:t>
      </w:r>
    </w:p>
    <w:p w:rsidR="007E2A0F" w:rsidRPr="00711EE7" w:rsidRDefault="007E2A0F" w:rsidP="007E2A0F">
      <w:pPr>
        <w:pStyle w:val="SingleTxtG"/>
        <w:spacing w:after="100" w:line="236" w:lineRule="atLeast"/>
        <w:rPr>
          <w:lang w:val="fr-FR"/>
        </w:rPr>
      </w:pPr>
      <w:r w:rsidRPr="00711EE7">
        <w:rPr>
          <w:lang w:val="fr-FR"/>
        </w:rPr>
        <w:t>2.9</w:t>
      </w:r>
      <w:r w:rsidRPr="00711EE7">
        <w:rPr>
          <w:lang w:val="fr-FR"/>
        </w:rPr>
        <w:tab/>
        <w:t>Depuis lors, l</w:t>
      </w:r>
      <w:r w:rsidR="008B740A">
        <w:rPr>
          <w:lang w:val="fr-FR"/>
        </w:rPr>
        <w:t>’</w:t>
      </w:r>
      <w:r w:rsidRPr="00711EE7">
        <w:rPr>
          <w:lang w:val="fr-FR"/>
        </w:rPr>
        <w:t>auteur a déposé de nouvelles plaintes pour non-exécution du jugement les 8 juillet, 2</w:t>
      </w:r>
      <w:r>
        <w:rPr>
          <w:lang w:val="fr-FR"/>
        </w:rPr>
        <w:t xml:space="preserve"> et</w:t>
      </w:r>
      <w:r w:rsidRPr="00711EE7">
        <w:rPr>
          <w:lang w:val="fr-FR"/>
        </w:rPr>
        <w:t xml:space="preserve"> 24</w:t>
      </w:r>
      <w:r w:rsidR="00975522">
        <w:rPr>
          <w:lang w:val="fr-FR"/>
        </w:rPr>
        <w:t> </w:t>
      </w:r>
      <w:r w:rsidRPr="00711EE7">
        <w:rPr>
          <w:lang w:val="fr-FR"/>
        </w:rPr>
        <w:t>août, 3 novembre, 7 </w:t>
      </w:r>
      <w:r>
        <w:rPr>
          <w:lang w:val="fr-FR"/>
        </w:rPr>
        <w:t xml:space="preserve">et </w:t>
      </w:r>
      <w:r w:rsidRPr="00711EE7">
        <w:rPr>
          <w:lang w:val="fr-FR"/>
        </w:rPr>
        <w:t>26 décembre 2016</w:t>
      </w:r>
      <w:r>
        <w:rPr>
          <w:lang w:val="fr-FR"/>
        </w:rPr>
        <w:t xml:space="preserve"> et les</w:t>
      </w:r>
      <w:r w:rsidRPr="00711EE7">
        <w:rPr>
          <w:lang w:val="fr-FR"/>
        </w:rPr>
        <w:t xml:space="preserve"> 15 février et 6 mars 2017</w:t>
      </w:r>
      <w:r w:rsidRPr="00A122C5">
        <w:rPr>
          <w:rStyle w:val="Appelnotedebasdep"/>
        </w:rPr>
        <w:footnoteReference w:id="12"/>
      </w:r>
      <w:r w:rsidRPr="00711EE7">
        <w:rPr>
          <w:lang w:val="fr-FR"/>
        </w:rPr>
        <w:t>. Le 23 mars 2017, il a adressé à la Cour suprême de justice une autre plainte pour retard dans l</w:t>
      </w:r>
      <w:r w:rsidR="008B740A">
        <w:rPr>
          <w:lang w:val="fr-FR"/>
        </w:rPr>
        <w:t>’</w:t>
      </w:r>
      <w:r w:rsidRPr="00711EE7">
        <w:rPr>
          <w:lang w:val="fr-FR"/>
        </w:rPr>
        <w:t xml:space="preserve">administration de la justice. </w:t>
      </w:r>
    </w:p>
    <w:p w:rsidR="007E2A0F" w:rsidRDefault="007E2A0F" w:rsidP="007E2A0F">
      <w:pPr>
        <w:pStyle w:val="SingleTxtG"/>
        <w:spacing w:after="100" w:line="236" w:lineRule="atLeast"/>
        <w:rPr>
          <w:lang w:val="fr-FR"/>
        </w:rPr>
      </w:pPr>
      <w:r w:rsidRPr="00711EE7">
        <w:rPr>
          <w:lang w:val="fr-FR"/>
        </w:rPr>
        <w:t>2.10</w:t>
      </w:r>
      <w:r w:rsidRPr="00711EE7">
        <w:rPr>
          <w:lang w:val="fr-FR"/>
        </w:rPr>
        <w:tab/>
        <w:t>L</w:t>
      </w:r>
      <w:r w:rsidR="008B740A">
        <w:rPr>
          <w:lang w:val="fr-FR"/>
        </w:rPr>
        <w:t>’</w:t>
      </w:r>
      <w:r w:rsidRPr="00711EE7">
        <w:rPr>
          <w:lang w:val="fr-FR"/>
        </w:rPr>
        <w:t>auteur fait observer que, le 25 avril 2017, le Tribunal d</w:t>
      </w:r>
      <w:r w:rsidR="008B740A">
        <w:rPr>
          <w:lang w:val="fr-FR"/>
        </w:rPr>
        <w:t>’</w:t>
      </w:r>
      <w:r w:rsidRPr="00711EE7">
        <w:rPr>
          <w:lang w:val="fr-FR"/>
        </w:rPr>
        <w:t>appel, par décision interlocutoire</w:t>
      </w:r>
      <w:r>
        <w:rPr>
          <w:lang w:val="fr-FR"/>
        </w:rPr>
        <w:t xml:space="preserve"> </w:t>
      </w:r>
      <w:r w:rsidRPr="00711EE7">
        <w:rPr>
          <w:lang w:val="fr-FR"/>
        </w:rPr>
        <w:t>AI</w:t>
      </w:r>
      <w:r>
        <w:rPr>
          <w:lang w:val="fr-FR"/>
        </w:rPr>
        <w:t xml:space="preserve"> </w:t>
      </w:r>
      <w:r w:rsidRPr="00440C4E">
        <w:rPr>
          <w:rFonts w:eastAsia="MS Mincho"/>
          <w:lang w:val="fr-FR"/>
        </w:rPr>
        <w:t>n</w:t>
      </w:r>
      <w:r w:rsidRPr="00440C4E">
        <w:rPr>
          <w:rFonts w:eastAsia="MS Mincho"/>
          <w:vertAlign w:val="superscript"/>
          <w:lang w:val="fr-FR"/>
        </w:rPr>
        <w:t>o</w:t>
      </w:r>
      <w:r>
        <w:rPr>
          <w:lang w:val="fr-FR"/>
        </w:rPr>
        <w:t> </w:t>
      </w:r>
      <w:r w:rsidRPr="00711EE7">
        <w:rPr>
          <w:lang w:val="fr-FR"/>
        </w:rPr>
        <w:t>60, a dit que</w:t>
      </w:r>
      <w:r w:rsidR="00C05AE1">
        <w:rPr>
          <w:lang w:val="fr-FR"/>
        </w:rPr>
        <w:t> :</w:t>
      </w:r>
    </w:p>
    <w:p w:rsidR="007E2A0F" w:rsidRPr="00711EE7" w:rsidRDefault="007E2A0F" w:rsidP="00C05AE1">
      <w:pPr>
        <w:pStyle w:val="SingleTxtG"/>
        <w:spacing w:after="100" w:line="236" w:lineRule="atLeast"/>
        <w:ind w:left="1701"/>
        <w:rPr>
          <w:lang w:val="fr-FR"/>
        </w:rPr>
      </w:pPr>
      <w:r w:rsidRPr="00711EE7">
        <w:rPr>
          <w:lang w:val="fr-FR"/>
        </w:rPr>
        <w:t>le droit à l</w:t>
      </w:r>
      <w:r w:rsidR="008B740A">
        <w:rPr>
          <w:lang w:val="fr-FR"/>
        </w:rPr>
        <w:t>’</w:t>
      </w:r>
      <w:r w:rsidRPr="00711EE7">
        <w:rPr>
          <w:lang w:val="fr-FR"/>
        </w:rPr>
        <w:t>exécution des jugements et décisions judiciaires fait partie du droit fondamental à la protection effective des droits (art</w:t>
      </w:r>
      <w:r w:rsidR="00C05AE1">
        <w:rPr>
          <w:lang w:val="fr-FR"/>
        </w:rPr>
        <w:t>.</w:t>
      </w:r>
      <w:r w:rsidRPr="00711EE7">
        <w:rPr>
          <w:lang w:val="fr-FR"/>
        </w:rPr>
        <w:t> 163 et 519 du Code de procédure civile) et [qu</w:t>
      </w:r>
      <w:r w:rsidR="008B740A">
        <w:rPr>
          <w:lang w:val="fr-FR"/>
        </w:rPr>
        <w:t>’</w:t>
      </w:r>
      <w:r w:rsidRPr="00711EE7">
        <w:rPr>
          <w:lang w:val="fr-FR"/>
        </w:rPr>
        <w:t>] aucune autorité ne peut laisser sans effet des décisions qui ont acquis la force de la chose jugée et encore moins retarder leur exécution, surtout lorsqu</w:t>
      </w:r>
      <w:r w:rsidR="008B740A">
        <w:rPr>
          <w:lang w:val="fr-FR"/>
        </w:rPr>
        <w:t>’</w:t>
      </w:r>
      <w:r w:rsidRPr="00711EE7">
        <w:rPr>
          <w:lang w:val="fr-FR"/>
        </w:rPr>
        <w:t>est en jeu l</w:t>
      </w:r>
      <w:r w:rsidR="008B740A">
        <w:rPr>
          <w:lang w:val="fr-FR"/>
        </w:rPr>
        <w:t>’</w:t>
      </w:r>
      <w:r w:rsidRPr="00711EE7">
        <w:rPr>
          <w:lang w:val="fr-FR"/>
        </w:rPr>
        <w:t>intérêt supérieur d</w:t>
      </w:r>
      <w:r w:rsidR="008B740A">
        <w:rPr>
          <w:lang w:val="fr-FR"/>
        </w:rPr>
        <w:t>’</w:t>
      </w:r>
      <w:r w:rsidRPr="00711EE7">
        <w:rPr>
          <w:lang w:val="fr-FR"/>
        </w:rPr>
        <w:t>une enfant qui a le droit d</w:t>
      </w:r>
      <w:r w:rsidR="008B740A">
        <w:rPr>
          <w:lang w:val="fr-FR"/>
        </w:rPr>
        <w:t>’</w:t>
      </w:r>
      <w:r w:rsidRPr="00711EE7">
        <w:rPr>
          <w:lang w:val="fr-FR"/>
        </w:rPr>
        <w:t>avoir des contacts avec le parent avec lequel elle ne vit pas […] il incombe au magistrat de faire exécuter les jugements et décisions adoptés en temps opportun […] Par ailleurs, si l</w:t>
      </w:r>
      <w:r w:rsidR="008B740A">
        <w:rPr>
          <w:lang w:val="fr-FR"/>
        </w:rPr>
        <w:t>’</w:t>
      </w:r>
      <w:r w:rsidRPr="00711EE7">
        <w:rPr>
          <w:lang w:val="fr-FR"/>
        </w:rPr>
        <w:t>on peut ajouter foi à ce qu</w:t>
      </w:r>
      <w:r w:rsidR="008B740A">
        <w:rPr>
          <w:lang w:val="fr-FR"/>
        </w:rPr>
        <w:t>’</w:t>
      </w:r>
      <w:r w:rsidRPr="00711EE7">
        <w:rPr>
          <w:lang w:val="fr-FR"/>
        </w:rPr>
        <w:t>a déclaré la mère à l</w:t>
      </w:r>
      <w:r w:rsidR="008B740A">
        <w:rPr>
          <w:lang w:val="fr-FR"/>
        </w:rPr>
        <w:t>’</w:t>
      </w:r>
      <w:r w:rsidRPr="00711EE7">
        <w:rPr>
          <w:lang w:val="fr-FR"/>
        </w:rPr>
        <w:t>assistante sociale, à savoir qu</w:t>
      </w:r>
      <w:r w:rsidR="008B740A">
        <w:rPr>
          <w:lang w:val="fr-FR"/>
        </w:rPr>
        <w:t>’</w:t>
      </w:r>
      <w:r w:rsidRPr="00711EE7">
        <w:rPr>
          <w:lang w:val="fr-FR"/>
        </w:rPr>
        <w:t>elle n</w:t>
      </w:r>
      <w:r w:rsidR="008B740A">
        <w:rPr>
          <w:lang w:val="fr-FR"/>
        </w:rPr>
        <w:t>’</w:t>
      </w:r>
      <w:r w:rsidRPr="00711EE7">
        <w:rPr>
          <w:lang w:val="fr-FR"/>
        </w:rPr>
        <w:t>a pas les moyens de s</w:t>
      </w:r>
      <w:r w:rsidR="008B740A">
        <w:rPr>
          <w:lang w:val="fr-FR"/>
        </w:rPr>
        <w:t>’</w:t>
      </w:r>
      <w:r w:rsidRPr="00711EE7">
        <w:rPr>
          <w:lang w:val="fr-FR"/>
        </w:rPr>
        <w:t>abonner à Internet et que l</w:t>
      </w:r>
      <w:r w:rsidR="008B740A">
        <w:rPr>
          <w:lang w:val="fr-FR"/>
        </w:rPr>
        <w:t>’</w:t>
      </w:r>
      <w:r w:rsidRPr="00711EE7">
        <w:rPr>
          <w:lang w:val="fr-FR"/>
        </w:rPr>
        <w:t>enfant elle-même ne souhaite pas se rendre en vacances chez son père, qu</w:t>
      </w:r>
      <w:r w:rsidR="008B740A">
        <w:rPr>
          <w:lang w:val="fr-FR"/>
        </w:rPr>
        <w:t>’</w:t>
      </w:r>
      <w:r w:rsidRPr="00711EE7">
        <w:rPr>
          <w:lang w:val="fr-FR"/>
        </w:rPr>
        <w:t>elle ne connaît guère, on ne saurait perdre de vue que</w:t>
      </w:r>
      <w:r>
        <w:rPr>
          <w:lang w:val="fr-FR"/>
        </w:rPr>
        <w:t>,</w:t>
      </w:r>
      <w:r w:rsidRPr="00711EE7">
        <w:rPr>
          <w:lang w:val="fr-FR"/>
        </w:rPr>
        <w:t xml:space="preserve"> si le régime de maintien des relations reste lettre morte et que les communications entre père et fille deviennent de plus en plus sporadiques, cette situation finira par amener l</w:t>
      </w:r>
      <w:r w:rsidR="008B740A">
        <w:rPr>
          <w:lang w:val="fr-FR"/>
        </w:rPr>
        <w:t>’</w:t>
      </w:r>
      <w:r w:rsidRPr="00711EE7">
        <w:rPr>
          <w:lang w:val="fr-FR"/>
        </w:rPr>
        <w:t>enfant à refuser de rendre visite au parent avec lequel elle ne vit pas. Mais cela ne veut pas dire que la mère doive rester passive face à une situation qui l</w:t>
      </w:r>
      <w:r w:rsidR="008B740A">
        <w:rPr>
          <w:lang w:val="fr-FR"/>
        </w:rPr>
        <w:t>’</w:t>
      </w:r>
      <w:r w:rsidRPr="00711EE7">
        <w:rPr>
          <w:lang w:val="fr-FR"/>
        </w:rPr>
        <w:t>arrange bien</w:t>
      </w:r>
      <w:r>
        <w:rPr>
          <w:lang w:val="fr-FR"/>
        </w:rPr>
        <w:t> ;</w:t>
      </w:r>
      <w:r w:rsidRPr="00711EE7">
        <w:rPr>
          <w:lang w:val="fr-FR"/>
        </w:rPr>
        <w:t xml:space="preserve"> elle doit au contraire redoubler d</w:t>
      </w:r>
      <w:r w:rsidR="008B740A">
        <w:rPr>
          <w:lang w:val="fr-FR"/>
        </w:rPr>
        <w:t>’</w:t>
      </w:r>
      <w:r w:rsidRPr="00711EE7">
        <w:rPr>
          <w:lang w:val="fr-FR"/>
        </w:rPr>
        <w:t>efforts pour que le régime de maintien des relations soit appliqué ou mettre en place d</w:t>
      </w:r>
      <w:r w:rsidR="008B740A">
        <w:rPr>
          <w:lang w:val="fr-FR"/>
        </w:rPr>
        <w:t>’</w:t>
      </w:r>
      <w:r w:rsidRPr="00711EE7">
        <w:rPr>
          <w:lang w:val="fr-FR"/>
        </w:rPr>
        <w:t xml:space="preserve">autres modalités de visite si le régime de maintien des relations établi judiciairement est difficile à </w:t>
      </w:r>
      <w:r w:rsidRPr="00711EE7">
        <w:rPr>
          <w:lang w:val="fr-FR"/>
        </w:rPr>
        <w:lastRenderedPageBreak/>
        <w:t>appliquer […] Par ailleurs, s</w:t>
      </w:r>
      <w:r w:rsidR="008B740A">
        <w:rPr>
          <w:lang w:val="fr-FR"/>
        </w:rPr>
        <w:t>’</w:t>
      </w:r>
      <w:r w:rsidRPr="00711EE7">
        <w:rPr>
          <w:lang w:val="fr-FR"/>
        </w:rPr>
        <w:t>il n</w:t>
      </w:r>
      <w:r w:rsidR="008B740A">
        <w:rPr>
          <w:lang w:val="fr-FR"/>
        </w:rPr>
        <w:t>’</w:t>
      </w:r>
      <w:r w:rsidRPr="00711EE7">
        <w:rPr>
          <w:lang w:val="fr-FR"/>
        </w:rPr>
        <w:t>existe pas de procédure visant à faire exécuter les jugements de ce type, le juge dispose de l</w:t>
      </w:r>
      <w:r w:rsidR="008B740A">
        <w:rPr>
          <w:lang w:val="fr-FR"/>
        </w:rPr>
        <w:t>’</w:t>
      </w:r>
      <w:r w:rsidRPr="00711EE7">
        <w:rPr>
          <w:lang w:val="fr-FR"/>
        </w:rPr>
        <w:t>arsenal juridique nécessaire pour leur donner effet, à savoir, qu</w:t>
      </w:r>
      <w:r w:rsidR="008B740A">
        <w:rPr>
          <w:lang w:val="fr-FR"/>
        </w:rPr>
        <w:t>’</w:t>
      </w:r>
      <w:r w:rsidRPr="00711EE7">
        <w:rPr>
          <w:lang w:val="fr-FR"/>
        </w:rPr>
        <w:t>il peut se fonder sur une série de règles de procédure grâce auxquelles il pourra faire appliquer et exécuter le jugement</w:t>
      </w:r>
      <w:r w:rsidRPr="00A122C5">
        <w:rPr>
          <w:rStyle w:val="Appelnotedebasdep"/>
        </w:rPr>
        <w:footnoteReference w:id="13"/>
      </w:r>
      <w:r w:rsidRPr="00711EE7">
        <w:rPr>
          <w:lang w:val="fr-FR"/>
        </w:rPr>
        <w:t>.</w:t>
      </w:r>
    </w:p>
    <w:p w:rsidR="007E2A0F" w:rsidRPr="00CD4CEB" w:rsidRDefault="007E2A0F" w:rsidP="007E2A0F">
      <w:pPr>
        <w:pStyle w:val="SingleTxtG"/>
        <w:rPr>
          <w:spacing w:val="-2"/>
          <w:lang w:val="fr-FR"/>
        </w:rPr>
      </w:pPr>
      <w:r w:rsidRPr="00711EE7">
        <w:rPr>
          <w:lang w:val="fr-FR"/>
        </w:rPr>
        <w:t>2.11</w:t>
      </w:r>
      <w:r w:rsidRPr="00711EE7">
        <w:rPr>
          <w:lang w:val="fr-FR"/>
        </w:rPr>
        <w:tab/>
      </w:r>
      <w:r w:rsidRPr="00CD4CEB">
        <w:rPr>
          <w:spacing w:val="-2"/>
          <w:lang w:val="fr-FR"/>
        </w:rPr>
        <w:t>L</w:t>
      </w:r>
      <w:r w:rsidR="008B740A">
        <w:rPr>
          <w:spacing w:val="-2"/>
          <w:lang w:val="fr-FR"/>
        </w:rPr>
        <w:t>’</w:t>
      </w:r>
      <w:r w:rsidRPr="00CD4CEB">
        <w:rPr>
          <w:spacing w:val="-2"/>
          <w:lang w:val="fr-FR"/>
        </w:rPr>
        <w:t>auteur indique que, malgré toutes les plaintes qu</w:t>
      </w:r>
      <w:r w:rsidR="008B740A">
        <w:rPr>
          <w:spacing w:val="-2"/>
          <w:lang w:val="fr-FR"/>
        </w:rPr>
        <w:t>’</w:t>
      </w:r>
      <w:r w:rsidRPr="00CD4CEB">
        <w:rPr>
          <w:spacing w:val="-2"/>
          <w:lang w:val="fr-FR"/>
        </w:rPr>
        <w:t>il a déposées, l</w:t>
      </w:r>
      <w:r w:rsidR="008B740A">
        <w:rPr>
          <w:spacing w:val="-2"/>
          <w:lang w:val="fr-FR"/>
        </w:rPr>
        <w:t>’</w:t>
      </w:r>
      <w:r w:rsidRPr="00CD4CEB">
        <w:rPr>
          <w:spacing w:val="-2"/>
          <w:lang w:val="fr-FR"/>
        </w:rPr>
        <w:t>État partie n</w:t>
      </w:r>
      <w:r w:rsidR="008B740A">
        <w:rPr>
          <w:spacing w:val="-2"/>
          <w:lang w:val="fr-FR"/>
        </w:rPr>
        <w:t>’</w:t>
      </w:r>
      <w:r w:rsidRPr="00CD4CEB">
        <w:rPr>
          <w:spacing w:val="-2"/>
          <w:lang w:val="fr-FR"/>
        </w:rPr>
        <w:t>a pris aucune mesure pour faire exécuter le jugement et n</w:t>
      </w:r>
      <w:r w:rsidR="008B740A">
        <w:rPr>
          <w:spacing w:val="-2"/>
          <w:lang w:val="fr-FR"/>
        </w:rPr>
        <w:t>’</w:t>
      </w:r>
      <w:r w:rsidRPr="00CD4CEB">
        <w:rPr>
          <w:spacing w:val="-2"/>
          <w:lang w:val="fr-FR"/>
        </w:rPr>
        <w:t>a tenu aucun compte des demandes qu</w:t>
      </w:r>
      <w:r w:rsidR="008B740A">
        <w:rPr>
          <w:spacing w:val="-2"/>
          <w:lang w:val="fr-FR"/>
        </w:rPr>
        <w:t>’</w:t>
      </w:r>
      <w:r w:rsidRPr="00CD4CEB">
        <w:rPr>
          <w:spacing w:val="-2"/>
          <w:lang w:val="fr-FR"/>
        </w:rPr>
        <w:t xml:space="preserve">il a faites en vue de pouvoir participer, par vidéo conférence, </w:t>
      </w:r>
      <w:r>
        <w:rPr>
          <w:spacing w:val="-2"/>
          <w:lang w:val="fr-FR"/>
        </w:rPr>
        <w:t>aux procédures qui ont eu lieu</w:t>
      </w:r>
      <w:r w:rsidRPr="00CD4CEB">
        <w:rPr>
          <w:spacing w:val="-2"/>
          <w:lang w:val="fr-FR"/>
        </w:rPr>
        <w:t xml:space="preserve"> dans l</w:t>
      </w:r>
      <w:r w:rsidR="008B740A">
        <w:rPr>
          <w:spacing w:val="-2"/>
          <w:lang w:val="fr-FR"/>
        </w:rPr>
        <w:t>’</w:t>
      </w:r>
      <w:r w:rsidRPr="00CD4CEB">
        <w:rPr>
          <w:spacing w:val="-2"/>
          <w:lang w:val="fr-FR"/>
        </w:rPr>
        <w:t>État partie.</w:t>
      </w:r>
    </w:p>
    <w:p w:rsidR="007E2A0F" w:rsidRPr="00711EE7" w:rsidRDefault="007E2A0F" w:rsidP="007E2A0F">
      <w:pPr>
        <w:pStyle w:val="SingleTxtG"/>
        <w:rPr>
          <w:lang w:val="fr-FR"/>
        </w:rPr>
      </w:pPr>
      <w:r w:rsidRPr="00711EE7">
        <w:rPr>
          <w:lang w:val="fr-FR"/>
        </w:rPr>
        <w:t>2.12</w:t>
      </w:r>
      <w:r w:rsidRPr="00711EE7">
        <w:rPr>
          <w:lang w:val="fr-FR"/>
        </w:rPr>
        <w:tab/>
        <w:t>L</w:t>
      </w:r>
      <w:r w:rsidR="008B740A">
        <w:rPr>
          <w:lang w:val="fr-FR"/>
        </w:rPr>
        <w:t>’</w:t>
      </w:r>
      <w:r w:rsidRPr="00711EE7">
        <w:rPr>
          <w:lang w:val="fr-FR"/>
        </w:rPr>
        <w:t>auteur explique que les autorités de l</w:t>
      </w:r>
      <w:r w:rsidR="008B740A">
        <w:rPr>
          <w:lang w:val="fr-FR"/>
        </w:rPr>
        <w:t>’</w:t>
      </w:r>
      <w:r w:rsidRPr="00711EE7">
        <w:rPr>
          <w:lang w:val="fr-FR"/>
        </w:rPr>
        <w:t>État partie n</w:t>
      </w:r>
      <w:r w:rsidR="008B740A">
        <w:rPr>
          <w:lang w:val="fr-FR"/>
        </w:rPr>
        <w:t>’</w:t>
      </w:r>
      <w:r w:rsidRPr="00711EE7">
        <w:rPr>
          <w:lang w:val="fr-FR"/>
        </w:rPr>
        <w:t>ont pas non plus tenu compte des nombreuses demandes qu</w:t>
      </w:r>
      <w:r w:rsidR="008B740A">
        <w:rPr>
          <w:lang w:val="fr-FR"/>
        </w:rPr>
        <w:t>’</w:t>
      </w:r>
      <w:r w:rsidRPr="00711EE7">
        <w:rPr>
          <w:lang w:val="fr-FR"/>
        </w:rPr>
        <w:t xml:space="preserve">il a adressées au </w:t>
      </w:r>
      <w:proofErr w:type="spellStart"/>
      <w:r w:rsidRPr="00711EE7">
        <w:rPr>
          <w:lang w:val="fr-FR"/>
        </w:rPr>
        <w:t>Colegio</w:t>
      </w:r>
      <w:proofErr w:type="spellEnd"/>
      <w:r w:rsidRPr="00711EE7">
        <w:rPr>
          <w:lang w:val="fr-FR"/>
        </w:rPr>
        <w:t xml:space="preserve"> San José pour qu</w:t>
      </w:r>
      <w:r w:rsidR="008B740A">
        <w:rPr>
          <w:lang w:val="fr-FR"/>
        </w:rPr>
        <w:t>’</w:t>
      </w:r>
      <w:r w:rsidRPr="00711EE7">
        <w:rPr>
          <w:lang w:val="fr-FR"/>
        </w:rPr>
        <w:t>il facilite les contacts avec sa fille, ni des plaintes qu</w:t>
      </w:r>
      <w:r w:rsidR="008B740A">
        <w:rPr>
          <w:lang w:val="fr-FR"/>
        </w:rPr>
        <w:t>’</w:t>
      </w:r>
      <w:r w:rsidRPr="00711EE7">
        <w:rPr>
          <w:lang w:val="fr-FR"/>
        </w:rPr>
        <w:t>il a déposées concernant la non-application du régime d</w:t>
      </w:r>
      <w:r w:rsidR="008B740A">
        <w:rPr>
          <w:lang w:val="fr-FR"/>
        </w:rPr>
        <w:t>’</w:t>
      </w:r>
      <w:r w:rsidRPr="00711EE7">
        <w:rPr>
          <w:lang w:val="fr-FR"/>
        </w:rPr>
        <w:t xml:space="preserve">appels téléphoniques et </w:t>
      </w:r>
      <w:r>
        <w:rPr>
          <w:lang w:val="fr-FR"/>
        </w:rPr>
        <w:t>qu</w:t>
      </w:r>
      <w:r w:rsidR="008B740A">
        <w:rPr>
          <w:lang w:val="fr-FR"/>
        </w:rPr>
        <w:t>’</w:t>
      </w:r>
      <w:r>
        <w:rPr>
          <w:lang w:val="fr-FR"/>
        </w:rPr>
        <w:t>elles</w:t>
      </w:r>
      <w:r w:rsidRPr="00711EE7">
        <w:rPr>
          <w:lang w:val="fr-FR"/>
        </w:rPr>
        <w:t xml:space="preserve"> n</w:t>
      </w:r>
      <w:r w:rsidR="008B740A">
        <w:rPr>
          <w:lang w:val="fr-FR"/>
        </w:rPr>
        <w:t>’</w:t>
      </w:r>
      <w:r w:rsidRPr="00711EE7">
        <w:rPr>
          <w:lang w:val="fr-FR"/>
        </w:rPr>
        <w:t>ont pris aucune décision concernant le rapport de l</w:t>
      </w:r>
      <w:r w:rsidR="008B740A">
        <w:rPr>
          <w:lang w:val="fr-FR"/>
        </w:rPr>
        <w:t>’</w:t>
      </w:r>
      <w:r w:rsidRPr="00711EE7">
        <w:rPr>
          <w:lang w:val="fr-FR"/>
        </w:rPr>
        <w:t>assistante sociale en vue de faire exécuter le jugement.</w:t>
      </w:r>
    </w:p>
    <w:p w:rsidR="007E2A0F" w:rsidRPr="00711EE7" w:rsidRDefault="007E2A0F" w:rsidP="007E2A0F">
      <w:pPr>
        <w:pStyle w:val="H23G"/>
        <w:spacing w:before="200"/>
        <w:rPr>
          <w:lang w:val="fr-FR"/>
        </w:rPr>
      </w:pPr>
      <w:r w:rsidRPr="00711EE7">
        <w:rPr>
          <w:lang w:val="fr-FR"/>
        </w:rPr>
        <w:tab/>
      </w:r>
      <w:r w:rsidRPr="00711EE7">
        <w:rPr>
          <w:lang w:val="fr-FR"/>
        </w:rPr>
        <w:tab/>
        <w:t>Teneur de la plainte</w:t>
      </w:r>
    </w:p>
    <w:p w:rsidR="007E2A0F" w:rsidRPr="00711EE7" w:rsidRDefault="007E2A0F" w:rsidP="007E2A0F">
      <w:pPr>
        <w:pStyle w:val="SingleTxtG"/>
        <w:spacing w:line="238" w:lineRule="atLeast"/>
        <w:rPr>
          <w:lang w:val="fr-FR"/>
        </w:rPr>
      </w:pPr>
      <w:r w:rsidRPr="00711EE7">
        <w:rPr>
          <w:lang w:val="fr-FR"/>
        </w:rPr>
        <w:t>3.1</w:t>
      </w:r>
      <w:r w:rsidRPr="00711EE7">
        <w:rPr>
          <w:lang w:val="fr-FR"/>
        </w:rPr>
        <w:tab/>
        <w:t>L</w:t>
      </w:r>
      <w:r w:rsidR="008B740A">
        <w:rPr>
          <w:lang w:val="fr-FR"/>
        </w:rPr>
        <w:t>’</w:t>
      </w:r>
      <w:r w:rsidRPr="00711EE7">
        <w:rPr>
          <w:lang w:val="fr-FR"/>
        </w:rPr>
        <w:t>auteur affirme que les autorités de l</w:t>
      </w:r>
      <w:r w:rsidR="008B740A">
        <w:rPr>
          <w:lang w:val="fr-FR"/>
        </w:rPr>
        <w:t>’</w:t>
      </w:r>
      <w:r w:rsidRPr="00711EE7">
        <w:rPr>
          <w:lang w:val="fr-FR"/>
        </w:rPr>
        <w:t>État partie n</w:t>
      </w:r>
      <w:r w:rsidR="008B740A">
        <w:rPr>
          <w:lang w:val="fr-FR"/>
        </w:rPr>
        <w:t>’</w:t>
      </w:r>
      <w:r w:rsidRPr="00711EE7">
        <w:rPr>
          <w:lang w:val="fr-FR"/>
        </w:rPr>
        <w:t>ont pas pris en considération l</w:t>
      </w:r>
      <w:r w:rsidR="008B740A">
        <w:rPr>
          <w:lang w:val="fr-FR"/>
        </w:rPr>
        <w:t>’</w:t>
      </w:r>
      <w:r w:rsidRPr="00711EE7">
        <w:rPr>
          <w:lang w:val="fr-FR"/>
        </w:rPr>
        <w:t>intérêt supérieur de l</w:t>
      </w:r>
      <w:r w:rsidR="008B740A">
        <w:rPr>
          <w:lang w:val="fr-FR"/>
        </w:rPr>
        <w:t>’</w:t>
      </w:r>
      <w:r w:rsidRPr="00711EE7">
        <w:rPr>
          <w:lang w:val="fr-FR"/>
        </w:rPr>
        <w:t>enfant consacré à l</w:t>
      </w:r>
      <w:r w:rsidR="008B740A">
        <w:rPr>
          <w:lang w:val="fr-FR"/>
        </w:rPr>
        <w:t>’</w:t>
      </w:r>
      <w:r w:rsidRPr="00711EE7">
        <w:rPr>
          <w:lang w:val="fr-FR"/>
        </w:rPr>
        <w:t>article 3 de la Convention, puisqu</w:t>
      </w:r>
      <w:r w:rsidR="008B740A">
        <w:rPr>
          <w:lang w:val="fr-FR"/>
        </w:rPr>
        <w:t>’</w:t>
      </w:r>
      <w:r w:rsidRPr="00711EE7">
        <w:rPr>
          <w:lang w:val="fr-FR"/>
        </w:rPr>
        <w:t>elles n</w:t>
      </w:r>
      <w:r w:rsidR="008B740A">
        <w:rPr>
          <w:lang w:val="fr-FR"/>
        </w:rPr>
        <w:t>’</w:t>
      </w:r>
      <w:r w:rsidRPr="00711EE7">
        <w:rPr>
          <w:lang w:val="fr-FR"/>
        </w:rPr>
        <w:t>ont adopté aucune mesure pour veiller à l</w:t>
      </w:r>
      <w:r w:rsidR="008B740A">
        <w:rPr>
          <w:lang w:val="fr-FR"/>
        </w:rPr>
        <w:t>’</w:t>
      </w:r>
      <w:r w:rsidRPr="00711EE7">
        <w:rPr>
          <w:lang w:val="fr-FR"/>
        </w:rPr>
        <w:t>exécution du jugement qui r</w:t>
      </w:r>
      <w:r>
        <w:rPr>
          <w:lang w:val="fr-FR"/>
        </w:rPr>
        <w:t>é</w:t>
      </w:r>
      <w:r w:rsidRPr="00711EE7">
        <w:rPr>
          <w:lang w:val="fr-FR"/>
        </w:rPr>
        <w:t>glemente les contacts avec sa fille. Il indique que les contacts de sa fille avec son père et sa famille paternelle revêtent une importance essentielle pour le développement de l</w:t>
      </w:r>
      <w:r w:rsidR="008B740A">
        <w:rPr>
          <w:lang w:val="fr-FR"/>
        </w:rPr>
        <w:t>’</w:t>
      </w:r>
      <w:r w:rsidRPr="00711EE7">
        <w:rPr>
          <w:lang w:val="fr-FR"/>
        </w:rPr>
        <w:t>enfant. Il renvoie à la jurisprudence argentine en matière de droit de visite pour étayer l</w:t>
      </w:r>
      <w:r w:rsidR="008B740A">
        <w:rPr>
          <w:lang w:val="fr-FR"/>
        </w:rPr>
        <w:t>’</w:t>
      </w:r>
      <w:r w:rsidRPr="00711EE7">
        <w:rPr>
          <w:lang w:val="fr-FR"/>
        </w:rPr>
        <w:t>argument selon lequel « conformément à la Convention, l</w:t>
      </w:r>
      <w:r w:rsidR="008B740A">
        <w:rPr>
          <w:lang w:val="fr-FR"/>
        </w:rPr>
        <w:t>’</w:t>
      </w:r>
      <w:r w:rsidRPr="00711EE7">
        <w:rPr>
          <w:lang w:val="fr-FR"/>
        </w:rPr>
        <w:t>intérêt supérieur de l</w:t>
      </w:r>
      <w:r w:rsidR="008B740A">
        <w:rPr>
          <w:lang w:val="fr-FR"/>
        </w:rPr>
        <w:t>’</w:t>
      </w:r>
      <w:r w:rsidRPr="00711EE7">
        <w:rPr>
          <w:lang w:val="fr-FR"/>
        </w:rPr>
        <w:t>enfant doit être une considération primordiale. Ainsi, aux fins de résoudre les cas portant sur le régime de visite du mineur dont les parents séparés de fait résident dans des États différents, la protection du droit de l</w:t>
      </w:r>
      <w:r w:rsidR="008B740A">
        <w:rPr>
          <w:lang w:val="fr-FR"/>
        </w:rPr>
        <w:t>’</w:t>
      </w:r>
      <w:r w:rsidRPr="00711EE7">
        <w:rPr>
          <w:lang w:val="fr-FR"/>
        </w:rPr>
        <w:t>enfant de maintenir régulièrement des relations personnelles et un contact direct avec ses deux parents doit être considéré comme un facteur primordial dans toute procédure judiciaire</w:t>
      </w:r>
      <w:r w:rsidRPr="00A122C5">
        <w:rPr>
          <w:rStyle w:val="Appelnotedebasdep"/>
        </w:rPr>
        <w:footnoteReference w:id="14"/>
      </w:r>
      <w:r w:rsidRPr="00711EE7">
        <w:rPr>
          <w:lang w:val="fr-FR"/>
        </w:rPr>
        <w:t>.</w:t>
      </w:r>
    </w:p>
    <w:p w:rsidR="007E2A0F" w:rsidRPr="00711EE7" w:rsidRDefault="007E2A0F" w:rsidP="007E2A0F">
      <w:pPr>
        <w:pStyle w:val="SingleTxtG"/>
        <w:spacing w:line="238" w:lineRule="atLeast"/>
        <w:rPr>
          <w:lang w:val="fr-FR"/>
        </w:rPr>
      </w:pPr>
      <w:r w:rsidRPr="00711EE7">
        <w:rPr>
          <w:lang w:val="fr-FR"/>
        </w:rPr>
        <w:t>3.2</w:t>
      </w:r>
      <w:r w:rsidRPr="00711EE7">
        <w:rPr>
          <w:lang w:val="fr-FR"/>
        </w:rPr>
        <w:tab/>
        <w:t>L</w:t>
      </w:r>
      <w:r w:rsidR="008B740A">
        <w:rPr>
          <w:lang w:val="fr-FR"/>
        </w:rPr>
        <w:t>’</w:t>
      </w:r>
      <w:r w:rsidRPr="00711EE7">
        <w:rPr>
          <w:lang w:val="fr-FR"/>
        </w:rPr>
        <w:t>auteur fait observer que la procédure relative à l</w:t>
      </w:r>
      <w:r w:rsidR="008B740A">
        <w:rPr>
          <w:lang w:val="fr-FR"/>
        </w:rPr>
        <w:t>’</w:t>
      </w:r>
      <w:r w:rsidRPr="00711EE7">
        <w:rPr>
          <w:lang w:val="fr-FR"/>
        </w:rPr>
        <w:t>exécution des jugements portant régime de maintien des relations n</w:t>
      </w:r>
      <w:r w:rsidR="008B740A">
        <w:rPr>
          <w:lang w:val="fr-FR"/>
        </w:rPr>
        <w:t>’</w:t>
      </w:r>
      <w:r w:rsidRPr="00711EE7">
        <w:rPr>
          <w:lang w:val="fr-FR"/>
        </w:rPr>
        <w:t>est pas expressément prévue par le Code de l</w:t>
      </w:r>
      <w:r w:rsidR="008B740A">
        <w:rPr>
          <w:lang w:val="fr-FR"/>
        </w:rPr>
        <w:t>’</w:t>
      </w:r>
      <w:r w:rsidRPr="00711EE7">
        <w:rPr>
          <w:lang w:val="fr-FR"/>
        </w:rPr>
        <w:t>enfance et de l</w:t>
      </w:r>
      <w:r w:rsidR="008B740A">
        <w:rPr>
          <w:lang w:val="fr-FR"/>
        </w:rPr>
        <w:t>’</w:t>
      </w:r>
      <w:r w:rsidRPr="00711EE7">
        <w:rPr>
          <w:lang w:val="fr-FR"/>
        </w:rPr>
        <w:t>adolescence (loi</w:t>
      </w:r>
      <w:r>
        <w:rPr>
          <w:lang w:val="fr-FR"/>
        </w:rPr>
        <w:t xml:space="preserve"> </w:t>
      </w:r>
      <w:r w:rsidRPr="00440C4E">
        <w:rPr>
          <w:rFonts w:eastAsia="MS Mincho"/>
          <w:lang w:val="fr-FR"/>
        </w:rPr>
        <w:t>n</w:t>
      </w:r>
      <w:r w:rsidRPr="00440C4E">
        <w:rPr>
          <w:rFonts w:eastAsia="MS Mincho"/>
          <w:vertAlign w:val="superscript"/>
          <w:lang w:val="fr-FR"/>
        </w:rPr>
        <w:t>o</w:t>
      </w:r>
      <w:r>
        <w:rPr>
          <w:lang w:val="fr-FR"/>
        </w:rPr>
        <w:t> </w:t>
      </w:r>
      <w:r w:rsidRPr="00711EE7">
        <w:rPr>
          <w:lang w:val="fr-FR"/>
        </w:rPr>
        <w:t>1680/2001). Il renvoie à l</w:t>
      </w:r>
      <w:r w:rsidR="008B740A">
        <w:rPr>
          <w:lang w:val="fr-FR"/>
        </w:rPr>
        <w:t>’</w:t>
      </w:r>
      <w:r w:rsidRPr="00711EE7">
        <w:rPr>
          <w:lang w:val="fr-FR"/>
        </w:rPr>
        <w:t xml:space="preserve">arrêt </w:t>
      </w:r>
      <w:proofErr w:type="spellStart"/>
      <w:r w:rsidRPr="00711EE7">
        <w:rPr>
          <w:i/>
          <w:lang w:val="fr-FR"/>
        </w:rPr>
        <w:t>Strumia</w:t>
      </w:r>
      <w:proofErr w:type="spellEnd"/>
      <w:r w:rsidRPr="00711EE7">
        <w:rPr>
          <w:i/>
          <w:lang w:val="fr-FR"/>
        </w:rPr>
        <w:t xml:space="preserve"> </w:t>
      </w:r>
      <w:r w:rsidRPr="0015171A">
        <w:rPr>
          <w:i/>
          <w:lang w:val="fr-FR"/>
        </w:rPr>
        <w:t>c.</w:t>
      </w:r>
      <w:r>
        <w:rPr>
          <w:i/>
          <w:lang w:val="fr-FR"/>
        </w:rPr>
        <w:t> </w:t>
      </w:r>
      <w:r w:rsidRPr="00711EE7">
        <w:rPr>
          <w:i/>
          <w:lang w:val="fr-FR"/>
        </w:rPr>
        <w:t>Italie</w:t>
      </w:r>
      <w:r w:rsidRPr="00711EE7">
        <w:rPr>
          <w:lang w:val="fr-FR"/>
        </w:rPr>
        <w:t xml:space="preserve"> de la Cour européenne des droits de l</w:t>
      </w:r>
      <w:r w:rsidR="008B740A">
        <w:rPr>
          <w:lang w:val="fr-FR"/>
        </w:rPr>
        <w:t>’</w:t>
      </w:r>
      <w:r w:rsidRPr="00711EE7">
        <w:rPr>
          <w:lang w:val="fr-FR"/>
        </w:rPr>
        <w:t>homme, dans lequel la Cour a condamné l</w:t>
      </w:r>
      <w:r w:rsidR="008B740A">
        <w:rPr>
          <w:lang w:val="fr-FR"/>
        </w:rPr>
        <w:t>’</w:t>
      </w:r>
      <w:r w:rsidRPr="00711EE7">
        <w:rPr>
          <w:lang w:val="fr-FR"/>
        </w:rPr>
        <w:t>État partie au motif qu</w:t>
      </w:r>
      <w:r w:rsidR="008B740A">
        <w:rPr>
          <w:lang w:val="fr-FR"/>
        </w:rPr>
        <w:t>’</w:t>
      </w:r>
      <w:r w:rsidRPr="00711EE7">
        <w:rPr>
          <w:lang w:val="fr-FR"/>
        </w:rPr>
        <w:t>il n</w:t>
      </w:r>
      <w:r w:rsidR="008B740A">
        <w:rPr>
          <w:lang w:val="fr-FR"/>
        </w:rPr>
        <w:t>’</w:t>
      </w:r>
      <w:r w:rsidRPr="00711EE7">
        <w:rPr>
          <w:lang w:val="fr-FR"/>
        </w:rPr>
        <w:t>avait pas adopté les mesures nécessaires pour assurer les contacts d</w:t>
      </w:r>
      <w:r w:rsidR="008B740A">
        <w:rPr>
          <w:lang w:val="fr-FR"/>
        </w:rPr>
        <w:t>’</w:t>
      </w:r>
      <w:r w:rsidRPr="00711EE7">
        <w:rPr>
          <w:lang w:val="fr-FR"/>
        </w:rPr>
        <w:t>un père avec sa fille malgré l</w:t>
      </w:r>
      <w:r w:rsidR="008B740A">
        <w:rPr>
          <w:lang w:val="fr-FR"/>
        </w:rPr>
        <w:t>’</w:t>
      </w:r>
      <w:r w:rsidRPr="00711EE7">
        <w:rPr>
          <w:lang w:val="fr-FR"/>
        </w:rPr>
        <w:t>existence d</w:t>
      </w:r>
      <w:r w:rsidR="008B740A">
        <w:rPr>
          <w:lang w:val="fr-FR"/>
        </w:rPr>
        <w:t>’</w:t>
      </w:r>
      <w:r w:rsidRPr="00711EE7">
        <w:rPr>
          <w:lang w:val="fr-FR"/>
        </w:rPr>
        <w:t>une décision judiciaire qui imposait une telle mesure, portant ainsi atteinte à l</w:t>
      </w:r>
      <w:r w:rsidR="008B740A">
        <w:rPr>
          <w:lang w:val="fr-FR"/>
        </w:rPr>
        <w:t>’</w:t>
      </w:r>
      <w:r w:rsidRPr="00711EE7">
        <w:rPr>
          <w:lang w:val="fr-FR"/>
        </w:rPr>
        <w:t>intérêt supérieur de l</w:t>
      </w:r>
      <w:r w:rsidR="008B740A">
        <w:rPr>
          <w:lang w:val="fr-FR"/>
        </w:rPr>
        <w:t>’</w:t>
      </w:r>
      <w:r w:rsidRPr="00711EE7">
        <w:rPr>
          <w:lang w:val="fr-FR"/>
        </w:rPr>
        <w:t>enfant</w:t>
      </w:r>
      <w:r w:rsidRPr="00A122C5">
        <w:rPr>
          <w:rStyle w:val="Appelnotedebasdep"/>
        </w:rPr>
        <w:footnoteReference w:id="15"/>
      </w:r>
      <w:r w:rsidRPr="00711EE7">
        <w:rPr>
          <w:lang w:val="fr-FR"/>
        </w:rPr>
        <w:t>. Il renvoie également à l</w:t>
      </w:r>
      <w:r w:rsidR="008B740A">
        <w:rPr>
          <w:lang w:val="fr-FR"/>
        </w:rPr>
        <w:t>’</w:t>
      </w:r>
      <w:r w:rsidRPr="00711EE7">
        <w:rPr>
          <w:lang w:val="fr-FR"/>
        </w:rPr>
        <w:t xml:space="preserve">arrêt </w:t>
      </w:r>
      <w:proofErr w:type="spellStart"/>
      <w:r w:rsidRPr="00711EE7">
        <w:rPr>
          <w:i/>
          <w:lang w:val="fr-FR"/>
        </w:rPr>
        <w:t>Giorgioni</w:t>
      </w:r>
      <w:proofErr w:type="spellEnd"/>
      <w:r w:rsidRPr="00711EE7">
        <w:rPr>
          <w:i/>
          <w:lang w:val="fr-FR"/>
        </w:rPr>
        <w:t xml:space="preserve"> </w:t>
      </w:r>
      <w:r w:rsidRPr="0015171A">
        <w:rPr>
          <w:i/>
          <w:lang w:val="fr-FR"/>
        </w:rPr>
        <w:t>c.</w:t>
      </w:r>
      <w:r>
        <w:rPr>
          <w:i/>
          <w:lang w:val="fr-FR"/>
        </w:rPr>
        <w:t> </w:t>
      </w:r>
      <w:r w:rsidRPr="00711EE7">
        <w:rPr>
          <w:i/>
          <w:lang w:val="fr-FR"/>
        </w:rPr>
        <w:t>Italie</w:t>
      </w:r>
      <w:r w:rsidRPr="00711EE7">
        <w:rPr>
          <w:lang w:val="fr-FR"/>
        </w:rPr>
        <w:t>, où la Cour a conclu à une violation du droit à la vie familiale</w:t>
      </w:r>
      <w:r w:rsidRPr="00A122C5">
        <w:rPr>
          <w:rStyle w:val="Appelnotedebasdep"/>
        </w:rPr>
        <w:footnoteReference w:id="16"/>
      </w:r>
      <w:r w:rsidRPr="00711EE7">
        <w:rPr>
          <w:lang w:val="fr-FR"/>
        </w:rPr>
        <w:t xml:space="preserve">. Enfin, il renvoie à la décision </w:t>
      </w:r>
      <w:r w:rsidRPr="00711EE7">
        <w:rPr>
          <w:i/>
          <w:lang w:val="fr-FR"/>
        </w:rPr>
        <w:t>S.</w:t>
      </w:r>
      <w:r>
        <w:rPr>
          <w:i/>
          <w:lang w:val="fr-FR"/>
        </w:rPr>
        <w:t> </w:t>
      </w:r>
      <w:r w:rsidRPr="00711EE7">
        <w:rPr>
          <w:i/>
          <w:lang w:val="fr-FR"/>
        </w:rPr>
        <w:t>B.</w:t>
      </w:r>
      <w:r>
        <w:rPr>
          <w:i/>
          <w:lang w:val="fr-FR"/>
        </w:rPr>
        <w:t> </w:t>
      </w:r>
      <w:r w:rsidRPr="00711EE7">
        <w:rPr>
          <w:i/>
          <w:lang w:val="fr-FR"/>
        </w:rPr>
        <w:t>S., M.</w:t>
      </w:r>
      <w:r>
        <w:rPr>
          <w:i/>
          <w:lang w:val="fr-FR"/>
        </w:rPr>
        <w:t> </w:t>
      </w:r>
      <w:r w:rsidRPr="00711EE7">
        <w:rPr>
          <w:i/>
          <w:lang w:val="fr-FR"/>
        </w:rPr>
        <w:t>V. et consorts</w:t>
      </w:r>
      <w:r w:rsidRPr="00711EE7">
        <w:rPr>
          <w:lang w:val="fr-FR"/>
        </w:rPr>
        <w:t xml:space="preserve"> du 28 avril 2014 dans laquelle le Tribunal d</w:t>
      </w:r>
      <w:r w:rsidR="008B740A">
        <w:rPr>
          <w:lang w:val="fr-FR"/>
        </w:rPr>
        <w:t>’</w:t>
      </w:r>
      <w:r w:rsidRPr="00711EE7">
        <w:rPr>
          <w:lang w:val="fr-FR"/>
        </w:rPr>
        <w:t>appel pour enfants et adolescents d</w:t>
      </w:r>
      <w:r w:rsidR="008B740A">
        <w:rPr>
          <w:lang w:val="fr-FR"/>
        </w:rPr>
        <w:t>’</w:t>
      </w:r>
      <w:r w:rsidRPr="00711EE7">
        <w:rPr>
          <w:lang w:val="fr-FR"/>
        </w:rPr>
        <w:t>Asunción a conclu que le droit-devoir du parent qui n</w:t>
      </w:r>
      <w:r w:rsidR="008B740A">
        <w:rPr>
          <w:lang w:val="fr-FR"/>
        </w:rPr>
        <w:t>’</w:t>
      </w:r>
      <w:r w:rsidRPr="00711EE7">
        <w:rPr>
          <w:lang w:val="fr-FR"/>
        </w:rPr>
        <w:t>exerce pas légalement la garde de maintenir des communications adéquates avec son enfant et de veiller à son éducation, en cas de séparation ou de divorce, doit être dûment pris en compte pour qu</w:t>
      </w:r>
      <w:r w:rsidR="008B740A">
        <w:rPr>
          <w:lang w:val="fr-FR"/>
        </w:rPr>
        <w:t>’</w:t>
      </w:r>
      <w:r w:rsidRPr="00711EE7">
        <w:rPr>
          <w:lang w:val="fr-FR"/>
        </w:rPr>
        <w:t>il ne devienne pas source de situations conflictuelles qui finissent par nuire gravement au développement personnel de l</w:t>
      </w:r>
      <w:r w:rsidR="008B740A">
        <w:rPr>
          <w:lang w:val="fr-FR"/>
        </w:rPr>
        <w:t>’</w:t>
      </w:r>
      <w:r w:rsidRPr="00711EE7">
        <w:rPr>
          <w:lang w:val="fr-FR"/>
        </w:rPr>
        <w:t>enfant, conformément à ce que prévoit la Convention en son article 9</w:t>
      </w:r>
      <w:r>
        <w:rPr>
          <w:lang w:val="fr-FR"/>
        </w:rPr>
        <w:t xml:space="preserve"> (par</w:t>
      </w:r>
      <w:r w:rsidRPr="00711EE7">
        <w:rPr>
          <w:lang w:val="fr-FR"/>
        </w:rPr>
        <w:t>.</w:t>
      </w:r>
      <w:r w:rsidR="004F1B3E">
        <w:rPr>
          <w:lang w:val="fr-FR"/>
        </w:rPr>
        <w:t> </w:t>
      </w:r>
      <w:r w:rsidRPr="00711EE7">
        <w:rPr>
          <w:lang w:val="fr-FR"/>
        </w:rPr>
        <w:t>3</w:t>
      </w:r>
      <w:r>
        <w:rPr>
          <w:lang w:val="fr-FR"/>
        </w:rPr>
        <w:t>)</w:t>
      </w:r>
      <w:r w:rsidRPr="00711EE7">
        <w:rPr>
          <w:lang w:val="fr-FR"/>
        </w:rPr>
        <w:t>.</w:t>
      </w:r>
    </w:p>
    <w:p w:rsidR="007E2A0F" w:rsidRPr="00711EE7" w:rsidRDefault="007E2A0F" w:rsidP="007E2A0F">
      <w:pPr>
        <w:pStyle w:val="SingleTxtG"/>
        <w:rPr>
          <w:lang w:val="fr-FR"/>
        </w:rPr>
      </w:pPr>
      <w:r w:rsidRPr="00711EE7">
        <w:rPr>
          <w:lang w:val="fr-FR"/>
        </w:rPr>
        <w:t>3.3</w:t>
      </w:r>
      <w:r w:rsidRPr="00711EE7">
        <w:rPr>
          <w:lang w:val="fr-FR"/>
        </w:rPr>
        <w:tab/>
        <w:t>L</w:t>
      </w:r>
      <w:r w:rsidR="008B740A">
        <w:rPr>
          <w:lang w:val="fr-FR"/>
        </w:rPr>
        <w:t>’</w:t>
      </w:r>
      <w:r w:rsidRPr="00711EE7">
        <w:rPr>
          <w:lang w:val="fr-FR"/>
        </w:rPr>
        <w:t>auteur allègue également que l</w:t>
      </w:r>
      <w:r w:rsidR="008B740A">
        <w:rPr>
          <w:lang w:val="fr-FR"/>
        </w:rPr>
        <w:t>’</w:t>
      </w:r>
      <w:r w:rsidRPr="00711EE7">
        <w:rPr>
          <w:lang w:val="fr-FR"/>
        </w:rPr>
        <w:t>État partie a violé</w:t>
      </w:r>
      <w:r>
        <w:rPr>
          <w:lang w:val="fr-FR"/>
        </w:rPr>
        <w:t xml:space="preserve"> </w:t>
      </w:r>
      <w:r w:rsidRPr="00711EE7">
        <w:rPr>
          <w:lang w:val="fr-FR"/>
        </w:rPr>
        <w:t>l</w:t>
      </w:r>
      <w:r w:rsidR="008B740A">
        <w:rPr>
          <w:lang w:val="fr-FR"/>
        </w:rPr>
        <w:t>’</w:t>
      </w:r>
      <w:r w:rsidRPr="00711EE7">
        <w:rPr>
          <w:lang w:val="fr-FR"/>
        </w:rPr>
        <w:t>article 4 de la Convention puisque, malgré l</w:t>
      </w:r>
      <w:r w:rsidR="008B740A">
        <w:rPr>
          <w:lang w:val="fr-FR"/>
        </w:rPr>
        <w:t>’</w:t>
      </w:r>
      <w:r w:rsidRPr="00711EE7">
        <w:rPr>
          <w:lang w:val="fr-FR"/>
        </w:rPr>
        <w:t>existence d</w:t>
      </w:r>
      <w:r w:rsidR="008B740A">
        <w:rPr>
          <w:lang w:val="fr-FR"/>
        </w:rPr>
        <w:t>’</w:t>
      </w:r>
      <w:r w:rsidRPr="00711EE7">
        <w:rPr>
          <w:lang w:val="fr-FR"/>
        </w:rPr>
        <w:t>une sentence judiciaire et de normes juridiques qui favorisent le maintien de contacts, les autorités judiciaires de l</w:t>
      </w:r>
      <w:r w:rsidR="008B740A">
        <w:rPr>
          <w:lang w:val="fr-FR"/>
        </w:rPr>
        <w:t>’</w:t>
      </w:r>
      <w:r w:rsidRPr="00711EE7">
        <w:rPr>
          <w:lang w:val="fr-FR"/>
        </w:rPr>
        <w:t>État partie n</w:t>
      </w:r>
      <w:r w:rsidR="008B740A">
        <w:rPr>
          <w:lang w:val="fr-FR"/>
        </w:rPr>
        <w:t>’</w:t>
      </w:r>
      <w:r w:rsidRPr="00711EE7">
        <w:rPr>
          <w:lang w:val="fr-FR"/>
        </w:rPr>
        <w:t xml:space="preserve">ont pas adopté les mesures nécessaires pour donner effet aux droits </w:t>
      </w:r>
      <w:r>
        <w:rPr>
          <w:lang w:val="fr-FR"/>
        </w:rPr>
        <w:t>que</w:t>
      </w:r>
      <w:r w:rsidRPr="00711EE7">
        <w:rPr>
          <w:lang w:val="fr-FR"/>
        </w:rPr>
        <w:t xml:space="preserve"> sa fille </w:t>
      </w:r>
      <w:r>
        <w:rPr>
          <w:lang w:val="fr-FR"/>
        </w:rPr>
        <w:t>tient de</w:t>
      </w:r>
      <w:r w:rsidRPr="00711EE7">
        <w:rPr>
          <w:lang w:val="fr-FR"/>
        </w:rPr>
        <w:t xml:space="preserve"> la Convention.</w:t>
      </w:r>
    </w:p>
    <w:p w:rsidR="007E2A0F" w:rsidRPr="00711EE7" w:rsidRDefault="007E2A0F" w:rsidP="007E2A0F">
      <w:pPr>
        <w:pStyle w:val="SingleTxtG"/>
        <w:rPr>
          <w:lang w:val="fr-FR"/>
        </w:rPr>
      </w:pPr>
      <w:r w:rsidRPr="00711EE7">
        <w:rPr>
          <w:lang w:val="fr-FR"/>
        </w:rPr>
        <w:t>3.4</w:t>
      </w:r>
      <w:r w:rsidRPr="00711EE7">
        <w:rPr>
          <w:lang w:val="fr-FR"/>
        </w:rPr>
        <w:tab/>
        <w:t>L</w:t>
      </w:r>
      <w:r w:rsidR="008B740A">
        <w:rPr>
          <w:lang w:val="fr-FR"/>
        </w:rPr>
        <w:t>’</w:t>
      </w:r>
      <w:r w:rsidRPr="00711EE7">
        <w:rPr>
          <w:lang w:val="fr-FR"/>
        </w:rPr>
        <w:t xml:space="preserve">auteur soutient </w:t>
      </w:r>
      <w:r>
        <w:rPr>
          <w:lang w:val="fr-FR"/>
        </w:rPr>
        <w:t>en outre</w:t>
      </w:r>
      <w:r w:rsidRPr="00711EE7">
        <w:rPr>
          <w:lang w:val="fr-FR"/>
        </w:rPr>
        <w:t xml:space="preserve"> que l</w:t>
      </w:r>
      <w:r w:rsidR="008B740A">
        <w:rPr>
          <w:lang w:val="fr-FR"/>
        </w:rPr>
        <w:t>’</w:t>
      </w:r>
      <w:r w:rsidRPr="00711EE7">
        <w:rPr>
          <w:lang w:val="fr-FR"/>
        </w:rPr>
        <w:t>État partie a violé l</w:t>
      </w:r>
      <w:r w:rsidR="008B740A">
        <w:rPr>
          <w:lang w:val="fr-FR"/>
        </w:rPr>
        <w:t>’</w:t>
      </w:r>
      <w:r w:rsidRPr="00711EE7">
        <w:rPr>
          <w:lang w:val="fr-FR"/>
        </w:rPr>
        <w:t>article 5 de la Convention puisqu</w:t>
      </w:r>
      <w:r w:rsidR="008B740A">
        <w:rPr>
          <w:lang w:val="fr-FR"/>
        </w:rPr>
        <w:t>’</w:t>
      </w:r>
      <w:r w:rsidRPr="00711EE7">
        <w:rPr>
          <w:lang w:val="fr-FR"/>
        </w:rPr>
        <w:t>on lui a réclamé une pension alimentaire et parce que le déni de contact avec sa fille serait uniquement lié au fait que la mère a estimé que le montant versé n</w:t>
      </w:r>
      <w:r w:rsidR="008B740A">
        <w:rPr>
          <w:lang w:val="fr-FR"/>
        </w:rPr>
        <w:t>’</w:t>
      </w:r>
      <w:r w:rsidRPr="00711EE7">
        <w:rPr>
          <w:lang w:val="fr-FR"/>
        </w:rPr>
        <w:t xml:space="preserve">était pas suffisant. </w:t>
      </w:r>
      <w:r w:rsidRPr="00711EE7">
        <w:rPr>
          <w:lang w:val="fr-FR"/>
        </w:rPr>
        <w:lastRenderedPageBreak/>
        <w:t>Cependant, l</w:t>
      </w:r>
      <w:r w:rsidR="008B740A">
        <w:rPr>
          <w:lang w:val="fr-FR"/>
        </w:rPr>
        <w:t>’</w:t>
      </w:r>
      <w:r w:rsidRPr="00711EE7">
        <w:rPr>
          <w:lang w:val="fr-FR"/>
        </w:rPr>
        <w:t>auteur soutient que le montant équivaut à une part importante de son traitement. Il fait observer que l</w:t>
      </w:r>
      <w:r w:rsidR="008B740A">
        <w:rPr>
          <w:lang w:val="fr-FR"/>
        </w:rPr>
        <w:t>’</w:t>
      </w:r>
      <w:r w:rsidRPr="00711EE7">
        <w:rPr>
          <w:lang w:val="fr-FR"/>
        </w:rPr>
        <w:t>examen de la question en première instance a duré deux ans et qu</w:t>
      </w:r>
      <w:r w:rsidR="008B740A">
        <w:rPr>
          <w:lang w:val="fr-FR"/>
        </w:rPr>
        <w:t>’</w:t>
      </w:r>
      <w:r w:rsidRPr="00711EE7">
        <w:rPr>
          <w:lang w:val="fr-FR"/>
        </w:rPr>
        <w:t>en fin de compte, il a dû doubler le montant de la pension avec effet rétroactif. Il</w:t>
      </w:r>
      <w:r>
        <w:rPr>
          <w:lang w:val="fr-FR"/>
        </w:rPr>
        <w:t> </w:t>
      </w:r>
      <w:r w:rsidRPr="00711EE7">
        <w:rPr>
          <w:lang w:val="fr-FR"/>
        </w:rPr>
        <w:t>soutient qu</w:t>
      </w:r>
      <w:r w:rsidR="008B740A">
        <w:rPr>
          <w:lang w:val="fr-FR"/>
        </w:rPr>
        <w:t>’</w:t>
      </w:r>
      <w:r w:rsidRPr="00711EE7">
        <w:rPr>
          <w:lang w:val="fr-FR"/>
        </w:rPr>
        <w:t>on ne devrait pas empêcher les contacts avec sa fille dans le seul objectif d</w:t>
      </w:r>
      <w:r w:rsidR="008B740A">
        <w:rPr>
          <w:lang w:val="fr-FR"/>
        </w:rPr>
        <w:t>’</w:t>
      </w:r>
      <w:r w:rsidRPr="00711EE7">
        <w:rPr>
          <w:lang w:val="fr-FR"/>
        </w:rPr>
        <w:t xml:space="preserve">obtenir un soutien </w:t>
      </w:r>
      <w:r>
        <w:rPr>
          <w:lang w:val="fr-FR"/>
        </w:rPr>
        <w:t>financier</w:t>
      </w:r>
      <w:r w:rsidRPr="00711EE7">
        <w:rPr>
          <w:lang w:val="fr-FR"/>
        </w:rPr>
        <w:t xml:space="preserve"> plus </w:t>
      </w:r>
      <w:r>
        <w:rPr>
          <w:lang w:val="fr-FR"/>
        </w:rPr>
        <w:t>important</w:t>
      </w:r>
      <w:r w:rsidRPr="00711EE7">
        <w:rPr>
          <w:lang w:val="fr-FR"/>
        </w:rPr>
        <w:t xml:space="preserve"> et qu</w:t>
      </w:r>
      <w:r w:rsidR="008B740A">
        <w:rPr>
          <w:lang w:val="fr-FR"/>
        </w:rPr>
        <w:t>’</w:t>
      </w:r>
      <w:r w:rsidRPr="00711EE7">
        <w:rPr>
          <w:lang w:val="fr-FR"/>
        </w:rPr>
        <w:t>il n</w:t>
      </w:r>
      <w:r w:rsidR="008B740A">
        <w:rPr>
          <w:lang w:val="fr-FR"/>
        </w:rPr>
        <w:t>’</w:t>
      </w:r>
      <w:r w:rsidRPr="00711EE7">
        <w:rPr>
          <w:lang w:val="fr-FR"/>
        </w:rPr>
        <w:t>a pas les moyens d</w:t>
      </w:r>
      <w:r w:rsidR="008B740A">
        <w:rPr>
          <w:lang w:val="fr-FR"/>
        </w:rPr>
        <w:t>’</w:t>
      </w:r>
      <w:r w:rsidRPr="00711EE7">
        <w:rPr>
          <w:lang w:val="fr-FR"/>
        </w:rPr>
        <w:t>augmenter la pension qu</w:t>
      </w:r>
      <w:r w:rsidR="008B740A">
        <w:rPr>
          <w:lang w:val="fr-FR"/>
        </w:rPr>
        <w:t>’</w:t>
      </w:r>
      <w:r w:rsidRPr="00711EE7">
        <w:rPr>
          <w:lang w:val="fr-FR"/>
        </w:rPr>
        <w:t>il verse à cause de la crise aiguë que traverse l</w:t>
      </w:r>
      <w:r w:rsidR="008B740A">
        <w:rPr>
          <w:lang w:val="fr-FR"/>
        </w:rPr>
        <w:t>’</w:t>
      </w:r>
      <w:r w:rsidRPr="00711EE7">
        <w:rPr>
          <w:lang w:val="fr-FR"/>
        </w:rPr>
        <w:t>État argentin, qui est son employeur.</w:t>
      </w:r>
    </w:p>
    <w:p w:rsidR="007E2A0F" w:rsidRPr="00711EE7" w:rsidRDefault="007E2A0F" w:rsidP="007E2A0F">
      <w:pPr>
        <w:pStyle w:val="SingleTxtG"/>
        <w:rPr>
          <w:lang w:val="fr-FR"/>
        </w:rPr>
      </w:pPr>
      <w:r w:rsidRPr="00711EE7">
        <w:rPr>
          <w:lang w:val="fr-FR"/>
        </w:rPr>
        <w:t>3.5</w:t>
      </w:r>
      <w:r w:rsidRPr="00711EE7">
        <w:rPr>
          <w:lang w:val="fr-FR"/>
        </w:rPr>
        <w:tab/>
        <w:t>L</w:t>
      </w:r>
      <w:r w:rsidR="008B740A">
        <w:rPr>
          <w:lang w:val="fr-FR"/>
        </w:rPr>
        <w:t>’</w:t>
      </w:r>
      <w:r w:rsidRPr="00711EE7">
        <w:rPr>
          <w:lang w:val="fr-FR"/>
        </w:rPr>
        <w:t>auteur affirme également que l</w:t>
      </w:r>
      <w:r w:rsidR="008B740A">
        <w:rPr>
          <w:lang w:val="fr-FR"/>
        </w:rPr>
        <w:t>’</w:t>
      </w:r>
      <w:r w:rsidRPr="00711EE7">
        <w:rPr>
          <w:lang w:val="fr-FR"/>
        </w:rPr>
        <w:t>État partie a violé l</w:t>
      </w:r>
      <w:r w:rsidR="008B740A">
        <w:rPr>
          <w:lang w:val="fr-FR"/>
        </w:rPr>
        <w:t>’</w:t>
      </w:r>
      <w:r w:rsidRPr="00711EE7">
        <w:rPr>
          <w:lang w:val="fr-FR"/>
        </w:rPr>
        <w:t xml:space="preserve">article 9 </w:t>
      </w:r>
      <w:r>
        <w:rPr>
          <w:lang w:val="fr-FR"/>
        </w:rPr>
        <w:t>(</w:t>
      </w:r>
      <w:r w:rsidRPr="00711EE7">
        <w:rPr>
          <w:lang w:val="fr-FR"/>
        </w:rPr>
        <w:t>par</w:t>
      </w:r>
      <w:r>
        <w:rPr>
          <w:lang w:val="fr-FR"/>
        </w:rPr>
        <w:t>.</w:t>
      </w:r>
      <w:r w:rsidRPr="00711EE7">
        <w:rPr>
          <w:lang w:val="fr-FR"/>
        </w:rPr>
        <w:t> 3</w:t>
      </w:r>
      <w:r>
        <w:rPr>
          <w:lang w:val="fr-FR"/>
        </w:rPr>
        <w:t>)</w:t>
      </w:r>
      <w:r w:rsidRPr="00711EE7">
        <w:rPr>
          <w:lang w:val="fr-FR"/>
        </w:rPr>
        <w:t xml:space="preserve"> de la Convention</w:t>
      </w:r>
      <w:r>
        <w:rPr>
          <w:lang w:val="fr-FR"/>
        </w:rPr>
        <w:t>,</w:t>
      </w:r>
      <w:r w:rsidRPr="00711EE7">
        <w:rPr>
          <w:lang w:val="fr-FR"/>
        </w:rPr>
        <w:t xml:space="preserve"> selon lequel les États parties sont tenus de faire respecter le droit de l</w:t>
      </w:r>
      <w:r w:rsidR="008B740A">
        <w:rPr>
          <w:lang w:val="fr-FR"/>
        </w:rPr>
        <w:t>’</w:t>
      </w:r>
      <w:r w:rsidRPr="00711EE7">
        <w:rPr>
          <w:lang w:val="fr-FR"/>
        </w:rPr>
        <w:t>enfant séparé de ses deux parents ou de l</w:t>
      </w:r>
      <w:r w:rsidR="008B740A">
        <w:rPr>
          <w:lang w:val="fr-FR"/>
        </w:rPr>
        <w:t>’</w:t>
      </w:r>
      <w:r w:rsidRPr="00711EE7">
        <w:rPr>
          <w:lang w:val="fr-FR"/>
        </w:rPr>
        <w:t>un deux d</w:t>
      </w:r>
      <w:r w:rsidR="008B740A">
        <w:rPr>
          <w:lang w:val="fr-FR"/>
        </w:rPr>
        <w:t>’</w:t>
      </w:r>
      <w:r w:rsidRPr="00711EE7">
        <w:rPr>
          <w:lang w:val="fr-FR"/>
        </w:rPr>
        <w:t>entretenir régulièrement des relations personnelles et des contacts directs avec ses deux parents. L</w:t>
      </w:r>
      <w:r w:rsidR="008B740A">
        <w:rPr>
          <w:lang w:val="fr-FR"/>
        </w:rPr>
        <w:t>’</w:t>
      </w:r>
      <w:r w:rsidRPr="00711EE7">
        <w:rPr>
          <w:lang w:val="fr-FR"/>
        </w:rPr>
        <w:t xml:space="preserve">auteur renvoie à un arrêt </w:t>
      </w:r>
      <w:r>
        <w:rPr>
          <w:lang w:val="fr-FR"/>
        </w:rPr>
        <w:t xml:space="preserve">de la justice </w:t>
      </w:r>
      <w:r w:rsidRPr="00711EE7">
        <w:rPr>
          <w:lang w:val="fr-FR"/>
        </w:rPr>
        <w:t>argentin</w:t>
      </w:r>
      <w:r>
        <w:rPr>
          <w:lang w:val="fr-FR"/>
        </w:rPr>
        <w:t>e</w:t>
      </w:r>
      <w:r w:rsidRPr="00711EE7">
        <w:rPr>
          <w:lang w:val="fr-FR"/>
        </w:rPr>
        <w:t xml:space="preserve"> selon lequel</w:t>
      </w:r>
      <w:r>
        <w:rPr>
          <w:lang w:val="fr-FR"/>
        </w:rPr>
        <w:t>,</w:t>
      </w:r>
      <w:r w:rsidRPr="00711EE7">
        <w:rPr>
          <w:lang w:val="fr-FR"/>
        </w:rPr>
        <w:t xml:space="preserve"> </w:t>
      </w:r>
      <w:r>
        <w:rPr>
          <w:lang w:val="fr-FR"/>
        </w:rPr>
        <w:t>après</w:t>
      </w:r>
      <w:r w:rsidRPr="00711EE7">
        <w:rPr>
          <w:lang w:val="fr-FR"/>
        </w:rPr>
        <w:t xml:space="preserve"> la séparation, les parents doivent veiller à ce que leurs enfants communiquent avec le parent avec lequel ils ne cohabitent pas et, plus encore, les États doivent respecter ce droit que la Convention décrit comme un droit ayant pour objet d</w:t>
      </w:r>
      <w:r w:rsidR="008B740A">
        <w:rPr>
          <w:lang w:val="fr-FR"/>
        </w:rPr>
        <w:t>’</w:t>
      </w:r>
      <w:r w:rsidRPr="00711EE7">
        <w:rPr>
          <w:lang w:val="fr-FR"/>
        </w:rPr>
        <w:t>assurer à l</w:t>
      </w:r>
      <w:r w:rsidR="008B740A">
        <w:rPr>
          <w:lang w:val="fr-FR"/>
        </w:rPr>
        <w:t>’</w:t>
      </w:r>
      <w:r w:rsidRPr="00711EE7">
        <w:rPr>
          <w:lang w:val="fr-FR"/>
        </w:rPr>
        <w:t>enfant d</w:t>
      </w:r>
      <w:r w:rsidR="008B740A">
        <w:rPr>
          <w:lang w:val="fr-FR"/>
        </w:rPr>
        <w:t>’</w:t>
      </w:r>
      <w:r w:rsidRPr="00711EE7">
        <w:rPr>
          <w:lang w:val="fr-FR"/>
        </w:rPr>
        <w:t>entretenir régulièrement des relations personnelles et des contacts directs avec ses deux parents. L</w:t>
      </w:r>
      <w:r w:rsidR="008B740A">
        <w:rPr>
          <w:lang w:val="fr-FR"/>
        </w:rPr>
        <w:t>’</w:t>
      </w:r>
      <w:r w:rsidRPr="00711EE7">
        <w:rPr>
          <w:lang w:val="fr-FR"/>
        </w:rPr>
        <w:t>auteur affirme qu</w:t>
      </w:r>
      <w:r w:rsidR="008B740A">
        <w:rPr>
          <w:lang w:val="fr-FR"/>
        </w:rPr>
        <w:t>’</w:t>
      </w:r>
      <w:r w:rsidRPr="00711EE7">
        <w:rPr>
          <w:lang w:val="fr-FR"/>
        </w:rPr>
        <w:t>il s</w:t>
      </w:r>
      <w:r w:rsidR="008B740A">
        <w:rPr>
          <w:lang w:val="fr-FR"/>
        </w:rPr>
        <w:t>’</w:t>
      </w:r>
      <w:r w:rsidRPr="00711EE7">
        <w:rPr>
          <w:lang w:val="fr-FR"/>
        </w:rPr>
        <w:t>acquitte régulièrement de ses obligations en matière de pension alimentaire</w:t>
      </w:r>
      <w:r w:rsidR="002D4F36">
        <w:rPr>
          <w:lang w:val="fr-FR"/>
        </w:rPr>
        <w:t xml:space="preserve"> </w:t>
      </w:r>
      <w:r>
        <w:rPr>
          <w:lang w:val="fr-FR"/>
        </w:rPr>
        <w:t xml:space="preserve">et que </w:t>
      </w:r>
      <w:r w:rsidRPr="00711EE7">
        <w:rPr>
          <w:lang w:val="fr-FR"/>
        </w:rPr>
        <w:t>rien ne s</w:t>
      </w:r>
      <w:r w:rsidR="008B740A">
        <w:rPr>
          <w:lang w:val="fr-FR"/>
        </w:rPr>
        <w:t>’</w:t>
      </w:r>
      <w:r w:rsidRPr="00711EE7">
        <w:rPr>
          <w:lang w:val="fr-FR"/>
        </w:rPr>
        <w:t xml:space="preserve">oppose donc à ce que la mère </w:t>
      </w:r>
      <w:r>
        <w:rPr>
          <w:lang w:val="fr-FR"/>
        </w:rPr>
        <w:t>souscrive à un service d</w:t>
      </w:r>
      <w:r w:rsidR="008B740A">
        <w:rPr>
          <w:lang w:val="fr-FR"/>
        </w:rPr>
        <w:t>’</w:t>
      </w:r>
      <w:r>
        <w:rPr>
          <w:lang w:val="fr-FR"/>
        </w:rPr>
        <w:t>accès à</w:t>
      </w:r>
      <w:r w:rsidRPr="00711EE7">
        <w:rPr>
          <w:lang w:val="fr-FR"/>
        </w:rPr>
        <w:t xml:space="preserve"> Internet, </w:t>
      </w:r>
      <w:r>
        <w:rPr>
          <w:lang w:val="fr-FR"/>
        </w:rPr>
        <w:t>ce qui est facile à faire</w:t>
      </w:r>
      <w:r w:rsidRPr="00711EE7">
        <w:rPr>
          <w:lang w:val="fr-FR"/>
        </w:rPr>
        <w:t xml:space="preserve">, </w:t>
      </w:r>
      <w:r>
        <w:rPr>
          <w:lang w:val="fr-FR"/>
        </w:rPr>
        <w:t>y compris pour</w:t>
      </w:r>
      <w:r w:rsidRPr="00711EE7">
        <w:rPr>
          <w:lang w:val="fr-FR"/>
        </w:rPr>
        <w:t xml:space="preserve"> les téléphones portables.</w:t>
      </w:r>
    </w:p>
    <w:p w:rsidR="007E2A0F" w:rsidRPr="00711EE7" w:rsidRDefault="007E2A0F" w:rsidP="007E2A0F">
      <w:pPr>
        <w:pStyle w:val="SingleTxtG"/>
        <w:rPr>
          <w:lang w:val="fr-FR"/>
        </w:rPr>
      </w:pPr>
      <w:r w:rsidRPr="00711EE7">
        <w:rPr>
          <w:lang w:val="fr-FR"/>
        </w:rPr>
        <w:t>3.6</w:t>
      </w:r>
      <w:r w:rsidRPr="00711EE7">
        <w:rPr>
          <w:lang w:val="fr-FR"/>
        </w:rPr>
        <w:tab/>
        <w:t>L</w:t>
      </w:r>
      <w:r w:rsidR="008B740A">
        <w:rPr>
          <w:lang w:val="fr-FR"/>
        </w:rPr>
        <w:t>’</w:t>
      </w:r>
      <w:r w:rsidRPr="00711EE7">
        <w:rPr>
          <w:lang w:val="fr-FR"/>
        </w:rPr>
        <w:t>auteur affirme que l</w:t>
      </w:r>
      <w:r w:rsidR="008B740A">
        <w:rPr>
          <w:lang w:val="fr-FR"/>
        </w:rPr>
        <w:t>’</w:t>
      </w:r>
      <w:r w:rsidRPr="00711EE7">
        <w:rPr>
          <w:lang w:val="fr-FR"/>
        </w:rPr>
        <w:t>État partie a également violé l</w:t>
      </w:r>
      <w:r w:rsidR="008B740A">
        <w:rPr>
          <w:lang w:val="fr-FR"/>
        </w:rPr>
        <w:t>’</w:t>
      </w:r>
      <w:r w:rsidRPr="00711EE7">
        <w:rPr>
          <w:lang w:val="fr-FR"/>
        </w:rPr>
        <w:t>article 10</w:t>
      </w:r>
      <w:r>
        <w:rPr>
          <w:lang w:val="fr-FR"/>
        </w:rPr>
        <w:t xml:space="preserve"> (par.</w:t>
      </w:r>
      <w:r w:rsidR="002D4F36">
        <w:rPr>
          <w:lang w:val="fr-FR"/>
        </w:rPr>
        <w:t> </w:t>
      </w:r>
      <w:r>
        <w:rPr>
          <w:lang w:val="fr-FR"/>
        </w:rPr>
        <w:t>2)</w:t>
      </w:r>
      <w:r w:rsidRPr="00711EE7">
        <w:rPr>
          <w:lang w:val="fr-FR"/>
        </w:rPr>
        <w:t xml:space="preserve"> de la Convention selon lequel un enfant dont les parents résident dans des </w:t>
      </w:r>
      <w:r>
        <w:rPr>
          <w:lang w:val="fr-FR"/>
        </w:rPr>
        <w:t>É</w:t>
      </w:r>
      <w:r w:rsidRPr="00711EE7">
        <w:rPr>
          <w:lang w:val="fr-FR"/>
        </w:rPr>
        <w:t>tats différents a le droit d</w:t>
      </w:r>
      <w:r w:rsidR="008B740A">
        <w:rPr>
          <w:lang w:val="fr-FR"/>
        </w:rPr>
        <w:t>’</w:t>
      </w:r>
      <w:r w:rsidRPr="00711EE7">
        <w:rPr>
          <w:lang w:val="fr-FR"/>
        </w:rPr>
        <w:t>entretenir, sauf circonstances exceptionnelles, des relations personnelles et des contacts directs réguliers avec ses deux parents</w:t>
      </w:r>
      <w:r w:rsidRPr="00711EE7">
        <w:rPr>
          <w:rFonts w:ascii="Verdana" w:hAnsi="Verdana"/>
          <w:sz w:val="19"/>
          <w:szCs w:val="19"/>
          <w:shd w:val="clear" w:color="auto" w:fill="FFFFFF"/>
          <w:lang w:val="fr-FR"/>
        </w:rPr>
        <w:t>.</w:t>
      </w:r>
      <w:r w:rsidRPr="00711EE7">
        <w:rPr>
          <w:lang w:val="fr-FR"/>
        </w:rPr>
        <w:t xml:space="preserve"> Il appelle l</w:t>
      </w:r>
      <w:r w:rsidR="008B740A">
        <w:rPr>
          <w:lang w:val="fr-FR"/>
        </w:rPr>
        <w:t>’</w:t>
      </w:r>
      <w:r w:rsidRPr="00711EE7">
        <w:rPr>
          <w:lang w:val="fr-FR"/>
        </w:rPr>
        <w:t>attention sur le fait qu</w:t>
      </w:r>
      <w:r w:rsidR="008B740A">
        <w:rPr>
          <w:lang w:val="fr-FR"/>
        </w:rPr>
        <w:t>’</w:t>
      </w:r>
      <w:r w:rsidRPr="00711EE7">
        <w:rPr>
          <w:lang w:val="fr-FR"/>
        </w:rPr>
        <w:t>en l</w:t>
      </w:r>
      <w:r w:rsidR="008B740A">
        <w:rPr>
          <w:lang w:val="fr-FR"/>
        </w:rPr>
        <w:t>’</w:t>
      </w:r>
      <w:r w:rsidRPr="00711EE7">
        <w:rPr>
          <w:lang w:val="fr-FR"/>
        </w:rPr>
        <w:t>espèce, il n</w:t>
      </w:r>
      <w:r w:rsidR="008B740A">
        <w:rPr>
          <w:lang w:val="fr-FR"/>
        </w:rPr>
        <w:t>’</w:t>
      </w:r>
      <w:r w:rsidRPr="00711EE7">
        <w:rPr>
          <w:lang w:val="fr-FR"/>
        </w:rPr>
        <w:t xml:space="preserve">existe pas de circonstances exceptionnelles qui </w:t>
      </w:r>
      <w:r>
        <w:rPr>
          <w:lang w:val="fr-FR"/>
        </w:rPr>
        <w:t>l</w:t>
      </w:r>
      <w:r w:rsidR="008B740A">
        <w:rPr>
          <w:lang w:val="fr-FR"/>
        </w:rPr>
        <w:t>’</w:t>
      </w:r>
      <w:r w:rsidRPr="00711EE7">
        <w:rPr>
          <w:lang w:val="fr-FR"/>
        </w:rPr>
        <w:t xml:space="preserve">empêcheraient </w:t>
      </w:r>
      <w:r>
        <w:rPr>
          <w:lang w:val="fr-FR"/>
        </w:rPr>
        <w:t>d</w:t>
      </w:r>
      <w:r w:rsidR="008B740A">
        <w:rPr>
          <w:lang w:val="fr-FR"/>
        </w:rPr>
        <w:t>’</w:t>
      </w:r>
      <w:r>
        <w:rPr>
          <w:lang w:val="fr-FR"/>
        </w:rPr>
        <w:t>avoir</w:t>
      </w:r>
      <w:r w:rsidRPr="00711EE7">
        <w:rPr>
          <w:lang w:val="fr-FR"/>
        </w:rPr>
        <w:t xml:space="preserve"> des relations avec sa fille. Bien qu</w:t>
      </w:r>
      <w:r w:rsidR="008B740A">
        <w:rPr>
          <w:lang w:val="fr-FR"/>
        </w:rPr>
        <w:t>’</w:t>
      </w:r>
      <w:r w:rsidRPr="00711EE7">
        <w:rPr>
          <w:lang w:val="fr-FR"/>
        </w:rPr>
        <w:t>il se soit adressé aux autorités de l</w:t>
      </w:r>
      <w:r w:rsidR="008B740A">
        <w:rPr>
          <w:lang w:val="fr-FR"/>
        </w:rPr>
        <w:t>’</w:t>
      </w:r>
      <w:r w:rsidRPr="00711EE7">
        <w:rPr>
          <w:lang w:val="fr-FR"/>
        </w:rPr>
        <w:t>État partie en de nombreuses occasions, il n</w:t>
      </w:r>
      <w:r w:rsidR="008B740A">
        <w:rPr>
          <w:lang w:val="fr-FR"/>
        </w:rPr>
        <w:t>’</w:t>
      </w:r>
      <w:r w:rsidRPr="00711EE7">
        <w:rPr>
          <w:lang w:val="fr-FR"/>
        </w:rPr>
        <w:t>a reçu aucune réponse positive ou rapide.</w:t>
      </w:r>
    </w:p>
    <w:p w:rsidR="007E2A0F" w:rsidRPr="00711EE7" w:rsidRDefault="007E2A0F" w:rsidP="007E2A0F">
      <w:pPr>
        <w:pStyle w:val="SingleTxtG"/>
        <w:rPr>
          <w:lang w:val="fr-FR"/>
        </w:rPr>
      </w:pPr>
      <w:r w:rsidRPr="00711EE7">
        <w:rPr>
          <w:lang w:val="fr-FR"/>
        </w:rPr>
        <w:t>3.7</w:t>
      </w:r>
      <w:r w:rsidRPr="00711EE7">
        <w:rPr>
          <w:lang w:val="fr-FR"/>
        </w:rPr>
        <w:tab/>
        <w:t>L</w:t>
      </w:r>
      <w:r w:rsidR="008B740A">
        <w:rPr>
          <w:lang w:val="fr-FR"/>
        </w:rPr>
        <w:t>’</w:t>
      </w:r>
      <w:r w:rsidRPr="00711EE7">
        <w:rPr>
          <w:lang w:val="fr-FR"/>
        </w:rPr>
        <w:t>auteur affirme en outre que l</w:t>
      </w:r>
      <w:r w:rsidR="008B740A">
        <w:rPr>
          <w:lang w:val="fr-FR"/>
        </w:rPr>
        <w:t>’</w:t>
      </w:r>
      <w:r w:rsidRPr="00711EE7">
        <w:rPr>
          <w:lang w:val="fr-FR"/>
        </w:rPr>
        <w:t>État partie a violé les articles 18 et 19 de la Convention. Il fait observer que ces articles évoquent les conséquences que la non</w:t>
      </w:r>
      <w:r>
        <w:rPr>
          <w:lang w:val="fr-FR"/>
        </w:rPr>
        <w:noBreakHyphen/>
      </w:r>
      <w:r w:rsidRPr="00711EE7">
        <w:rPr>
          <w:lang w:val="fr-FR"/>
        </w:rPr>
        <w:t>exécution du régime de maintien des relations a pour sa fille. Il indique que les deux parents ont une responsabilité commune pour ce qui est d</w:t>
      </w:r>
      <w:r w:rsidR="008B740A">
        <w:rPr>
          <w:lang w:val="fr-FR"/>
        </w:rPr>
        <w:t>’</w:t>
      </w:r>
      <w:r w:rsidRPr="00711EE7">
        <w:rPr>
          <w:lang w:val="fr-FR"/>
        </w:rPr>
        <w:t>élever l</w:t>
      </w:r>
      <w:r w:rsidR="008B740A">
        <w:rPr>
          <w:lang w:val="fr-FR"/>
        </w:rPr>
        <w:t>’</w:t>
      </w:r>
      <w:r w:rsidRPr="00711EE7">
        <w:rPr>
          <w:lang w:val="fr-FR"/>
        </w:rPr>
        <w:t>enfant et d</w:t>
      </w:r>
      <w:r w:rsidR="008B740A">
        <w:rPr>
          <w:lang w:val="fr-FR"/>
        </w:rPr>
        <w:t>’</w:t>
      </w:r>
      <w:r w:rsidRPr="00711EE7">
        <w:rPr>
          <w:lang w:val="fr-FR"/>
        </w:rPr>
        <w:t>assurer son développement</w:t>
      </w:r>
      <w:r>
        <w:rPr>
          <w:lang w:val="fr-FR"/>
        </w:rPr>
        <w:t xml:space="preserve"> et que</w:t>
      </w:r>
      <w:r w:rsidRPr="00711EE7">
        <w:rPr>
          <w:lang w:val="fr-FR"/>
        </w:rPr>
        <w:t xml:space="preserve"> l</w:t>
      </w:r>
      <w:r w:rsidR="008B740A">
        <w:rPr>
          <w:lang w:val="fr-FR"/>
        </w:rPr>
        <w:t>’</w:t>
      </w:r>
      <w:r w:rsidRPr="00711EE7">
        <w:rPr>
          <w:lang w:val="fr-FR"/>
        </w:rPr>
        <w:t>inaction de l</w:t>
      </w:r>
      <w:r w:rsidR="008B740A">
        <w:rPr>
          <w:lang w:val="fr-FR"/>
        </w:rPr>
        <w:t>’</w:t>
      </w:r>
      <w:r w:rsidRPr="00711EE7">
        <w:rPr>
          <w:lang w:val="fr-FR"/>
        </w:rPr>
        <w:t>État partie s</w:t>
      </w:r>
      <w:r w:rsidR="008B740A">
        <w:rPr>
          <w:lang w:val="fr-FR"/>
        </w:rPr>
        <w:t>’</w:t>
      </w:r>
      <w:r w:rsidRPr="00711EE7">
        <w:rPr>
          <w:lang w:val="fr-FR"/>
        </w:rPr>
        <w:t xml:space="preserve">agissant de garantir ses droits est manifeste. </w:t>
      </w:r>
    </w:p>
    <w:p w:rsidR="007E2A0F" w:rsidRPr="00711EE7" w:rsidRDefault="007E2A0F" w:rsidP="007E2A0F">
      <w:pPr>
        <w:pStyle w:val="SingleTxtG"/>
        <w:rPr>
          <w:lang w:val="fr-FR"/>
        </w:rPr>
      </w:pPr>
      <w:r w:rsidRPr="00711EE7">
        <w:rPr>
          <w:lang w:val="fr-FR"/>
        </w:rPr>
        <w:t>3.8</w:t>
      </w:r>
      <w:r w:rsidRPr="00711EE7">
        <w:rPr>
          <w:lang w:val="fr-FR"/>
        </w:rPr>
        <w:tab/>
        <w:t>L</w:t>
      </w:r>
      <w:r w:rsidR="008B740A">
        <w:rPr>
          <w:lang w:val="fr-FR"/>
        </w:rPr>
        <w:t>’</w:t>
      </w:r>
      <w:r w:rsidRPr="00711EE7">
        <w:rPr>
          <w:lang w:val="fr-FR"/>
        </w:rPr>
        <w:t>auteur affirme avoir épuisé tous les recours internes prévus par la législation de l</w:t>
      </w:r>
      <w:r w:rsidR="008B740A">
        <w:rPr>
          <w:lang w:val="fr-FR"/>
        </w:rPr>
        <w:t>’</w:t>
      </w:r>
      <w:r w:rsidRPr="00711EE7">
        <w:rPr>
          <w:lang w:val="fr-FR"/>
        </w:rPr>
        <w:t>État partie, puisqu</w:t>
      </w:r>
      <w:r w:rsidR="008B740A">
        <w:rPr>
          <w:lang w:val="fr-FR"/>
        </w:rPr>
        <w:t>’</w:t>
      </w:r>
      <w:r w:rsidRPr="00711EE7">
        <w:rPr>
          <w:lang w:val="fr-FR"/>
        </w:rPr>
        <w:t>il est allé jusqu</w:t>
      </w:r>
      <w:r w:rsidR="008B740A">
        <w:rPr>
          <w:lang w:val="fr-FR"/>
        </w:rPr>
        <w:t>’</w:t>
      </w:r>
      <w:r w:rsidRPr="00711EE7">
        <w:rPr>
          <w:lang w:val="fr-FR"/>
        </w:rPr>
        <w:t>au Tribunal d</w:t>
      </w:r>
      <w:r w:rsidR="008B740A">
        <w:rPr>
          <w:lang w:val="fr-FR"/>
        </w:rPr>
        <w:t>’</w:t>
      </w:r>
      <w:r w:rsidRPr="00711EE7">
        <w:rPr>
          <w:lang w:val="fr-FR"/>
        </w:rPr>
        <w:t>appel pour enfants et adolescents, dont les décisions ne sont pas susceptibles de pourvoi devant la Cour suprême de justice. Il</w:t>
      </w:r>
      <w:r>
        <w:rPr>
          <w:lang w:val="fr-FR"/>
        </w:rPr>
        <w:t> </w:t>
      </w:r>
      <w:r w:rsidRPr="00711EE7">
        <w:rPr>
          <w:lang w:val="fr-FR"/>
        </w:rPr>
        <w:t xml:space="preserve">réaffirme que tous les juges de première comme de seconde instance ont refusé toute mesure provisoire, notamment la possibilité de communiquer avec sa fille par le truchement du </w:t>
      </w:r>
      <w:proofErr w:type="spellStart"/>
      <w:r w:rsidRPr="00711EE7">
        <w:rPr>
          <w:lang w:val="fr-FR"/>
        </w:rPr>
        <w:t>Colegio</w:t>
      </w:r>
      <w:proofErr w:type="spellEnd"/>
      <w:r w:rsidRPr="00711EE7">
        <w:rPr>
          <w:lang w:val="fr-FR"/>
        </w:rPr>
        <w:t xml:space="preserve"> San José, afin </w:t>
      </w:r>
      <w:r>
        <w:rPr>
          <w:lang w:val="fr-FR"/>
        </w:rPr>
        <w:t>qu</w:t>
      </w:r>
      <w:r w:rsidR="008B740A">
        <w:rPr>
          <w:lang w:val="fr-FR"/>
        </w:rPr>
        <w:t>’</w:t>
      </w:r>
      <w:r>
        <w:rPr>
          <w:lang w:val="fr-FR"/>
        </w:rPr>
        <w:t xml:space="preserve">il puisse au moins avoir de meilleures </w:t>
      </w:r>
      <w:r w:rsidRPr="00711EE7">
        <w:rPr>
          <w:lang w:val="fr-FR"/>
        </w:rPr>
        <w:t>relation</w:t>
      </w:r>
      <w:r>
        <w:rPr>
          <w:lang w:val="fr-FR"/>
        </w:rPr>
        <w:t>s</w:t>
      </w:r>
      <w:r w:rsidRPr="00711EE7">
        <w:rPr>
          <w:lang w:val="fr-FR"/>
        </w:rPr>
        <w:t xml:space="preserve"> avec elle.</w:t>
      </w:r>
    </w:p>
    <w:p w:rsidR="007E2A0F" w:rsidRPr="00711EE7" w:rsidRDefault="007E2A0F" w:rsidP="007E2A0F">
      <w:pPr>
        <w:pStyle w:val="SingleTxtG"/>
        <w:rPr>
          <w:lang w:val="fr-FR"/>
        </w:rPr>
      </w:pPr>
      <w:r w:rsidRPr="00711EE7">
        <w:rPr>
          <w:lang w:val="fr-FR"/>
        </w:rPr>
        <w:t>3.9</w:t>
      </w:r>
      <w:r w:rsidRPr="00711EE7">
        <w:rPr>
          <w:lang w:val="fr-FR"/>
        </w:rPr>
        <w:tab/>
        <w:t>L</w:t>
      </w:r>
      <w:r w:rsidR="008B740A">
        <w:rPr>
          <w:lang w:val="fr-FR"/>
        </w:rPr>
        <w:t>’</w:t>
      </w:r>
      <w:r w:rsidRPr="00711EE7">
        <w:rPr>
          <w:lang w:val="fr-FR"/>
        </w:rPr>
        <w:t>auteur conclut qu</w:t>
      </w:r>
      <w:r w:rsidR="008B740A">
        <w:rPr>
          <w:lang w:val="fr-FR"/>
        </w:rPr>
        <w:t>’</w:t>
      </w:r>
      <w:r w:rsidRPr="00711EE7">
        <w:rPr>
          <w:lang w:val="fr-FR"/>
        </w:rPr>
        <w:t>il existe une sentence judiciaire définitive, confirmée par le Tribunal d</w:t>
      </w:r>
      <w:r w:rsidR="008B740A">
        <w:rPr>
          <w:lang w:val="fr-FR"/>
        </w:rPr>
        <w:t>’</w:t>
      </w:r>
      <w:r w:rsidRPr="00711EE7">
        <w:rPr>
          <w:lang w:val="fr-FR"/>
        </w:rPr>
        <w:t>appel. Il réaffirme avoir demandé diverses mesures aux autorités judiciaires, mais qu</w:t>
      </w:r>
      <w:r w:rsidR="008B740A">
        <w:rPr>
          <w:lang w:val="fr-FR"/>
        </w:rPr>
        <w:t>’</w:t>
      </w:r>
      <w:r w:rsidRPr="00711EE7">
        <w:rPr>
          <w:lang w:val="fr-FR"/>
        </w:rPr>
        <w:t>il n</w:t>
      </w:r>
      <w:r w:rsidR="008B740A">
        <w:rPr>
          <w:lang w:val="fr-FR"/>
        </w:rPr>
        <w:t>’</w:t>
      </w:r>
      <w:r w:rsidRPr="00711EE7">
        <w:rPr>
          <w:lang w:val="fr-FR"/>
        </w:rPr>
        <w:t>a jamais été donné suite</w:t>
      </w:r>
      <w:r w:rsidR="002D4F36">
        <w:rPr>
          <w:lang w:val="fr-FR"/>
        </w:rPr>
        <w:t xml:space="preserve"> </w:t>
      </w:r>
      <w:r w:rsidRPr="00711EE7">
        <w:rPr>
          <w:lang w:val="fr-FR"/>
        </w:rPr>
        <w:t>aux demandes</w:t>
      </w:r>
      <w:r w:rsidR="002D4F36">
        <w:rPr>
          <w:lang w:val="fr-FR"/>
        </w:rPr>
        <w:t xml:space="preserve"> </w:t>
      </w:r>
      <w:r w:rsidRPr="00711EE7">
        <w:rPr>
          <w:lang w:val="fr-FR"/>
        </w:rPr>
        <w:t>suivantes</w:t>
      </w:r>
      <w:r>
        <w:rPr>
          <w:lang w:val="fr-FR"/>
        </w:rPr>
        <w:t> :</w:t>
      </w:r>
      <w:r w:rsidRPr="00711EE7">
        <w:rPr>
          <w:lang w:val="fr-FR"/>
        </w:rPr>
        <w:t xml:space="preserve"> </w:t>
      </w:r>
      <w:r>
        <w:rPr>
          <w:lang w:val="fr-FR"/>
        </w:rPr>
        <w:t>a</w:t>
      </w:r>
      <w:r w:rsidRPr="00711EE7">
        <w:rPr>
          <w:lang w:val="fr-FR"/>
        </w:rPr>
        <w:t xml:space="preserve">) modifier </w:t>
      </w:r>
      <w:r>
        <w:rPr>
          <w:lang w:val="fr-FR"/>
        </w:rPr>
        <w:t>le</w:t>
      </w:r>
      <w:r w:rsidRPr="00711EE7">
        <w:rPr>
          <w:lang w:val="fr-FR"/>
        </w:rPr>
        <w:t xml:space="preserve"> régime de maintien des relations conformément à l</w:t>
      </w:r>
      <w:r w:rsidR="008B740A">
        <w:rPr>
          <w:lang w:val="fr-FR"/>
        </w:rPr>
        <w:t>’</w:t>
      </w:r>
      <w:r w:rsidRPr="00711EE7">
        <w:rPr>
          <w:lang w:val="fr-FR"/>
        </w:rPr>
        <w:t>article 96 du Code de l</w:t>
      </w:r>
      <w:r w:rsidR="008B740A">
        <w:rPr>
          <w:lang w:val="fr-FR"/>
        </w:rPr>
        <w:t>’</w:t>
      </w:r>
      <w:r w:rsidRPr="00711EE7">
        <w:rPr>
          <w:lang w:val="fr-FR"/>
        </w:rPr>
        <w:t>enfance et l</w:t>
      </w:r>
      <w:r w:rsidR="008B740A">
        <w:rPr>
          <w:lang w:val="fr-FR"/>
        </w:rPr>
        <w:t>’</w:t>
      </w:r>
      <w:r w:rsidRPr="00711EE7">
        <w:rPr>
          <w:lang w:val="fr-FR"/>
        </w:rPr>
        <w:t>adolescence</w:t>
      </w:r>
      <w:r>
        <w:rPr>
          <w:lang w:val="fr-FR"/>
        </w:rPr>
        <w:t> ;</w:t>
      </w:r>
      <w:r w:rsidRPr="00711EE7">
        <w:rPr>
          <w:lang w:val="fr-FR"/>
        </w:rPr>
        <w:t xml:space="preserve"> </w:t>
      </w:r>
      <w:r>
        <w:rPr>
          <w:lang w:val="fr-FR"/>
        </w:rPr>
        <w:t>b</w:t>
      </w:r>
      <w:r w:rsidRPr="00711EE7">
        <w:rPr>
          <w:lang w:val="fr-FR"/>
        </w:rPr>
        <w:t>) imposer les amendes prévues à l</w:t>
      </w:r>
      <w:r w:rsidR="008B740A">
        <w:rPr>
          <w:lang w:val="fr-FR"/>
        </w:rPr>
        <w:t>’</w:t>
      </w:r>
      <w:r w:rsidRPr="00711EE7">
        <w:rPr>
          <w:lang w:val="fr-FR"/>
        </w:rPr>
        <w:t>article 236 du Code de l</w:t>
      </w:r>
      <w:r w:rsidR="008B740A">
        <w:rPr>
          <w:lang w:val="fr-FR"/>
        </w:rPr>
        <w:t>’</w:t>
      </w:r>
      <w:r w:rsidRPr="00711EE7">
        <w:rPr>
          <w:lang w:val="fr-FR"/>
        </w:rPr>
        <w:t>organisation judiciaire</w:t>
      </w:r>
      <w:r>
        <w:rPr>
          <w:lang w:val="fr-FR"/>
        </w:rPr>
        <w:t> ;</w:t>
      </w:r>
      <w:r w:rsidRPr="00711EE7">
        <w:rPr>
          <w:lang w:val="fr-FR"/>
        </w:rPr>
        <w:t xml:space="preserve"> </w:t>
      </w:r>
      <w:r>
        <w:rPr>
          <w:lang w:val="fr-FR"/>
        </w:rPr>
        <w:t>c</w:t>
      </w:r>
      <w:r w:rsidRPr="00711EE7">
        <w:rPr>
          <w:lang w:val="fr-FR"/>
        </w:rPr>
        <w:t>) l</w:t>
      </w:r>
      <w:r w:rsidR="008B740A">
        <w:rPr>
          <w:lang w:val="fr-FR"/>
        </w:rPr>
        <w:t>’</w:t>
      </w:r>
      <w:r w:rsidRPr="00711EE7">
        <w:rPr>
          <w:lang w:val="fr-FR"/>
        </w:rPr>
        <w:t>autoriser à avoir des contacts avec sa fille par l</w:t>
      </w:r>
      <w:r w:rsidR="008B740A">
        <w:rPr>
          <w:lang w:val="fr-FR"/>
        </w:rPr>
        <w:t>’</w:t>
      </w:r>
      <w:r w:rsidRPr="00711EE7">
        <w:rPr>
          <w:lang w:val="fr-FR"/>
        </w:rPr>
        <w:t xml:space="preserve">intermédiaire du </w:t>
      </w:r>
      <w:proofErr w:type="spellStart"/>
      <w:r w:rsidRPr="00711EE7">
        <w:rPr>
          <w:lang w:val="fr-FR"/>
        </w:rPr>
        <w:t>Colegio</w:t>
      </w:r>
      <w:proofErr w:type="spellEnd"/>
      <w:r w:rsidRPr="00711EE7">
        <w:rPr>
          <w:lang w:val="fr-FR"/>
        </w:rPr>
        <w:t xml:space="preserve"> San José. </w:t>
      </w:r>
      <w:r>
        <w:rPr>
          <w:lang w:val="fr-FR"/>
        </w:rPr>
        <w:t>Il</w:t>
      </w:r>
      <w:r w:rsidRPr="00711EE7">
        <w:rPr>
          <w:lang w:val="fr-FR"/>
        </w:rPr>
        <w:t xml:space="preserve"> indique avoir manifesté à de nombreuses reprises que sa préférence irait aux deux premières options, laissant la troisième option, l</w:t>
      </w:r>
      <w:r w:rsidR="008B740A">
        <w:rPr>
          <w:lang w:val="fr-FR"/>
        </w:rPr>
        <w:t>’</w:t>
      </w:r>
      <w:r w:rsidRPr="00711EE7">
        <w:rPr>
          <w:lang w:val="fr-FR"/>
        </w:rPr>
        <w:t xml:space="preserve">ouverture de poursuites pénales pour outrage à magistrat (loi </w:t>
      </w:r>
      <w:r w:rsidRPr="00440C4E">
        <w:rPr>
          <w:rFonts w:eastAsia="MS Mincho"/>
          <w:lang w:val="fr-FR"/>
        </w:rPr>
        <w:t>n</w:t>
      </w:r>
      <w:r w:rsidRPr="00440C4E">
        <w:rPr>
          <w:rFonts w:eastAsia="MS Mincho"/>
          <w:vertAlign w:val="superscript"/>
          <w:lang w:val="fr-FR"/>
        </w:rPr>
        <w:t>o</w:t>
      </w:r>
      <w:r>
        <w:rPr>
          <w:lang w:val="fr-FR"/>
        </w:rPr>
        <w:t> </w:t>
      </w:r>
      <w:r w:rsidRPr="00711EE7">
        <w:rPr>
          <w:lang w:val="fr-FR"/>
        </w:rPr>
        <w:t>4711), pour le cas extrême où la défenderesse persisterait à interdire toute communication avec l</w:t>
      </w:r>
      <w:r w:rsidR="008B740A">
        <w:rPr>
          <w:lang w:val="fr-FR"/>
        </w:rPr>
        <w:t>’</w:t>
      </w:r>
      <w:r w:rsidRPr="00711EE7">
        <w:rPr>
          <w:lang w:val="fr-FR"/>
        </w:rPr>
        <w:t xml:space="preserve">enfant. </w:t>
      </w:r>
    </w:p>
    <w:p w:rsidR="007E2A0F" w:rsidRPr="00711EE7" w:rsidRDefault="007E2A0F" w:rsidP="007E2A0F">
      <w:pPr>
        <w:pStyle w:val="SingleTxtG"/>
        <w:rPr>
          <w:lang w:val="fr-FR"/>
        </w:rPr>
      </w:pPr>
      <w:r w:rsidRPr="00711EE7">
        <w:rPr>
          <w:lang w:val="fr-FR"/>
        </w:rPr>
        <w:t>3.10</w:t>
      </w:r>
      <w:r w:rsidRPr="00711EE7">
        <w:rPr>
          <w:lang w:val="fr-FR"/>
        </w:rPr>
        <w:tab/>
        <w:t>L</w:t>
      </w:r>
      <w:r w:rsidR="008B740A">
        <w:rPr>
          <w:lang w:val="fr-FR"/>
        </w:rPr>
        <w:t>’</w:t>
      </w:r>
      <w:r w:rsidRPr="00711EE7">
        <w:rPr>
          <w:lang w:val="fr-FR"/>
        </w:rPr>
        <w:t>auteur prie le Comité de déclarer la présente communication recevable et « de condamner l</w:t>
      </w:r>
      <w:r w:rsidR="008B740A">
        <w:rPr>
          <w:lang w:val="fr-FR"/>
        </w:rPr>
        <w:t>’</w:t>
      </w:r>
      <w:r w:rsidRPr="00711EE7">
        <w:rPr>
          <w:lang w:val="fr-FR"/>
        </w:rPr>
        <w:t>État partie à lui prêter immédiatement assistance pour faire appliquer le régime de maintien des relations, en ordonnant que des garanties de non-répétition lui soient données et qu</w:t>
      </w:r>
      <w:r w:rsidR="008B740A">
        <w:rPr>
          <w:lang w:val="fr-FR"/>
        </w:rPr>
        <w:t>’</w:t>
      </w:r>
      <w:r w:rsidRPr="00711EE7">
        <w:rPr>
          <w:lang w:val="fr-FR"/>
        </w:rPr>
        <w:t>une enquête soit menée en vue d</w:t>
      </w:r>
      <w:r w:rsidR="008B740A">
        <w:rPr>
          <w:lang w:val="fr-FR"/>
        </w:rPr>
        <w:t>’</w:t>
      </w:r>
      <w:r w:rsidRPr="00711EE7">
        <w:rPr>
          <w:lang w:val="fr-FR"/>
        </w:rPr>
        <w:t>engager des poursuites et de condamner les responsables, en sus d</w:t>
      </w:r>
      <w:r w:rsidR="008B740A">
        <w:rPr>
          <w:lang w:val="fr-FR"/>
        </w:rPr>
        <w:t>’</w:t>
      </w:r>
      <w:r w:rsidRPr="00711EE7">
        <w:rPr>
          <w:lang w:val="fr-FR"/>
        </w:rPr>
        <w:t xml:space="preserve">une indemnisation à raison des préjudices qui lui ont été causés ». </w:t>
      </w:r>
      <w:r>
        <w:rPr>
          <w:lang w:val="fr-FR"/>
        </w:rPr>
        <w:t>Il</w:t>
      </w:r>
      <w:r w:rsidRPr="00711EE7">
        <w:rPr>
          <w:lang w:val="fr-FR"/>
        </w:rPr>
        <w:t xml:space="preserve"> fait savoir qu</w:t>
      </w:r>
      <w:r w:rsidR="008B740A">
        <w:rPr>
          <w:lang w:val="fr-FR"/>
        </w:rPr>
        <w:t>’</w:t>
      </w:r>
      <w:r w:rsidRPr="00711EE7">
        <w:rPr>
          <w:lang w:val="fr-FR"/>
        </w:rPr>
        <w:t>il est disposé à trouver un règlement à l</w:t>
      </w:r>
      <w:r w:rsidR="008B740A">
        <w:rPr>
          <w:lang w:val="fr-FR"/>
        </w:rPr>
        <w:t>’</w:t>
      </w:r>
      <w:r w:rsidRPr="00711EE7">
        <w:rPr>
          <w:lang w:val="fr-FR"/>
        </w:rPr>
        <w:t>amiable si l</w:t>
      </w:r>
      <w:r w:rsidR="008B740A">
        <w:rPr>
          <w:lang w:val="fr-FR"/>
        </w:rPr>
        <w:t>’</w:t>
      </w:r>
      <w:r w:rsidRPr="00711EE7">
        <w:rPr>
          <w:lang w:val="fr-FR"/>
        </w:rPr>
        <w:t>État partie accepte d</w:t>
      </w:r>
      <w:r w:rsidR="008B740A">
        <w:rPr>
          <w:lang w:val="fr-FR"/>
        </w:rPr>
        <w:t>’</w:t>
      </w:r>
      <w:r w:rsidRPr="00711EE7">
        <w:rPr>
          <w:lang w:val="fr-FR"/>
        </w:rPr>
        <w:t>intervenir énergiquement pour défendre ses droits et ceux de sa fille.</w:t>
      </w:r>
    </w:p>
    <w:p w:rsidR="007E2A0F" w:rsidRPr="00711EE7" w:rsidRDefault="007E2A0F" w:rsidP="007E2A0F">
      <w:pPr>
        <w:pStyle w:val="H23G"/>
        <w:rPr>
          <w:lang w:val="fr-FR"/>
        </w:rPr>
      </w:pPr>
      <w:r w:rsidRPr="00711EE7">
        <w:rPr>
          <w:lang w:val="fr-FR"/>
        </w:rPr>
        <w:lastRenderedPageBreak/>
        <w:tab/>
      </w:r>
      <w:r w:rsidRPr="00711EE7">
        <w:rPr>
          <w:lang w:val="fr-FR"/>
        </w:rPr>
        <w:tab/>
        <w:t>Observations de l</w:t>
      </w:r>
      <w:r w:rsidR="008B740A">
        <w:rPr>
          <w:lang w:val="fr-FR"/>
        </w:rPr>
        <w:t>’</w:t>
      </w:r>
      <w:r w:rsidRPr="00711EE7">
        <w:rPr>
          <w:lang w:val="fr-FR"/>
        </w:rPr>
        <w:t>État partie sur la recevabilité et le fond</w:t>
      </w:r>
    </w:p>
    <w:p w:rsidR="007E2A0F" w:rsidRPr="00711EE7" w:rsidRDefault="007E2A0F" w:rsidP="007E2A0F">
      <w:pPr>
        <w:pStyle w:val="SingleTxtG"/>
        <w:rPr>
          <w:lang w:val="fr-FR"/>
        </w:rPr>
      </w:pPr>
      <w:r w:rsidRPr="00711EE7">
        <w:rPr>
          <w:lang w:val="fr-FR"/>
        </w:rPr>
        <w:t>4.1</w:t>
      </w:r>
      <w:r w:rsidRPr="00711EE7">
        <w:rPr>
          <w:lang w:val="fr-FR"/>
        </w:rPr>
        <w:tab/>
        <w:t>Dans ses observations du 4 septembre 2018, l</w:t>
      </w:r>
      <w:r w:rsidR="008B740A">
        <w:rPr>
          <w:lang w:val="fr-FR"/>
        </w:rPr>
        <w:t>’</w:t>
      </w:r>
      <w:r w:rsidRPr="00711EE7">
        <w:rPr>
          <w:lang w:val="fr-FR"/>
        </w:rPr>
        <w:t xml:space="preserve">État partie soutient que la communication doit être déclarée irrecevable </w:t>
      </w:r>
      <w:proofErr w:type="spellStart"/>
      <w:r w:rsidRPr="00711EE7">
        <w:rPr>
          <w:i/>
          <w:lang w:val="fr-FR"/>
        </w:rPr>
        <w:t>ratione</w:t>
      </w:r>
      <w:proofErr w:type="spellEnd"/>
      <w:r w:rsidRPr="00711EE7">
        <w:rPr>
          <w:i/>
          <w:lang w:val="fr-FR"/>
        </w:rPr>
        <w:t xml:space="preserve"> </w:t>
      </w:r>
      <w:proofErr w:type="spellStart"/>
      <w:r w:rsidRPr="00711EE7">
        <w:rPr>
          <w:i/>
          <w:lang w:val="fr-FR"/>
        </w:rPr>
        <w:t>temporis</w:t>
      </w:r>
      <w:proofErr w:type="spellEnd"/>
      <w:r w:rsidRPr="00711EE7">
        <w:rPr>
          <w:lang w:val="fr-FR"/>
        </w:rPr>
        <w:t>, conformément à l</w:t>
      </w:r>
      <w:r w:rsidR="008B740A">
        <w:rPr>
          <w:lang w:val="fr-FR"/>
        </w:rPr>
        <w:t>’</w:t>
      </w:r>
      <w:r w:rsidRPr="00711EE7">
        <w:rPr>
          <w:lang w:val="fr-FR"/>
        </w:rPr>
        <w:t xml:space="preserve">article 7 </w:t>
      </w:r>
      <w:r>
        <w:rPr>
          <w:lang w:val="fr-FR"/>
        </w:rPr>
        <w:t>(al.</w:t>
      </w:r>
      <w:r w:rsidRPr="00711EE7">
        <w:rPr>
          <w:lang w:val="fr-FR"/>
        </w:rPr>
        <w:t> </w:t>
      </w:r>
      <w:r>
        <w:rPr>
          <w:lang w:val="fr-FR"/>
        </w:rPr>
        <w:t>g))</w:t>
      </w:r>
      <w:r w:rsidRPr="00711EE7">
        <w:rPr>
          <w:lang w:val="fr-FR"/>
        </w:rPr>
        <w:t xml:space="preserve"> du Protocole facultatif, puisque les faits allégués sont antérieurs à la date d</w:t>
      </w:r>
      <w:r w:rsidR="008B740A">
        <w:rPr>
          <w:lang w:val="fr-FR"/>
        </w:rPr>
        <w:t>’</w:t>
      </w:r>
      <w:r w:rsidRPr="00711EE7">
        <w:rPr>
          <w:lang w:val="fr-FR"/>
        </w:rPr>
        <w:t xml:space="preserve">entrée en vigueur du Protocole </w:t>
      </w:r>
      <w:r>
        <w:rPr>
          <w:lang w:val="fr-FR"/>
        </w:rPr>
        <w:t>pour</w:t>
      </w:r>
      <w:r w:rsidRPr="00711EE7">
        <w:rPr>
          <w:lang w:val="fr-FR"/>
        </w:rPr>
        <w:t xml:space="preserve"> l</w:t>
      </w:r>
      <w:r w:rsidR="008B740A">
        <w:rPr>
          <w:lang w:val="fr-FR"/>
        </w:rPr>
        <w:t>’</w:t>
      </w:r>
      <w:r w:rsidRPr="00711EE7">
        <w:rPr>
          <w:lang w:val="fr-FR"/>
        </w:rPr>
        <w:t xml:space="preserve">État partie. </w:t>
      </w:r>
      <w:r>
        <w:rPr>
          <w:lang w:val="fr-FR"/>
        </w:rPr>
        <w:t>Il</w:t>
      </w:r>
      <w:r w:rsidRPr="00711EE7">
        <w:rPr>
          <w:lang w:val="fr-FR"/>
        </w:rPr>
        <w:t xml:space="preserve"> rappelle que l</w:t>
      </w:r>
      <w:r w:rsidR="008B740A">
        <w:rPr>
          <w:lang w:val="fr-FR"/>
        </w:rPr>
        <w:t>’</w:t>
      </w:r>
      <w:r w:rsidRPr="00711EE7">
        <w:rPr>
          <w:lang w:val="fr-FR"/>
        </w:rPr>
        <w:t>accord de conciliation initial conclu entre l</w:t>
      </w:r>
      <w:r w:rsidR="008B740A">
        <w:rPr>
          <w:lang w:val="fr-FR"/>
        </w:rPr>
        <w:t>’</w:t>
      </w:r>
      <w:r w:rsidRPr="00711EE7">
        <w:rPr>
          <w:lang w:val="fr-FR"/>
        </w:rPr>
        <w:t xml:space="preserve">auteur et la mère de sa fille a été confirmé judiciairement par le jugement définitif </w:t>
      </w:r>
      <w:r w:rsidRPr="00440C4E">
        <w:rPr>
          <w:rFonts w:eastAsia="MS Mincho"/>
          <w:lang w:val="fr-FR"/>
        </w:rPr>
        <w:t>n</w:t>
      </w:r>
      <w:r w:rsidRPr="00440C4E">
        <w:rPr>
          <w:rFonts w:eastAsia="MS Mincho"/>
          <w:vertAlign w:val="superscript"/>
          <w:lang w:val="fr-FR"/>
        </w:rPr>
        <w:t>o</w:t>
      </w:r>
      <w:r>
        <w:rPr>
          <w:lang w:val="fr-FR"/>
        </w:rPr>
        <w:t> </w:t>
      </w:r>
      <w:r w:rsidRPr="00711EE7">
        <w:rPr>
          <w:lang w:val="fr-FR"/>
        </w:rPr>
        <w:t xml:space="preserve">139 du 30 avril 2015. Il considère </w:t>
      </w:r>
      <w:r>
        <w:rPr>
          <w:lang w:val="fr-FR"/>
        </w:rPr>
        <w:t>qu</w:t>
      </w:r>
      <w:r w:rsidR="008B740A">
        <w:rPr>
          <w:lang w:val="fr-FR"/>
        </w:rPr>
        <w:t>’</w:t>
      </w:r>
      <w:r>
        <w:rPr>
          <w:lang w:val="fr-FR"/>
        </w:rPr>
        <w:t xml:space="preserve">on ne saurait affirmer </w:t>
      </w:r>
      <w:r w:rsidRPr="00711EE7">
        <w:rPr>
          <w:lang w:val="fr-FR"/>
        </w:rPr>
        <w:t xml:space="preserve">que les faits allégués en ce qui concerne </w:t>
      </w:r>
      <w:r>
        <w:rPr>
          <w:lang w:val="fr-FR"/>
        </w:rPr>
        <w:t>C. R.</w:t>
      </w:r>
      <w:r w:rsidRPr="00711EE7">
        <w:rPr>
          <w:lang w:val="fr-FR"/>
        </w:rPr>
        <w:t xml:space="preserve"> se sont poursuivis sans interruption depuis le 20 avril 2017, date de l</w:t>
      </w:r>
      <w:r w:rsidR="008B740A">
        <w:rPr>
          <w:lang w:val="fr-FR"/>
        </w:rPr>
        <w:t>’</w:t>
      </w:r>
      <w:r w:rsidRPr="00711EE7">
        <w:rPr>
          <w:lang w:val="fr-FR"/>
        </w:rPr>
        <w:t>entrée en vigueur du Protocole</w:t>
      </w:r>
      <w:r>
        <w:rPr>
          <w:lang w:val="fr-FR"/>
        </w:rPr>
        <w:t xml:space="preserve"> facultatif</w:t>
      </w:r>
      <w:r w:rsidRPr="00711EE7">
        <w:rPr>
          <w:lang w:val="fr-FR"/>
        </w:rPr>
        <w:t xml:space="preserve"> à l</w:t>
      </w:r>
      <w:r w:rsidR="008B740A">
        <w:rPr>
          <w:lang w:val="fr-FR"/>
        </w:rPr>
        <w:t>’</w:t>
      </w:r>
      <w:r w:rsidRPr="00711EE7">
        <w:rPr>
          <w:lang w:val="fr-FR"/>
        </w:rPr>
        <w:t>égard de l</w:t>
      </w:r>
      <w:r w:rsidR="008B740A">
        <w:rPr>
          <w:lang w:val="fr-FR"/>
        </w:rPr>
        <w:t>’</w:t>
      </w:r>
      <w:r w:rsidRPr="00711EE7">
        <w:rPr>
          <w:lang w:val="fr-FR"/>
        </w:rPr>
        <w:t xml:space="preserve">État partie. </w:t>
      </w:r>
    </w:p>
    <w:p w:rsidR="007E2A0F" w:rsidRPr="00711EE7" w:rsidRDefault="007E2A0F" w:rsidP="007E2A0F">
      <w:pPr>
        <w:pStyle w:val="SingleTxtG"/>
        <w:rPr>
          <w:lang w:val="fr-FR"/>
        </w:rPr>
      </w:pPr>
      <w:r w:rsidRPr="00711EE7">
        <w:rPr>
          <w:lang w:val="fr-FR"/>
        </w:rPr>
        <w:t>4.2</w:t>
      </w:r>
      <w:r w:rsidRPr="00711EE7">
        <w:rPr>
          <w:lang w:val="fr-FR"/>
        </w:rPr>
        <w:tab/>
        <w:t>L</w:t>
      </w:r>
      <w:r w:rsidR="008B740A">
        <w:rPr>
          <w:lang w:val="fr-FR"/>
        </w:rPr>
        <w:t>’</w:t>
      </w:r>
      <w:r w:rsidRPr="00711EE7">
        <w:rPr>
          <w:lang w:val="fr-FR"/>
        </w:rPr>
        <w:t>État partie soutient également que, conformément à l</w:t>
      </w:r>
      <w:r w:rsidR="008B740A">
        <w:rPr>
          <w:lang w:val="fr-FR"/>
        </w:rPr>
        <w:t>’</w:t>
      </w:r>
      <w:r w:rsidRPr="00711EE7">
        <w:rPr>
          <w:lang w:val="fr-FR"/>
        </w:rPr>
        <w:t>article</w:t>
      </w:r>
      <w:r>
        <w:rPr>
          <w:lang w:val="fr-FR"/>
        </w:rPr>
        <w:t> </w:t>
      </w:r>
      <w:r w:rsidRPr="00711EE7">
        <w:rPr>
          <w:lang w:val="fr-FR"/>
        </w:rPr>
        <w:t xml:space="preserve">7 </w:t>
      </w:r>
      <w:r>
        <w:rPr>
          <w:lang w:val="fr-FR"/>
        </w:rPr>
        <w:t>(al.</w:t>
      </w:r>
      <w:r w:rsidRPr="00711EE7">
        <w:rPr>
          <w:lang w:val="fr-FR"/>
        </w:rPr>
        <w:t> </w:t>
      </w:r>
      <w:r>
        <w:rPr>
          <w:lang w:val="fr-FR"/>
        </w:rPr>
        <w:t>e))</w:t>
      </w:r>
      <w:r w:rsidRPr="00711EE7">
        <w:rPr>
          <w:lang w:val="fr-FR"/>
        </w:rPr>
        <w:t xml:space="preserve"> du Protocole</w:t>
      </w:r>
      <w:r>
        <w:rPr>
          <w:lang w:val="fr-FR"/>
        </w:rPr>
        <w:t xml:space="preserve"> facultatif</w:t>
      </w:r>
      <w:r w:rsidRPr="00711EE7">
        <w:rPr>
          <w:lang w:val="fr-FR"/>
        </w:rPr>
        <w:t>, la communication est irrecevable parce que tous les recours internes n</w:t>
      </w:r>
      <w:r w:rsidR="008B740A">
        <w:rPr>
          <w:lang w:val="fr-FR"/>
        </w:rPr>
        <w:t>’</w:t>
      </w:r>
      <w:r w:rsidRPr="00711EE7">
        <w:rPr>
          <w:lang w:val="fr-FR"/>
        </w:rPr>
        <w:t>ont pas été épuisés. Il fait observer que l</w:t>
      </w:r>
      <w:r w:rsidR="008B740A">
        <w:rPr>
          <w:lang w:val="fr-FR"/>
        </w:rPr>
        <w:t>’</w:t>
      </w:r>
      <w:r w:rsidRPr="00711EE7">
        <w:rPr>
          <w:lang w:val="fr-FR"/>
        </w:rPr>
        <w:t>auteur ne s</w:t>
      </w:r>
      <w:r w:rsidR="008B740A">
        <w:rPr>
          <w:lang w:val="fr-FR"/>
        </w:rPr>
        <w:t>’</w:t>
      </w:r>
      <w:r w:rsidRPr="00711EE7">
        <w:rPr>
          <w:lang w:val="fr-FR"/>
        </w:rPr>
        <w:t>est pas pourvu devant la Cour suprême de justice, qui pourrait statuer sur le fond du litige, selon les dispositions du Code de l</w:t>
      </w:r>
      <w:r w:rsidR="008B740A">
        <w:rPr>
          <w:lang w:val="fr-FR"/>
        </w:rPr>
        <w:t>’</w:t>
      </w:r>
      <w:r w:rsidRPr="00711EE7">
        <w:rPr>
          <w:lang w:val="fr-FR"/>
        </w:rPr>
        <w:t>enfance et de l</w:t>
      </w:r>
      <w:r w:rsidR="008B740A">
        <w:rPr>
          <w:lang w:val="fr-FR"/>
        </w:rPr>
        <w:t>’</w:t>
      </w:r>
      <w:r w:rsidRPr="00711EE7">
        <w:rPr>
          <w:lang w:val="fr-FR"/>
        </w:rPr>
        <w:t>adolescence. L</w:t>
      </w:r>
      <w:r w:rsidR="008B740A">
        <w:rPr>
          <w:lang w:val="fr-FR"/>
        </w:rPr>
        <w:t>’</w:t>
      </w:r>
      <w:r w:rsidRPr="00711EE7">
        <w:rPr>
          <w:lang w:val="fr-FR"/>
        </w:rPr>
        <w:t>auteur s</w:t>
      </w:r>
      <w:r w:rsidR="008B740A">
        <w:rPr>
          <w:lang w:val="fr-FR"/>
        </w:rPr>
        <w:t>’</w:t>
      </w:r>
      <w:r w:rsidRPr="00711EE7">
        <w:rPr>
          <w:lang w:val="fr-FR"/>
        </w:rPr>
        <w:t>est borné à saisir la chambre pénale de la Cour suprême de justice avec des effets purement procéduraux en déposant un recours pour retard dans l</w:t>
      </w:r>
      <w:r w:rsidR="008B740A">
        <w:rPr>
          <w:lang w:val="fr-FR"/>
        </w:rPr>
        <w:t>’</w:t>
      </w:r>
      <w:r w:rsidRPr="00711EE7">
        <w:rPr>
          <w:lang w:val="fr-FR"/>
        </w:rPr>
        <w:t>administration de la justice en vertu des articles 412 et 414 du Code de procédure civile</w:t>
      </w:r>
      <w:r w:rsidRPr="00A122C5">
        <w:rPr>
          <w:rStyle w:val="Appelnotedebasdep"/>
        </w:rPr>
        <w:footnoteReference w:id="17"/>
      </w:r>
      <w:r w:rsidRPr="00711EE7">
        <w:rPr>
          <w:lang w:val="fr-FR"/>
        </w:rPr>
        <w:t>.</w:t>
      </w:r>
    </w:p>
    <w:p w:rsidR="007E2A0F" w:rsidRPr="00711EE7" w:rsidRDefault="007E2A0F" w:rsidP="007E2A0F">
      <w:pPr>
        <w:pStyle w:val="SingleTxtG"/>
        <w:rPr>
          <w:lang w:val="fr-FR"/>
        </w:rPr>
      </w:pPr>
      <w:r w:rsidRPr="00711EE7">
        <w:rPr>
          <w:lang w:val="fr-FR"/>
        </w:rPr>
        <w:t>4.3</w:t>
      </w:r>
      <w:r w:rsidRPr="00711EE7">
        <w:rPr>
          <w:lang w:val="fr-FR"/>
        </w:rPr>
        <w:tab/>
        <w:t>L</w:t>
      </w:r>
      <w:r w:rsidR="008B740A">
        <w:rPr>
          <w:lang w:val="fr-FR"/>
        </w:rPr>
        <w:t>’</w:t>
      </w:r>
      <w:r w:rsidRPr="00711EE7">
        <w:rPr>
          <w:lang w:val="fr-FR"/>
        </w:rPr>
        <w:t>État partie fait observer que le Secrétariat national de l</w:t>
      </w:r>
      <w:r w:rsidR="008B740A">
        <w:rPr>
          <w:lang w:val="fr-FR"/>
        </w:rPr>
        <w:t>’</w:t>
      </w:r>
      <w:r w:rsidRPr="00711EE7">
        <w:rPr>
          <w:lang w:val="fr-FR"/>
        </w:rPr>
        <w:t>enfance et de l</w:t>
      </w:r>
      <w:r w:rsidR="008B740A">
        <w:rPr>
          <w:lang w:val="fr-FR"/>
        </w:rPr>
        <w:t>’</w:t>
      </w:r>
      <w:r w:rsidRPr="00711EE7">
        <w:rPr>
          <w:lang w:val="fr-FR"/>
        </w:rPr>
        <w:t xml:space="preserve">adolescence a vérifié dans quelle situation se trouvait </w:t>
      </w:r>
      <w:r>
        <w:rPr>
          <w:lang w:val="fr-FR"/>
        </w:rPr>
        <w:t>C. R.</w:t>
      </w:r>
      <w:r w:rsidRPr="00711EE7">
        <w:rPr>
          <w:lang w:val="fr-FR"/>
        </w:rPr>
        <w:t xml:space="preserve"> et a présenté un rapport dont il ressort que rien n</w:t>
      </w:r>
      <w:r w:rsidR="008B740A">
        <w:rPr>
          <w:lang w:val="fr-FR"/>
        </w:rPr>
        <w:t>’</w:t>
      </w:r>
      <w:r w:rsidRPr="00711EE7">
        <w:rPr>
          <w:lang w:val="fr-FR"/>
        </w:rPr>
        <w:t xml:space="preserve">indique que les droits de </w:t>
      </w:r>
      <w:r>
        <w:rPr>
          <w:lang w:val="fr-FR"/>
        </w:rPr>
        <w:t>la petite fille</w:t>
      </w:r>
      <w:r w:rsidRPr="00711EE7">
        <w:rPr>
          <w:lang w:val="fr-FR"/>
        </w:rPr>
        <w:t xml:space="preserve"> seraient lésés, car elle est scolarisée dans un établissement privé, vit avec sa mère dans un logement décent et entretient des contacts avec son père par Internet. La mère de </w:t>
      </w:r>
      <w:r>
        <w:rPr>
          <w:lang w:val="fr-FR"/>
        </w:rPr>
        <w:t>C. R.</w:t>
      </w:r>
      <w:r w:rsidRPr="00711EE7">
        <w:rPr>
          <w:lang w:val="fr-FR"/>
        </w:rPr>
        <w:t xml:space="preserve"> a fait une déclaration dans laquelle elle décrit la relation entre </w:t>
      </w:r>
      <w:r>
        <w:rPr>
          <w:lang w:val="fr-FR"/>
        </w:rPr>
        <w:t>C. R.</w:t>
      </w:r>
      <w:r w:rsidRPr="00711EE7">
        <w:rPr>
          <w:lang w:val="fr-FR"/>
        </w:rPr>
        <w:t xml:space="preserve"> et son père, </w:t>
      </w:r>
      <w:r>
        <w:rPr>
          <w:lang w:val="fr-FR"/>
        </w:rPr>
        <w:t>indiquant qu</w:t>
      </w:r>
      <w:r w:rsidR="008B740A">
        <w:rPr>
          <w:lang w:val="fr-FR"/>
        </w:rPr>
        <w:t>’</w:t>
      </w:r>
      <w:r>
        <w:rPr>
          <w:lang w:val="fr-FR"/>
        </w:rPr>
        <w:t>elle a,</w:t>
      </w:r>
      <w:r w:rsidRPr="00711EE7">
        <w:rPr>
          <w:lang w:val="fr-FR"/>
        </w:rPr>
        <w:t xml:space="preserve"> pour sa part</w:t>
      </w:r>
      <w:r>
        <w:rPr>
          <w:lang w:val="fr-FR"/>
        </w:rPr>
        <w:t>,</w:t>
      </w:r>
      <w:r w:rsidRPr="00711EE7">
        <w:rPr>
          <w:lang w:val="fr-FR"/>
        </w:rPr>
        <w:t xml:space="preserve"> toujours insisté pour que la communication soit maintenue entre eux</w:t>
      </w:r>
      <w:r>
        <w:rPr>
          <w:lang w:val="fr-FR"/>
        </w:rPr>
        <w:t>,</w:t>
      </w:r>
      <w:r w:rsidRPr="00711EE7">
        <w:rPr>
          <w:lang w:val="fr-FR"/>
        </w:rPr>
        <w:t xml:space="preserve"> </w:t>
      </w:r>
      <w:r>
        <w:rPr>
          <w:lang w:val="fr-FR"/>
        </w:rPr>
        <w:t>qu</w:t>
      </w:r>
      <w:r w:rsidR="008B740A">
        <w:rPr>
          <w:lang w:val="fr-FR"/>
        </w:rPr>
        <w:t>’</w:t>
      </w:r>
      <w:r>
        <w:rPr>
          <w:lang w:val="fr-FR"/>
        </w:rPr>
        <w:t>entre</w:t>
      </w:r>
      <w:r w:rsidRPr="00711EE7">
        <w:rPr>
          <w:lang w:val="fr-FR"/>
        </w:rPr>
        <w:t xml:space="preserve"> 2017</w:t>
      </w:r>
      <w:r>
        <w:rPr>
          <w:lang w:val="fr-FR"/>
        </w:rPr>
        <w:t xml:space="preserve"> et</w:t>
      </w:r>
      <w:r w:rsidRPr="00711EE7">
        <w:rPr>
          <w:lang w:val="fr-FR"/>
        </w:rPr>
        <w:t xml:space="preserve"> 2018 elle s</w:t>
      </w:r>
      <w:r w:rsidR="008B740A">
        <w:rPr>
          <w:lang w:val="fr-FR"/>
        </w:rPr>
        <w:t>’</w:t>
      </w:r>
      <w:r w:rsidRPr="00711EE7">
        <w:rPr>
          <w:lang w:val="fr-FR"/>
        </w:rPr>
        <w:t xml:space="preserve">est rendue avec </w:t>
      </w:r>
      <w:r>
        <w:rPr>
          <w:lang w:val="fr-FR"/>
        </w:rPr>
        <w:t>C. R.</w:t>
      </w:r>
      <w:r w:rsidRPr="00711EE7">
        <w:rPr>
          <w:lang w:val="fr-FR"/>
        </w:rPr>
        <w:t xml:space="preserve"> en</w:t>
      </w:r>
      <w:r>
        <w:rPr>
          <w:lang w:val="fr-FR"/>
        </w:rPr>
        <w:t xml:space="preserve"> </w:t>
      </w:r>
      <w:r w:rsidRPr="00711EE7">
        <w:rPr>
          <w:lang w:val="fr-FR"/>
        </w:rPr>
        <w:t>Argentine pour que l</w:t>
      </w:r>
      <w:r w:rsidR="008B740A">
        <w:rPr>
          <w:lang w:val="fr-FR"/>
        </w:rPr>
        <w:t>’</w:t>
      </w:r>
      <w:r w:rsidRPr="00711EE7">
        <w:rPr>
          <w:lang w:val="fr-FR"/>
        </w:rPr>
        <w:t>enfant puisse voir son père</w:t>
      </w:r>
      <w:r>
        <w:rPr>
          <w:lang w:val="fr-FR"/>
        </w:rPr>
        <w:t xml:space="preserve"> et</w:t>
      </w:r>
      <w:r w:rsidRPr="00711EE7">
        <w:rPr>
          <w:lang w:val="fr-FR"/>
        </w:rPr>
        <w:t xml:space="preserve"> qu</w:t>
      </w:r>
      <w:r w:rsidR="008B740A">
        <w:rPr>
          <w:lang w:val="fr-FR"/>
        </w:rPr>
        <w:t>’</w:t>
      </w:r>
      <w:r w:rsidRPr="00711EE7">
        <w:rPr>
          <w:lang w:val="fr-FR"/>
        </w:rPr>
        <w:t>elle a elle-même financé</w:t>
      </w:r>
      <w:r>
        <w:rPr>
          <w:lang w:val="fr-FR"/>
        </w:rPr>
        <w:t xml:space="preserve"> un de ces voyages</w:t>
      </w:r>
      <w:r w:rsidRPr="00711EE7">
        <w:rPr>
          <w:lang w:val="fr-FR"/>
        </w:rPr>
        <w:t xml:space="preserve">. </w:t>
      </w:r>
    </w:p>
    <w:p w:rsidR="007E2A0F" w:rsidRPr="00711EE7" w:rsidRDefault="007E2A0F" w:rsidP="007E2A0F">
      <w:pPr>
        <w:pStyle w:val="SingleTxtG"/>
        <w:rPr>
          <w:lang w:val="fr-FR"/>
        </w:rPr>
      </w:pPr>
      <w:r w:rsidRPr="00711EE7">
        <w:rPr>
          <w:lang w:val="fr-FR"/>
        </w:rPr>
        <w:t>4.4</w:t>
      </w:r>
      <w:r w:rsidRPr="00711EE7">
        <w:rPr>
          <w:lang w:val="fr-FR"/>
        </w:rPr>
        <w:tab/>
        <w:t>L</w:t>
      </w:r>
      <w:r w:rsidR="008B740A">
        <w:rPr>
          <w:lang w:val="fr-FR"/>
        </w:rPr>
        <w:t>’</w:t>
      </w:r>
      <w:r w:rsidRPr="00711EE7">
        <w:rPr>
          <w:lang w:val="fr-FR"/>
        </w:rPr>
        <w:t>État partie indique qu</w:t>
      </w:r>
      <w:r w:rsidR="008B740A">
        <w:rPr>
          <w:lang w:val="fr-FR"/>
        </w:rPr>
        <w:t>’</w:t>
      </w:r>
      <w:r w:rsidRPr="00711EE7">
        <w:rPr>
          <w:lang w:val="fr-FR"/>
        </w:rPr>
        <w:t>en vertu du principe de l</w:t>
      </w:r>
      <w:r w:rsidR="008B740A">
        <w:rPr>
          <w:lang w:val="fr-FR"/>
        </w:rPr>
        <w:t>’</w:t>
      </w:r>
      <w:r w:rsidRPr="00711EE7">
        <w:rPr>
          <w:lang w:val="fr-FR"/>
        </w:rPr>
        <w:t>intérêt supérieur de l</w:t>
      </w:r>
      <w:r w:rsidR="008B740A">
        <w:rPr>
          <w:lang w:val="fr-FR"/>
        </w:rPr>
        <w:t>’</w:t>
      </w:r>
      <w:r w:rsidRPr="00711EE7">
        <w:rPr>
          <w:lang w:val="fr-FR"/>
        </w:rPr>
        <w:t xml:space="preserve">enfant, il continuera de veiller au respect des droits qui sont reconnus à </w:t>
      </w:r>
      <w:r>
        <w:rPr>
          <w:lang w:val="fr-FR"/>
        </w:rPr>
        <w:t>C. R.</w:t>
      </w:r>
      <w:r w:rsidRPr="00711EE7">
        <w:rPr>
          <w:lang w:val="fr-FR"/>
        </w:rPr>
        <w:t xml:space="preserve"> par les dispositions de la Convention et par la législation nationale en la matière.</w:t>
      </w:r>
    </w:p>
    <w:p w:rsidR="007E2A0F" w:rsidRPr="00711EE7" w:rsidRDefault="007E2A0F" w:rsidP="007E2A0F">
      <w:pPr>
        <w:pStyle w:val="H23G"/>
        <w:rPr>
          <w:lang w:val="fr-FR"/>
        </w:rPr>
      </w:pPr>
      <w:r w:rsidRPr="00711EE7">
        <w:rPr>
          <w:lang w:val="fr-FR"/>
        </w:rPr>
        <w:tab/>
      </w:r>
      <w:r w:rsidRPr="00711EE7">
        <w:rPr>
          <w:lang w:val="fr-FR"/>
        </w:rPr>
        <w:tab/>
        <w:t>Commentaires de l</w:t>
      </w:r>
      <w:r w:rsidR="008B740A">
        <w:rPr>
          <w:lang w:val="fr-FR"/>
        </w:rPr>
        <w:t>’</w:t>
      </w:r>
      <w:r w:rsidRPr="00711EE7">
        <w:rPr>
          <w:lang w:val="fr-FR"/>
        </w:rPr>
        <w:t>auteur sur les observations de l</w:t>
      </w:r>
      <w:r w:rsidR="008B740A">
        <w:rPr>
          <w:lang w:val="fr-FR"/>
        </w:rPr>
        <w:t>’</w:t>
      </w:r>
      <w:r w:rsidRPr="00711EE7">
        <w:rPr>
          <w:lang w:val="fr-FR"/>
        </w:rPr>
        <w:t xml:space="preserve">État partie </w:t>
      </w:r>
      <w:r>
        <w:rPr>
          <w:lang w:val="fr-FR"/>
        </w:rPr>
        <w:br/>
      </w:r>
      <w:r w:rsidRPr="00711EE7">
        <w:rPr>
          <w:lang w:val="fr-FR"/>
        </w:rPr>
        <w:t>concernant la recevabilité et le fond</w:t>
      </w:r>
    </w:p>
    <w:p w:rsidR="007E2A0F" w:rsidRPr="00711EE7" w:rsidRDefault="007E2A0F" w:rsidP="007E2A0F">
      <w:pPr>
        <w:spacing w:after="120" w:line="240" w:lineRule="auto"/>
        <w:ind w:left="1134" w:right="1134"/>
        <w:jc w:val="both"/>
        <w:rPr>
          <w:lang w:val="fr-FR"/>
        </w:rPr>
      </w:pPr>
      <w:r w:rsidRPr="00711EE7">
        <w:rPr>
          <w:lang w:val="fr-FR"/>
        </w:rPr>
        <w:t>5.1</w:t>
      </w:r>
      <w:r w:rsidRPr="00711EE7">
        <w:rPr>
          <w:lang w:val="fr-FR"/>
        </w:rPr>
        <w:tab/>
        <w:t>Dans ses commentaires du 18 janvier 2019, l</w:t>
      </w:r>
      <w:r w:rsidR="008B740A">
        <w:rPr>
          <w:lang w:val="fr-FR"/>
        </w:rPr>
        <w:t>’</w:t>
      </w:r>
      <w:r w:rsidRPr="00711EE7">
        <w:rPr>
          <w:lang w:val="fr-FR"/>
        </w:rPr>
        <w:t>auteur prie le Comité de rejeter les observations de l</w:t>
      </w:r>
      <w:r w:rsidR="008B740A">
        <w:rPr>
          <w:lang w:val="fr-FR"/>
        </w:rPr>
        <w:t>’</w:t>
      </w:r>
      <w:r w:rsidRPr="00711EE7">
        <w:rPr>
          <w:lang w:val="fr-FR"/>
        </w:rPr>
        <w:t>État partie dans lesquel</w:t>
      </w:r>
      <w:r>
        <w:rPr>
          <w:lang w:val="fr-FR"/>
        </w:rPr>
        <w:t>le</w:t>
      </w:r>
      <w:r w:rsidRPr="00711EE7">
        <w:rPr>
          <w:lang w:val="fr-FR"/>
        </w:rPr>
        <w:t>s celui-ci lui demande de déclarer la communication irrecevable. En ce qui concerne l</w:t>
      </w:r>
      <w:r w:rsidR="008B740A">
        <w:rPr>
          <w:lang w:val="fr-FR"/>
        </w:rPr>
        <w:t>’</w:t>
      </w:r>
      <w:r w:rsidRPr="00711EE7">
        <w:rPr>
          <w:lang w:val="fr-FR"/>
        </w:rPr>
        <w:t>argument de l</w:t>
      </w:r>
      <w:r w:rsidR="008B740A">
        <w:rPr>
          <w:lang w:val="fr-FR"/>
        </w:rPr>
        <w:t>’</w:t>
      </w:r>
      <w:r w:rsidRPr="00711EE7">
        <w:rPr>
          <w:lang w:val="fr-FR"/>
        </w:rPr>
        <w:t xml:space="preserve">État partie selon lequel la communication doit être déclarée irrecevable </w:t>
      </w:r>
      <w:r w:rsidRPr="00711EE7">
        <w:rPr>
          <w:i/>
          <w:lang w:val="fr-FR"/>
        </w:rPr>
        <w:t xml:space="preserve">rationae </w:t>
      </w:r>
      <w:proofErr w:type="spellStart"/>
      <w:r w:rsidRPr="00711EE7">
        <w:rPr>
          <w:i/>
          <w:lang w:val="fr-FR"/>
        </w:rPr>
        <w:t>temporis</w:t>
      </w:r>
      <w:proofErr w:type="spellEnd"/>
      <w:r w:rsidRPr="00711EE7">
        <w:rPr>
          <w:lang w:val="fr-FR"/>
        </w:rPr>
        <w:t>, l</w:t>
      </w:r>
      <w:r w:rsidR="008B740A">
        <w:rPr>
          <w:lang w:val="fr-FR"/>
        </w:rPr>
        <w:t>’</w:t>
      </w:r>
      <w:r w:rsidRPr="00711EE7">
        <w:rPr>
          <w:lang w:val="fr-FR"/>
        </w:rPr>
        <w:t>auteur soutient que l</w:t>
      </w:r>
      <w:r w:rsidR="008B740A">
        <w:rPr>
          <w:lang w:val="fr-FR"/>
        </w:rPr>
        <w:t>’</w:t>
      </w:r>
      <w:r w:rsidRPr="00711EE7">
        <w:rPr>
          <w:lang w:val="fr-FR"/>
        </w:rPr>
        <w:t>État partie fait mine d</w:t>
      </w:r>
      <w:r w:rsidR="008B740A">
        <w:rPr>
          <w:lang w:val="fr-FR"/>
        </w:rPr>
        <w:t>’</w:t>
      </w:r>
      <w:r w:rsidRPr="00711EE7">
        <w:rPr>
          <w:lang w:val="fr-FR"/>
        </w:rPr>
        <w:t>ignorer qu</w:t>
      </w:r>
      <w:r w:rsidR="008B740A">
        <w:rPr>
          <w:lang w:val="fr-FR"/>
        </w:rPr>
        <w:t>’</w:t>
      </w:r>
      <w:r w:rsidRPr="00711EE7">
        <w:rPr>
          <w:lang w:val="fr-FR"/>
        </w:rPr>
        <w:t>il ressort des relevés d</w:t>
      </w:r>
      <w:r w:rsidR="008B740A">
        <w:rPr>
          <w:lang w:val="fr-FR"/>
        </w:rPr>
        <w:t>’</w:t>
      </w:r>
      <w:r w:rsidRPr="00711EE7">
        <w:rPr>
          <w:lang w:val="fr-FR"/>
        </w:rPr>
        <w:t>appel téléphoniques que la communication entre l</w:t>
      </w:r>
      <w:r w:rsidR="008B740A">
        <w:rPr>
          <w:lang w:val="fr-FR"/>
        </w:rPr>
        <w:t>’</w:t>
      </w:r>
      <w:r w:rsidRPr="00711EE7">
        <w:rPr>
          <w:lang w:val="fr-FR"/>
        </w:rPr>
        <w:t>auteur et sa fille demeure difficile à ce jour</w:t>
      </w:r>
      <w:r w:rsidRPr="00A122C5">
        <w:rPr>
          <w:rStyle w:val="Appelnotedebasdep"/>
        </w:rPr>
        <w:footnoteReference w:id="18"/>
      </w:r>
      <w:r w:rsidRPr="00711EE7">
        <w:rPr>
          <w:lang w:val="fr-FR"/>
        </w:rPr>
        <w:t>. Cet état de fait a commencé en 2015, s</w:t>
      </w:r>
      <w:r w:rsidR="008B740A">
        <w:rPr>
          <w:lang w:val="fr-FR"/>
        </w:rPr>
        <w:t>’</w:t>
      </w:r>
      <w:r w:rsidRPr="00711EE7">
        <w:rPr>
          <w:lang w:val="fr-FR"/>
        </w:rPr>
        <w:t>est aggravé en 2017 et se poursuit jusqu</w:t>
      </w:r>
      <w:r w:rsidR="008B740A">
        <w:rPr>
          <w:lang w:val="fr-FR"/>
        </w:rPr>
        <w:t>’</w:t>
      </w:r>
      <w:r w:rsidRPr="00711EE7">
        <w:rPr>
          <w:lang w:val="fr-FR"/>
        </w:rPr>
        <w:t>à présent, bien que le Tribunal d</w:t>
      </w:r>
      <w:r w:rsidR="008B740A">
        <w:rPr>
          <w:lang w:val="fr-FR"/>
        </w:rPr>
        <w:t>’</w:t>
      </w:r>
      <w:r w:rsidRPr="00711EE7">
        <w:rPr>
          <w:lang w:val="fr-FR"/>
        </w:rPr>
        <w:t>appel ait enjoint à la mère de sa fille de faire davantage d</w:t>
      </w:r>
      <w:r w:rsidR="008B740A">
        <w:rPr>
          <w:lang w:val="fr-FR"/>
        </w:rPr>
        <w:t>’</w:t>
      </w:r>
      <w:r w:rsidRPr="00711EE7">
        <w:rPr>
          <w:lang w:val="fr-FR"/>
        </w:rPr>
        <w:t>efforts pour permettre et faciliter la communication entre le père et sa fille. Il soutient que sa fille n</w:t>
      </w:r>
      <w:r w:rsidR="008B740A">
        <w:rPr>
          <w:lang w:val="fr-FR"/>
        </w:rPr>
        <w:t>’</w:t>
      </w:r>
      <w:r w:rsidRPr="00711EE7">
        <w:rPr>
          <w:lang w:val="fr-FR"/>
        </w:rPr>
        <w:t>est venue qu</w:t>
      </w:r>
      <w:r w:rsidR="008B740A">
        <w:rPr>
          <w:lang w:val="fr-FR"/>
        </w:rPr>
        <w:t>’</w:t>
      </w:r>
      <w:r w:rsidRPr="00711EE7">
        <w:rPr>
          <w:lang w:val="fr-FR"/>
        </w:rPr>
        <w:t xml:space="preserve">une seule fois en </w:t>
      </w:r>
      <w:r>
        <w:rPr>
          <w:lang w:val="fr-FR"/>
        </w:rPr>
        <w:t>A</w:t>
      </w:r>
      <w:r w:rsidRPr="00711EE7">
        <w:rPr>
          <w:lang w:val="fr-FR"/>
        </w:rPr>
        <w:t>rgentine, pays dont elle est originaire. En outre, il indique qu</w:t>
      </w:r>
      <w:r w:rsidR="008B740A">
        <w:rPr>
          <w:lang w:val="fr-FR"/>
        </w:rPr>
        <w:t>’</w:t>
      </w:r>
      <w:r w:rsidRPr="00711EE7">
        <w:rPr>
          <w:lang w:val="fr-FR"/>
        </w:rPr>
        <w:t xml:space="preserve">il est absolument faux </w:t>
      </w:r>
      <w:r>
        <w:rPr>
          <w:lang w:val="fr-FR"/>
        </w:rPr>
        <w:t xml:space="preserve">de dire </w:t>
      </w:r>
      <w:r w:rsidRPr="00711EE7">
        <w:rPr>
          <w:lang w:val="fr-FR"/>
        </w:rPr>
        <w:t xml:space="preserve">que la mère de </w:t>
      </w:r>
      <w:r>
        <w:rPr>
          <w:lang w:val="fr-FR"/>
        </w:rPr>
        <w:t>C. R.</w:t>
      </w:r>
      <w:r w:rsidRPr="00711EE7">
        <w:rPr>
          <w:lang w:val="fr-FR"/>
        </w:rPr>
        <w:t xml:space="preserve"> s</w:t>
      </w:r>
      <w:r w:rsidR="008B740A">
        <w:rPr>
          <w:lang w:val="fr-FR"/>
        </w:rPr>
        <w:t>’</w:t>
      </w:r>
      <w:r w:rsidRPr="00711EE7">
        <w:rPr>
          <w:lang w:val="fr-FR"/>
        </w:rPr>
        <w:t>est acquittée des obligations prévues par le régime de maintien des relations. Il fait observer que cette déclaration n</w:t>
      </w:r>
      <w:r w:rsidR="008B740A">
        <w:rPr>
          <w:lang w:val="fr-FR"/>
        </w:rPr>
        <w:t>’</w:t>
      </w:r>
      <w:r w:rsidRPr="00711EE7">
        <w:rPr>
          <w:lang w:val="fr-FR"/>
        </w:rPr>
        <w:t>est accompagnée d</w:t>
      </w:r>
      <w:r w:rsidR="008B740A">
        <w:rPr>
          <w:lang w:val="fr-FR"/>
        </w:rPr>
        <w:t>’</w:t>
      </w:r>
      <w:r w:rsidRPr="00711EE7">
        <w:rPr>
          <w:lang w:val="fr-FR"/>
        </w:rPr>
        <w:t>aucune preuve et que, jusqu</w:t>
      </w:r>
      <w:r w:rsidR="008B740A">
        <w:rPr>
          <w:lang w:val="fr-FR"/>
        </w:rPr>
        <w:t>’</w:t>
      </w:r>
      <w:r w:rsidRPr="00711EE7">
        <w:rPr>
          <w:lang w:val="fr-FR"/>
        </w:rPr>
        <w:t xml:space="preserve">à présent, </w:t>
      </w:r>
      <w:r>
        <w:rPr>
          <w:lang w:val="fr-FR"/>
        </w:rPr>
        <w:t xml:space="preserve">il </w:t>
      </w:r>
      <w:r w:rsidRPr="00711EE7">
        <w:rPr>
          <w:lang w:val="fr-FR"/>
        </w:rPr>
        <w:t>n</w:t>
      </w:r>
      <w:r w:rsidR="008B740A">
        <w:rPr>
          <w:lang w:val="fr-FR"/>
        </w:rPr>
        <w:t>’</w:t>
      </w:r>
      <w:r w:rsidRPr="00711EE7">
        <w:rPr>
          <w:lang w:val="fr-FR"/>
        </w:rPr>
        <w:t xml:space="preserve">a pas reçu sa fille en </w:t>
      </w:r>
      <w:r>
        <w:rPr>
          <w:lang w:val="fr-FR"/>
        </w:rPr>
        <w:t>A</w:t>
      </w:r>
      <w:r w:rsidRPr="00711EE7">
        <w:rPr>
          <w:lang w:val="fr-FR"/>
        </w:rPr>
        <w:t>rgentine, contrairement à l</w:t>
      </w:r>
      <w:r w:rsidR="008B740A">
        <w:rPr>
          <w:lang w:val="fr-FR"/>
        </w:rPr>
        <w:t>’</w:t>
      </w:r>
      <w:r w:rsidRPr="00711EE7">
        <w:rPr>
          <w:lang w:val="fr-FR"/>
        </w:rPr>
        <w:t>accord conclu avec la mère, et qu</w:t>
      </w:r>
      <w:r w:rsidR="008B740A">
        <w:rPr>
          <w:lang w:val="fr-FR"/>
        </w:rPr>
        <w:t>’</w:t>
      </w:r>
      <w:r w:rsidRPr="00711EE7">
        <w:rPr>
          <w:lang w:val="fr-FR"/>
        </w:rPr>
        <w:t>il ne communique avec sa fille par téléphone que de façon sporadique.</w:t>
      </w:r>
    </w:p>
    <w:p w:rsidR="007E2A0F" w:rsidRPr="00711EE7" w:rsidRDefault="007E2A0F" w:rsidP="007E2A0F">
      <w:pPr>
        <w:spacing w:after="120" w:line="240" w:lineRule="auto"/>
        <w:ind w:left="1134" w:right="1134"/>
        <w:jc w:val="both"/>
        <w:rPr>
          <w:lang w:val="fr-FR"/>
        </w:rPr>
      </w:pPr>
      <w:r w:rsidRPr="00711EE7">
        <w:rPr>
          <w:lang w:val="fr-FR"/>
        </w:rPr>
        <w:t>5.2</w:t>
      </w:r>
      <w:r w:rsidRPr="00711EE7">
        <w:rPr>
          <w:lang w:val="fr-FR"/>
        </w:rPr>
        <w:tab/>
        <w:t>L</w:t>
      </w:r>
      <w:r w:rsidR="008B740A">
        <w:rPr>
          <w:lang w:val="fr-FR"/>
        </w:rPr>
        <w:t>’</w:t>
      </w:r>
      <w:r w:rsidRPr="00711EE7">
        <w:rPr>
          <w:lang w:val="fr-FR"/>
        </w:rPr>
        <w:t>auteur fait observer que l</w:t>
      </w:r>
      <w:r w:rsidR="008B740A">
        <w:rPr>
          <w:lang w:val="fr-FR"/>
        </w:rPr>
        <w:t>’</w:t>
      </w:r>
      <w:r w:rsidRPr="00711EE7">
        <w:rPr>
          <w:lang w:val="fr-FR"/>
        </w:rPr>
        <w:t>État partie n</w:t>
      </w:r>
      <w:r w:rsidR="008B740A">
        <w:rPr>
          <w:lang w:val="fr-FR"/>
        </w:rPr>
        <w:t>’</w:t>
      </w:r>
      <w:r w:rsidRPr="00711EE7">
        <w:rPr>
          <w:lang w:val="fr-FR"/>
        </w:rPr>
        <w:t>a formulé aucun commentaire concernant son manque de collaboration s</w:t>
      </w:r>
      <w:r w:rsidR="008B740A">
        <w:rPr>
          <w:lang w:val="fr-FR"/>
        </w:rPr>
        <w:t>’</w:t>
      </w:r>
      <w:r w:rsidRPr="00711EE7">
        <w:rPr>
          <w:lang w:val="fr-FR"/>
        </w:rPr>
        <w:t>agissant d</w:t>
      </w:r>
      <w:r w:rsidR="008B740A">
        <w:rPr>
          <w:lang w:val="fr-FR"/>
        </w:rPr>
        <w:t>’</w:t>
      </w:r>
      <w:r w:rsidRPr="00711EE7">
        <w:rPr>
          <w:lang w:val="fr-FR"/>
        </w:rPr>
        <w:t xml:space="preserve">obliger la mère de sa fille à se conformer au jugement. Il ajoute que, </w:t>
      </w:r>
      <w:r>
        <w:rPr>
          <w:lang w:val="fr-FR"/>
        </w:rPr>
        <w:t xml:space="preserve">alors </w:t>
      </w:r>
      <w:r w:rsidRPr="00711EE7">
        <w:rPr>
          <w:lang w:val="fr-FR"/>
        </w:rPr>
        <w:t xml:space="preserve">que </w:t>
      </w:r>
      <w:r w:rsidRPr="001A6AE6">
        <w:rPr>
          <w:rStyle w:val="SingleTxtGChar"/>
        </w:rPr>
        <w:t>le Code de l</w:t>
      </w:r>
      <w:r w:rsidR="008B740A">
        <w:rPr>
          <w:rStyle w:val="SingleTxtGChar"/>
        </w:rPr>
        <w:t>’</w:t>
      </w:r>
      <w:r w:rsidRPr="001A6AE6">
        <w:rPr>
          <w:rStyle w:val="SingleTxtGChar"/>
        </w:rPr>
        <w:t>enfance et de l</w:t>
      </w:r>
      <w:r w:rsidR="008B740A">
        <w:rPr>
          <w:rStyle w:val="SingleTxtGChar"/>
        </w:rPr>
        <w:t>’</w:t>
      </w:r>
      <w:r w:rsidRPr="001A6AE6">
        <w:rPr>
          <w:rStyle w:val="SingleTxtGChar"/>
        </w:rPr>
        <w:t>adolescence</w:t>
      </w:r>
      <w:r w:rsidRPr="001A6AE6">
        <w:rPr>
          <w:lang w:val="fr-FR"/>
        </w:rPr>
        <w:t xml:space="preserve"> </w:t>
      </w:r>
      <w:r w:rsidRPr="00711EE7">
        <w:rPr>
          <w:lang w:val="fr-FR"/>
        </w:rPr>
        <w:t xml:space="preserve">prévoit un délai </w:t>
      </w:r>
      <w:r w:rsidRPr="00711EE7">
        <w:rPr>
          <w:lang w:val="fr-FR"/>
        </w:rPr>
        <w:lastRenderedPageBreak/>
        <w:t>de six jours pour qu</w:t>
      </w:r>
      <w:r w:rsidR="008B740A">
        <w:rPr>
          <w:lang w:val="fr-FR"/>
        </w:rPr>
        <w:t>’</w:t>
      </w:r>
      <w:r w:rsidRPr="00711EE7">
        <w:rPr>
          <w:lang w:val="fr-FR"/>
        </w:rPr>
        <w:t>un jugement soit rendu en première instance</w:t>
      </w:r>
      <w:r w:rsidRPr="00A122C5">
        <w:rPr>
          <w:rStyle w:val="Appelnotedebasdep"/>
        </w:rPr>
        <w:footnoteReference w:id="19"/>
      </w:r>
      <w:r w:rsidRPr="00711EE7">
        <w:rPr>
          <w:lang w:val="fr-FR"/>
        </w:rPr>
        <w:t xml:space="preserve"> et </w:t>
      </w:r>
      <w:r>
        <w:rPr>
          <w:lang w:val="fr-FR"/>
        </w:rPr>
        <w:t xml:space="preserve"> un délai </w:t>
      </w:r>
      <w:r w:rsidRPr="00711EE7">
        <w:rPr>
          <w:lang w:val="fr-FR"/>
        </w:rPr>
        <w:t>de dix jours en deuxième instance, ces délais n</w:t>
      </w:r>
      <w:r w:rsidR="008B740A">
        <w:rPr>
          <w:lang w:val="fr-FR"/>
        </w:rPr>
        <w:t>’</w:t>
      </w:r>
      <w:r w:rsidRPr="00711EE7">
        <w:rPr>
          <w:lang w:val="fr-FR"/>
        </w:rPr>
        <w:t>ont pas été respectés</w:t>
      </w:r>
      <w:r w:rsidRPr="00A122C5">
        <w:rPr>
          <w:rStyle w:val="Appelnotedebasdep"/>
        </w:rPr>
        <w:footnoteReference w:id="20"/>
      </w:r>
      <w:r w:rsidRPr="00711EE7">
        <w:rPr>
          <w:lang w:val="fr-FR"/>
        </w:rPr>
        <w:t>. L</w:t>
      </w:r>
      <w:r w:rsidR="008B740A">
        <w:rPr>
          <w:lang w:val="fr-FR"/>
        </w:rPr>
        <w:t>’</w:t>
      </w:r>
      <w:r w:rsidRPr="00711EE7">
        <w:rPr>
          <w:lang w:val="fr-FR"/>
        </w:rPr>
        <w:t>auteur a dû former des recours pour retard dans l</w:t>
      </w:r>
      <w:r w:rsidR="008B740A">
        <w:rPr>
          <w:lang w:val="fr-FR"/>
        </w:rPr>
        <w:t>’</w:t>
      </w:r>
      <w:r w:rsidRPr="00711EE7">
        <w:rPr>
          <w:lang w:val="fr-FR"/>
        </w:rPr>
        <w:t>administration de la justice tant en première qu</w:t>
      </w:r>
      <w:r w:rsidR="008B740A">
        <w:rPr>
          <w:lang w:val="fr-FR"/>
        </w:rPr>
        <w:t>’</w:t>
      </w:r>
      <w:r w:rsidRPr="00711EE7">
        <w:rPr>
          <w:lang w:val="fr-FR"/>
        </w:rPr>
        <w:t>en seconde instance.</w:t>
      </w:r>
      <w:r w:rsidRPr="00711EE7">
        <w:rPr>
          <w:color w:val="FF0000"/>
          <w:lang w:val="fr-FR"/>
        </w:rPr>
        <w:t xml:space="preserve"> </w:t>
      </w:r>
      <w:r w:rsidRPr="00711EE7">
        <w:rPr>
          <w:lang w:val="fr-FR"/>
        </w:rPr>
        <w:t>Il</w:t>
      </w:r>
      <w:r>
        <w:rPr>
          <w:lang w:val="fr-FR"/>
        </w:rPr>
        <w:t> </w:t>
      </w:r>
      <w:r w:rsidRPr="00711EE7">
        <w:rPr>
          <w:lang w:val="fr-FR"/>
        </w:rPr>
        <w:t>signale que, depuis le 20</w:t>
      </w:r>
      <w:r>
        <w:rPr>
          <w:lang w:val="fr-FR"/>
        </w:rPr>
        <w:t> </w:t>
      </w:r>
      <w:r w:rsidRPr="00711EE7">
        <w:rPr>
          <w:lang w:val="fr-FR"/>
        </w:rPr>
        <w:t>avril 2017, date d</w:t>
      </w:r>
      <w:r w:rsidR="008B740A">
        <w:rPr>
          <w:lang w:val="fr-FR"/>
        </w:rPr>
        <w:t>’</w:t>
      </w:r>
      <w:r w:rsidRPr="00711EE7">
        <w:rPr>
          <w:lang w:val="fr-FR"/>
        </w:rPr>
        <w:t>entrée en vigueur du Protocole à l</w:t>
      </w:r>
      <w:r w:rsidR="008B740A">
        <w:rPr>
          <w:lang w:val="fr-FR"/>
        </w:rPr>
        <w:t>’</w:t>
      </w:r>
      <w:r w:rsidRPr="00711EE7">
        <w:rPr>
          <w:lang w:val="fr-FR"/>
        </w:rPr>
        <w:t>égard de l</w:t>
      </w:r>
      <w:r w:rsidR="008B740A">
        <w:rPr>
          <w:lang w:val="fr-FR"/>
        </w:rPr>
        <w:t>’</w:t>
      </w:r>
      <w:r w:rsidRPr="00711EE7">
        <w:rPr>
          <w:lang w:val="fr-FR"/>
        </w:rPr>
        <w:t>État partie, la situation ne s</w:t>
      </w:r>
      <w:r w:rsidR="008B740A">
        <w:rPr>
          <w:lang w:val="fr-FR"/>
        </w:rPr>
        <w:t>’</w:t>
      </w:r>
      <w:r w:rsidRPr="00711EE7">
        <w:rPr>
          <w:lang w:val="fr-FR"/>
        </w:rPr>
        <w:t>est pas améliorée.</w:t>
      </w:r>
    </w:p>
    <w:p w:rsidR="007E2A0F" w:rsidRPr="00711EE7" w:rsidRDefault="007E2A0F" w:rsidP="007E2A0F">
      <w:pPr>
        <w:spacing w:after="120" w:line="240" w:lineRule="auto"/>
        <w:ind w:left="1134" w:right="1134"/>
        <w:jc w:val="both"/>
        <w:rPr>
          <w:lang w:val="fr-FR"/>
        </w:rPr>
      </w:pPr>
      <w:r w:rsidRPr="00711EE7">
        <w:rPr>
          <w:lang w:val="fr-FR"/>
        </w:rPr>
        <w:t>5.3</w:t>
      </w:r>
      <w:r w:rsidRPr="00711EE7">
        <w:rPr>
          <w:lang w:val="fr-FR"/>
        </w:rPr>
        <w:tab/>
        <w:t>L</w:t>
      </w:r>
      <w:r w:rsidR="008B740A">
        <w:rPr>
          <w:lang w:val="fr-FR"/>
        </w:rPr>
        <w:t>’</w:t>
      </w:r>
      <w:r w:rsidRPr="00711EE7">
        <w:rPr>
          <w:lang w:val="fr-FR"/>
        </w:rPr>
        <w:t>auteur signale que, non seulement il a offert une tablette à sa fille pour qu</w:t>
      </w:r>
      <w:r w:rsidR="008B740A">
        <w:rPr>
          <w:lang w:val="fr-FR"/>
        </w:rPr>
        <w:t>’</w:t>
      </w:r>
      <w:r w:rsidRPr="00711EE7">
        <w:rPr>
          <w:lang w:val="fr-FR"/>
        </w:rPr>
        <w:t>elle puisse communiquer avec lui, mais qu</w:t>
      </w:r>
      <w:r w:rsidR="008B740A">
        <w:rPr>
          <w:lang w:val="fr-FR"/>
        </w:rPr>
        <w:t>’</w:t>
      </w:r>
      <w:r w:rsidRPr="00711EE7">
        <w:rPr>
          <w:lang w:val="fr-FR"/>
        </w:rPr>
        <w:t xml:space="preserve">à la demande de la mère, il a également fourni un modem pour faciliter la connexion Internet. Malgré cela, la communication </w:t>
      </w:r>
      <w:r>
        <w:rPr>
          <w:lang w:val="fr-FR"/>
        </w:rPr>
        <w:t xml:space="preserve">avec sa </w:t>
      </w:r>
      <w:r w:rsidRPr="00711EE7">
        <w:rPr>
          <w:lang w:val="fr-FR"/>
        </w:rPr>
        <w:t>fille ne s</w:t>
      </w:r>
      <w:r w:rsidR="008B740A">
        <w:rPr>
          <w:lang w:val="fr-FR"/>
        </w:rPr>
        <w:t>’</w:t>
      </w:r>
      <w:r w:rsidRPr="00711EE7">
        <w:rPr>
          <w:lang w:val="fr-FR"/>
        </w:rPr>
        <w:t>est pas améliorée. L</w:t>
      </w:r>
      <w:r w:rsidR="008B740A">
        <w:rPr>
          <w:lang w:val="fr-FR"/>
        </w:rPr>
        <w:t>’</w:t>
      </w:r>
      <w:r w:rsidRPr="00711EE7">
        <w:rPr>
          <w:lang w:val="fr-FR"/>
        </w:rPr>
        <w:t>auteur rappelle qu</w:t>
      </w:r>
      <w:r w:rsidR="008B740A">
        <w:rPr>
          <w:lang w:val="fr-FR"/>
        </w:rPr>
        <w:t>’</w:t>
      </w:r>
      <w:r w:rsidRPr="00711EE7">
        <w:rPr>
          <w:lang w:val="fr-FR"/>
        </w:rPr>
        <w:t>il s</w:t>
      </w:r>
      <w:r w:rsidR="008B740A">
        <w:rPr>
          <w:lang w:val="fr-FR"/>
        </w:rPr>
        <w:t>’</w:t>
      </w:r>
      <w:r w:rsidRPr="00711EE7">
        <w:rPr>
          <w:lang w:val="fr-FR"/>
        </w:rPr>
        <w:t xml:space="preserve">est plaint de cet état de fait devant le pouvoir judiciaire, à qui il incombe de faire exécuter le jugement, mais </w:t>
      </w:r>
      <w:r>
        <w:rPr>
          <w:lang w:val="fr-FR"/>
        </w:rPr>
        <w:t>qu</w:t>
      </w:r>
      <w:r w:rsidR="008B740A">
        <w:rPr>
          <w:lang w:val="fr-FR"/>
        </w:rPr>
        <w:t>’</w:t>
      </w:r>
      <w:r w:rsidRPr="00711EE7">
        <w:rPr>
          <w:lang w:val="fr-FR"/>
        </w:rPr>
        <w:t>il n</w:t>
      </w:r>
      <w:r w:rsidR="008B740A">
        <w:rPr>
          <w:lang w:val="fr-FR"/>
        </w:rPr>
        <w:t>’</w:t>
      </w:r>
      <w:r w:rsidRPr="00711EE7">
        <w:rPr>
          <w:lang w:val="fr-FR"/>
        </w:rPr>
        <w:t>a obtenu aucune des réponses prévues dans le système en vigueur dans l</w:t>
      </w:r>
      <w:r w:rsidR="008B740A">
        <w:rPr>
          <w:lang w:val="fr-FR"/>
        </w:rPr>
        <w:t>’</w:t>
      </w:r>
      <w:r w:rsidRPr="00711EE7">
        <w:rPr>
          <w:lang w:val="fr-FR"/>
        </w:rPr>
        <w:t>État partie, à savoir l</w:t>
      </w:r>
      <w:r w:rsidR="008B740A">
        <w:rPr>
          <w:lang w:val="fr-FR"/>
        </w:rPr>
        <w:t>’</w:t>
      </w:r>
      <w:r w:rsidRPr="00711EE7">
        <w:rPr>
          <w:lang w:val="fr-FR"/>
        </w:rPr>
        <w:t>imposition d</w:t>
      </w:r>
      <w:r w:rsidR="008B740A">
        <w:rPr>
          <w:lang w:val="fr-FR"/>
        </w:rPr>
        <w:t>’</w:t>
      </w:r>
      <w:r w:rsidRPr="00711EE7">
        <w:rPr>
          <w:lang w:val="fr-FR"/>
        </w:rPr>
        <w:t>amendes, l</w:t>
      </w:r>
      <w:r w:rsidR="008B740A">
        <w:rPr>
          <w:lang w:val="fr-FR"/>
        </w:rPr>
        <w:t>’</w:t>
      </w:r>
      <w:r w:rsidRPr="00711EE7">
        <w:rPr>
          <w:lang w:val="fr-FR"/>
        </w:rPr>
        <w:t xml:space="preserve">ouverture de poursuites pour outrage à magistrat ou la modification du régime de maintien des relations. </w:t>
      </w:r>
    </w:p>
    <w:p w:rsidR="007E2A0F" w:rsidRPr="00711EE7" w:rsidRDefault="007E2A0F" w:rsidP="007E2A0F">
      <w:pPr>
        <w:spacing w:after="120" w:line="240" w:lineRule="auto"/>
        <w:ind w:left="1134" w:right="1134"/>
        <w:jc w:val="both"/>
        <w:rPr>
          <w:lang w:val="fr-FR"/>
        </w:rPr>
      </w:pPr>
      <w:r w:rsidRPr="00711EE7">
        <w:rPr>
          <w:lang w:val="fr-FR"/>
        </w:rPr>
        <w:t>5.4</w:t>
      </w:r>
      <w:r w:rsidRPr="00711EE7">
        <w:rPr>
          <w:lang w:val="fr-FR"/>
        </w:rPr>
        <w:tab/>
        <w:t>En ce qui concerne l</w:t>
      </w:r>
      <w:r w:rsidR="008B740A">
        <w:rPr>
          <w:lang w:val="fr-FR"/>
        </w:rPr>
        <w:t>’</w:t>
      </w:r>
      <w:r w:rsidRPr="00711EE7">
        <w:rPr>
          <w:lang w:val="fr-FR"/>
        </w:rPr>
        <w:t>épuisement des recours internes, l</w:t>
      </w:r>
      <w:r w:rsidR="008B740A">
        <w:rPr>
          <w:lang w:val="fr-FR"/>
        </w:rPr>
        <w:t>’</w:t>
      </w:r>
      <w:r w:rsidRPr="00711EE7">
        <w:rPr>
          <w:lang w:val="fr-FR"/>
        </w:rPr>
        <w:t>auteur affirme que l</w:t>
      </w:r>
      <w:r w:rsidR="008B740A">
        <w:rPr>
          <w:lang w:val="fr-FR"/>
        </w:rPr>
        <w:t>’</w:t>
      </w:r>
      <w:r w:rsidRPr="00711EE7">
        <w:rPr>
          <w:lang w:val="fr-FR"/>
        </w:rPr>
        <w:t>État partie a omis de citer la dernière partie de l</w:t>
      </w:r>
      <w:r w:rsidR="008B740A">
        <w:rPr>
          <w:lang w:val="fr-FR"/>
        </w:rPr>
        <w:t>’</w:t>
      </w:r>
      <w:r w:rsidRPr="00711EE7">
        <w:rPr>
          <w:lang w:val="fr-FR"/>
        </w:rPr>
        <w:t>alinéa </w:t>
      </w:r>
      <w:r>
        <w:rPr>
          <w:lang w:val="fr-FR"/>
        </w:rPr>
        <w:t>e)</w:t>
      </w:r>
      <w:r w:rsidRPr="00711EE7">
        <w:rPr>
          <w:lang w:val="fr-FR"/>
        </w:rPr>
        <w:t xml:space="preserve"> de l</w:t>
      </w:r>
      <w:r w:rsidR="008B740A">
        <w:rPr>
          <w:lang w:val="fr-FR"/>
        </w:rPr>
        <w:t>’</w:t>
      </w:r>
      <w:r w:rsidRPr="00711EE7">
        <w:rPr>
          <w:lang w:val="fr-FR"/>
        </w:rPr>
        <w:t>article 7, qui se lit comme suit</w:t>
      </w:r>
      <w:r>
        <w:rPr>
          <w:lang w:val="fr-FR"/>
        </w:rPr>
        <w:t> :</w:t>
      </w:r>
      <w:r w:rsidRPr="00711EE7">
        <w:rPr>
          <w:lang w:val="fr-FR"/>
        </w:rPr>
        <w:t xml:space="preserve"> « Cette règle ne s</w:t>
      </w:r>
      <w:r w:rsidR="008B740A">
        <w:rPr>
          <w:lang w:val="fr-FR"/>
        </w:rPr>
        <w:t>’</w:t>
      </w:r>
      <w:r w:rsidRPr="00711EE7">
        <w:rPr>
          <w:lang w:val="fr-FR"/>
        </w:rPr>
        <w:t>applique pas si la procédure de recours excède des délais raisonnables ou s</w:t>
      </w:r>
      <w:r w:rsidR="008B740A">
        <w:rPr>
          <w:lang w:val="fr-FR"/>
        </w:rPr>
        <w:t>’</w:t>
      </w:r>
      <w:r w:rsidRPr="00711EE7">
        <w:rPr>
          <w:lang w:val="fr-FR"/>
        </w:rPr>
        <w:t>il est peu probable qu</w:t>
      </w:r>
      <w:r w:rsidR="008B740A">
        <w:rPr>
          <w:lang w:val="fr-FR"/>
        </w:rPr>
        <w:t>’</w:t>
      </w:r>
      <w:r w:rsidRPr="00711EE7">
        <w:rPr>
          <w:lang w:val="fr-FR"/>
        </w:rPr>
        <w:t>elle permette d</w:t>
      </w:r>
      <w:r w:rsidR="008B740A">
        <w:rPr>
          <w:lang w:val="fr-FR"/>
        </w:rPr>
        <w:t>’</w:t>
      </w:r>
      <w:r w:rsidRPr="00711EE7">
        <w:rPr>
          <w:lang w:val="fr-FR"/>
        </w:rPr>
        <w:t>obtenir une réparation effective ». Les demandes que l</w:t>
      </w:r>
      <w:r w:rsidR="008B740A">
        <w:rPr>
          <w:lang w:val="fr-FR"/>
        </w:rPr>
        <w:t>’</w:t>
      </w:r>
      <w:r w:rsidRPr="00711EE7">
        <w:rPr>
          <w:lang w:val="fr-FR"/>
        </w:rPr>
        <w:t>auteur a adressées aux autorités judiciaires se sont toujours heurtées</w:t>
      </w:r>
      <w:r w:rsidR="004E00E4">
        <w:rPr>
          <w:lang w:val="fr-FR"/>
        </w:rPr>
        <w:t xml:space="preserve"> </w:t>
      </w:r>
      <w:r w:rsidRPr="00711EE7">
        <w:rPr>
          <w:lang w:val="fr-FR"/>
        </w:rPr>
        <w:t>« à l</w:t>
      </w:r>
      <w:r w:rsidR="008B740A">
        <w:rPr>
          <w:lang w:val="fr-FR"/>
        </w:rPr>
        <w:t>’</w:t>
      </w:r>
      <w:r w:rsidRPr="00711EE7">
        <w:rPr>
          <w:lang w:val="fr-FR"/>
        </w:rPr>
        <w:t>inefficacité, à l</w:t>
      </w:r>
      <w:r w:rsidR="008B740A">
        <w:rPr>
          <w:lang w:val="fr-FR"/>
        </w:rPr>
        <w:t>’</w:t>
      </w:r>
      <w:r w:rsidRPr="00711EE7">
        <w:rPr>
          <w:lang w:val="fr-FR"/>
        </w:rPr>
        <w:t>inertie et à l</w:t>
      </w:r>
      <w:r w:rsidR="008B740A">
        <w:rPr>
          <w:lang w:val="fr-FR"/>
        </w:rPr>
        <w:t>’</w:t>
      </w:r>
      <w:r w:rsidRPr="00711EE7">
        <w:rPr>
          <w:lang w:val="fr-FR"/>
        </w:rPr>
        <w:t>incapacité de faire exécuter un jugement prononcé par des juges paraguayens, qui concernait une petite fille et son père de nationalité argentine ». L</w:t>
      </w:r>
      <w:r w:rsidR="008B740A">
        <w:rPr>
          <w:lang w:val="fr-FR"/>
        </w:rPr>
        <w:t>’</w:t>
      </w:r>
      <w:r w:rsidRPr="00711EE7">
        <w:rPr>
          <w:lang w:val="fr-FR"/>
        </w:rPr>
        <w:t>auteur affirme que le non-respect répété des délais prescrits montre que la justice paraguayenne n</w:t>
      </w:r>
      <w:r w:rsidR="008B740A">
        <w:rPr>
          <w:lang w:val="fr-FR"/>
        </w:rPr>
        <w:t>’</w:t>
      </w:r>
      <w:r w:rsidRPr="00711EE7">
        <w:rPr>
          <w:lang w:val="fr-FR"/>
        </w:rPr>
        <w:t>est pas disposée à répondre comme il se doit à ses demandes et que, bien qu</w:t>
      </w:r>
      <w:r w:rsidR="008B740A">
        <w:rPr>
          <w:lang w:val="fr-FR"/>
        </w:rPr>
        <w:t>’</w:t>
      </w:r>
      <w:r w:rsidRPr="00711EE7">
        <w:rPr>
          <w:lang w:val="fr-FR"/>
        </w:rPr>
        <w:t>il ait été décidé de renvoyer le dossier au ministère public en vue de l</w:t>
      </w:r>
      <w:r w:rsidR="008B740A">
        <w:rPr>
          <w:lang w:val="fr-FR"/>
        </w:rPr>
        <w:t>’</w:t>
      </w:r>
      <w:r w:rsidRPr="00711EE7">
        <w:rPr>
          <w:lang w:val="fr-FR"/>
        </w:rPr>
        <w:t>ouverture de poursuites pour outrage à magistrat, jusqu</w:t>
      </w:r>
      <w:r w:rsidR="008B740A">
        <w:rPr>
          <w:lang w:val="fr-FR"/>
        </w:rPr>
        <w:t>’</w:t>
      </w:r>
      <w:r w:rsidRPr="00711EE7">
        <w:rPr>
          <w:lang w:val="fr-FR"/>
        </w:rPr>
        <w:t>à présent aucune suite n</w:t>
      </w:r>
      <w:r w:rsidR="008B740A">
        <w:rPr>
          <w:lang w:val="fr-FR"/>
        </w:rPr>
        <w:t>’</w:t>
      </w:r>
      <w:r w:rsidRPr="00711EE7">
        <w:rPr>
          <w:lang w:val="fr-FR"/>
        </w:rPr>
        <w:t>a été donnée à cette ordonnance rendue à la majorité des membres du Tribunal d</w:t>
      </w:r>
      <w:r w:rsidR="008B740A">
        <w:rPr>
          <w:lang w:val="fr-FR"/>
        </w:rPr>
        <w:t>’</w:t>
      </w:r>
      <w:r w:rsidRPr="00711EE7">
        <w:rPr>
          <w:lang w:val="fr-FR"/>
        </w:rPr>
        <w:t>appel.</w:t>
      </w:r>
    </w:p>
    <w:p w:rsidR="007E2A0F" w:rsidRPr="00711EE7" w:rsidRDefault="007E2A0F" w:rsidP="007E2A0F">
      <w:pPr>
        <w:pStyle w:val="SingleTxtG"/>
        <w:rPr>
          <w:lang w:val="fr-FR"/>
        </w:rPr>
      </w:pPr>
      <w:r w:rsidRPr="00711EE7">
        <w:rPr>
          <w:lang w:val="fr-FR"/>
        </w:rPr>
        <w:t>5.5</w:t>
      </w:r>
      <w:r w:rsidRPr="00711EE7">
        <w:rPr>
          <w:lang w:val="fr-FR"/>
        </w:rPr>
        <w:tab/>
        <w:t>L</w:t>
      </w:r>
      <w:r w:rsidR="008B740A">
        <w:rPr>
          <w:lang w:val="fr-FR"/>
        </w:rPr>
        <w:t>’</w:t>
      </w:r>
      <w:r w:rsidRPr="00711EE7">
        <w:rPr>
          <w:lang w:val="fr-FR"/>
        </w:rPr>
        <w:t>auteur signale que, contrairement à ce que prétend l</w:t>
      </w:r>
      <w:r w:rsidR="008B740A">
        <w:rPr>
          <w:lang w:val="fr-FR"/>
        </w:rPr>
        <w:t>’</w:t>
      </w:r>
      <w:r w:rsidRPr="00711EE7">
        <w:rPr>
          <w:lang w:val="fr-FR"/>
        </w:rPr>
        <w:t>État partie, il ne lui était pas loisible, par la procédure ordinaire, de se pourvoir devant la Cour suprême de justice, et ce</w:t>
      </w:r>
      <w:r>
        <w:rPr>
          <w:lang w:val="fr-FR"/>
        </w:rPr>
        <w:t>,</w:t>
      </w:r>
      <w:r w:rsidRPr="00711EE7">
        <w:rPr>
          <w:lang w:val="fr-FR"/>
        </w:rPr>
        <w:t xml:space="preserve"> d</w:t>
      </w:r>
      <w:r w:rsidR="008B740A">
        <w:rPr>
          <w:lang w:val="fr-FR"/>
        </w:rPr>
        <w:t>’</w:t>
      </w:r>
      <w:r w:rsidRPr="00711EE7">
        <w:rPr>
          <w:lang w:val="fr-FR"/>
        </w:rPr>
        <w:t>autant moins que l</w:t>
      </w:r>
      <w:r w:rsidR="008B740A">
        <w:rPr>
          <w:lang w:val="fr-FR"/>
        </w:rPr>
        <w:t>’</w:t>
      </w:r>
      <w:r w:rsidRPr="00711EE7">
        <w:rPr>
          <w:lang w:val="fr-FR"/>
        </w:rPr>
        <w:t>appel qu</w:t>
      </w:r>
      <w:r w:rsidR="008B740A">
        <w:rPr>
          <w:lang w:val="fr-FR"/>
        </w:rPr>
        <w:t>’</w:t>
      </w:r>
      <w:r w:rsidRPr="00711EE7">
        <w:rPr>
          <w:lang w:val="fr-FR"/>
        </w:rPr>
        <w:t>il a interjeté a été accueilli</w:t>
      </w:r>
      <w:r w:rsidRPr="00A122C5">
        <w:rPr>
          <w:rStyle w:val="Appelnotedebasdep"/>
        </w:rPr>
        <w:footnoteReference w:id="21"/>
      </w:r>
      <w:r w:rsidRPr="00711EE7">
        <w:rPr>
          <w:lang w:val="fr-FR"/>
        </w:rPr>
        <w:t>. Il fait observer que ni l</w:t>
      </w:r>
      <w:r w:rsidR="008B740A">
        <w:rPr>
          <w:lang w:val="fr-FR"/>
        </w:rPr>
        <w:t>’</w:t>
      </w:r>
      <w:r w:rsidRPr="00711EE7">
        <w:rPr>
          <w:lang w:val="fr-FR"/>
        </w:rPr>
        <w:t>article 28 du Code de l</w:t>
      </w:r>
      <w:r w:rsidR="008B740A">
        <w:rPr>
          <w:lang w:val="fr-FR"/>
        </w:rPr>
        <w:t>’</w:t>
      </w:r>
      <w:r w:rsidRPr="00711EE7">
        <w:rPr>
          <w:lang w:val="fr-FR"/>
        </w:rPr>
        <w:t>organisation judiciaire</w:t>
      </w:r>
      <w:r w:rsidRPr="00A122C5">
        <w:rPr>
          <w:rStyle w:val="Appelnotedebasdep"/>
        </w:rPr>
        <w:footnoteReference w:id="22"/>
      </w:r>
      <w:r w:rsidRPr="00711EE7">
        <w:rPr>
          <w:lang w:val="fr-FR"/>
        </w:rPr>
        <w:t>, ni la loi</w:t>
      </w:r>
      <w:r>
        <w:rPr>
          <w:lang w:val="fr-FR"/>
        </w:rPr>
        <w:t xml:space="preserve"> </w:t>
      </w:r>
      <w:r w:rsidRPr="00440C4E">
        <w:rPr>
          <w:rFonts w:eastAsia="MS Mincho"/>
          <w:lang w:val="fr-FR"/>
        </w:rPr>
        <w:t>n</w:t>
      </w:r>
      <w:r w:rsidRPr="00440C4E">
        <w:rPr>
          <w:rFonts w:eastAsia="MS Mincho"/>
          <w:vertAlign w:val="superscript"/>
          <w:lang w:val="fr-FR"/>
        </w:rPr>
        <w:t>o</w:t>
      </w:r>
      <w:r>
        <w:rPr>
          <w:lang w:val="fr-FR"/>
        </w:rPr>
        <w:t> </w:t>
      </w:r>
      <w:r w:rsidRPr="00711EE7">
        <w:rPr>
          <w:lang w:val="fr-FR"/>
        </w:rPr>
        <w:t>609/1995 qui régit le fonctionnement de la Cour suprême de justice ne prévoient que les dossiers concernant des enfants soient examinés par cette instance</w:t>
      </w:r>
      <w:r w:rsidRPr="00A122C5">
        <w:rPr>
          <w:rStyle w:val="Appelnotedebasdep"/>
        </w:rPr>
        <w:footnoteReference w:id="23"/>
      </w:r>
      <w:r w:rsidRPr="00711EE7">
        <w:rPr>
          <w:lang w:val="fr-FR"/>
        </w:rPr>
        <w:t xml:space="preserve">. </w:t>
      </w:r>
      <w:r>
        <w:rPr>
          <w:lang w:val="fr-FR"/>
        </w:rPr>
        <w:t>Il</w:t>
      </w:r>
      <w:r w:rsidRPr="00711EE7">
        <w:rPr>
          <w:lang w:val="fr-FR"/>
        </w:rPr>
        <w:t xml:space="preserve"> réitère son argument selon lequel seule la partie défenderesse (la mère de sa fille) pourrait éventuellement contester l</w:t>
      </w:r>
      <w:r w:rsidR="008B740A">
        <w:rPr>
          <w:lang w:val="fr-FR"/>
        </w:rPr>
        <w:t>’</w:t>
      </w:r>
      <w:r w:rsidRPr="00711EE7">
        <w:rPr>
          <w:lang w:val="fr-FR"/>
        </w:rPr>
        <w:t>arrêt du Tribunal d</w:t>
      </w:r>
      <w:r w:rsidR="008B740A">
        <w:rPr>
          <w:lang w:val="fr-FR"/>
        </w:rPr>
        <w:t>’</w:t>
      </w:r>
      <w:r w:rsidRPr="00711EE7">
        <w:rPr>
          <w:lang w:val="fr-FR"/>
        </w:rPr>
        <w:t>appel et, comme elle ne l</w:t>
      </w:r>
      <w:r w:rsidR="008B740A">
        <w:rPr>
          <w:lang w:val="fr-FR"/>
        </w:rPr>
        <w:t>’</w:t>
      </w:r>
      <w:r w:rsidRPr="00711EE7">
        <w:rPr>
          <w:lang w:val="fr-FR"/>
        </w:rPr>
        <w:t>a pas fait, cette décision judiciaire a acquis la force nécessaire pour être exécutée, à la suite des manquements répétés de la mère concernant le régime de visite et l</w:t>
      </w:r>
      <w:r w:rsidR="008B740A">
        <w:rPr>
          <w:lang w:val="fr-FR"/>
        </w:rPr>
        <w:t>’</w:t>
      </w:r>
      <w:r w:rsidRPr="00711EE7">
        <w:rPr>
          <w:lang w:val="fr-FR"/>
        </w:rPr>
        <w:t>inaction de l</w:t>
      </w:r>
      <w:r w:rsidR="008B740A">
        <w:rPr>
          <w:lang w:val="fr-FR"/>
        </w:rPr>
        <w:t>’</w:t>
      </w:r>
      <w:r w:rsidRPr="00711EE7">
        <w:rPr>
          <w:lang w:val="fr-FR"/>
        </w:rPr>
        <w:t>État paraguayen face aux nombreuses réclamations introduites par l</w:t>
      </w:r>
      <w:r w:rsidR="008B740A">
        <w:rPr>
          <w:lang w:val="fr-FR"/>
        </w:rPr>
        <w:t>’</w:t>
      </w:r>
      <w:r w:rsidRPr="00711EE7">
        <w:rPr>
          <w:lang w:val="fr-FR"/>
        </w:rPr>
        <w:t>auteur. Il n</w:t>
      </w:r>
      <w:r w:rsidR="008B740A">
        <w:rPr>
          <w:lang w:val="fr-FR"/>
        </w:rPr>
        <w:t>’</w:t>
      </w:r>
      <w:r w:rsidRPr="00711EE7">
        <w:rPr>
          <w:lang w:val="fr-FR"/>
        </w:rPr>
        <w:t>appert pas que, dans des cas semblables, on puisse aller jusqu</w:t>
      </w:r>
      <w:r w:rsidR="008B740A">
        <w:rPr>
          <w:lang w:val="fr-FR"/>
        </w:rPr>
        <w:t>’</w:t>
      </w:r>
      <w:r w:rsidRPr="00711EE7">
        <w:rPr>
          <w:lang w:val="fr-FR"/>
        </w:rPr>
        <w:t>au troisième ressort, pas même en se référant aux règles supplétives du Code de procédure civile. La décision du Tribunal d</w:t>
      </w:r>
      <w:r w:rsidR="008B740A">
        <w:rPr>
          <w:lang w:val="fr-FR"/>
        </w:rPr>
        <w:t>’</w:t>
      </w:r>
      <w:r w:rsidRPr="00711EE7">
        <w:rPr>
          <w:lang w:val="fr-FR"/>
        </w:rPr>
        <w:t>appel a été rendue dans le cadre d</w:t>
      </w:r>
      <w:r w:rsidR="008B740A">
        <w:rPr>
          <w:lang w:val="fr-FR"/>
        </w:rPr>
        <w:t>’</w:t>
      </w:r>
      <w:r w:rsidRPr="00711EE7">
        <w:rPr>
          <w:lang w:val="fr-FR"/>
        </w:rPr>
        <w:t>un appel interjeté contre une décision interlocutoire de première instance, c</w:t>
      </w:r>
      <w:r w:rsidR="008B740A">
        <w:rPr>
          <w:lang w:val="fr-FR"/>
        </w:rPr>
        <w:t>’</w:t>
      </w:r>
      <w:r w:rsidRPr="00711EE7">
        <w:rPr>
          <w:lang w:val="fr-FR"/>
        </w:rPr>
        <w:t>est pourquoi l</w:t>
      </w:r>
      <w:r w:rsidR="008B740A">
        <w:rPr>
          <w:lang w:val="fr-FR"/>
        </w:rPr>
        <w:t>’</w:t>
      </w:r>
      <w:r w:rsidRPr="00711EE7">
        <w:rPr>
          <w:lang w:val="fr-FR"/>
        </w:rPr>
        <w:t>article 403 du Code de procédure civile ne s</w:t>
      </w:r>
      <w:r w:rsidR="008B740A">
        <w:rPr>
          <w:lang w:val="fr-FR"/>
        </w:rPr>
        <w:t>’</w:t>
      </w:r>
      <w:r w:rsidRPr="00711EE7">
        <w:rPr>
          <w:lang w:val="fr-FR"/>
        </w:rPr>
        <w:t>applique pas en l</w:t>
      </w:r>
      <w:r w:rsidR="008B740A">
        <w:rPr>
          <w:lang w:val="fr-FR"/>
        </w:rPr>
        <w:t>’</w:t>
      </w:r>
      <w:r w:rsidRPr="00711EE7">
        <w:rPr>
          <w:lang w:val="fr-FR"/>
        </w:rPr>
        <w:t>occurrence</w:t>
      </w:r>
      <w:r w:rsidRPr="00A122C5">
        <w:rPr>
          <w:rStyle w:val="Appelnotedebasdep"/>
        </w:rPr>
        <w:footnoteReference w:id="24"/>
      </w:r>
      <w:r w:rsidRPr="00711EE7">
        <w:rPr>
          <w:lang w:val="fr-FR"/>
        </w:rPr>
        <w:t xml:space="preserve">. </w:t>
      </w:r>
    </w:p>
    <w:p w:rsidR="007E2A0F" w:rsidRPr="00711EE7" w:rsidRDefault="007E2A0F" w:rsidP="007E2A0F">
      <w:pPr>
        <w:pStyle w:val="SingleTxtG"/>
        <w:rPr>
          <w:lang w:val="fr-FR"/>
        </w:rPr>
      </w:pPr>
      <w:r w:rsidRPr="00711EE7">
        <w:rPr>
          <w:lang w:val="fr-FR"/>
        </w:rPr>
        <w:lastRenderedPageBreak/>
        <w:t>5.6</w:t>
      </w:r>
      <w:r w:rsidRPr="00711EE7">
        <w:rPr>
          <w:lang w:val="fr-FR"/>
        </w:rPr>
        <w:tab/>
        <w:t>De plus, l</w:t>
      </w:r>
      <w:r w:rsidR="008B740A">
        <w:rPr>
          <w:lang w:val="fr-FR"/>
        </w:rPr>
        <w:t>’</w:t>
      </w:r>
      <w:r w:rsidRPr="00711EE7">
        <w:rPr>
          <w:lang w:val="fr-FR"/>
        </w:rPr>
        <w:t xml:space="preserve">auteur fait observer </w:t>
      </w:r>
      <w:r>
        <w:rPr>
          <w:lang w:val="fr-FR"/>
        </w:rPr>
        <w:t>qu</w:t>
      </w:r>
      <w:r w:rsidR="008B740A">
        <w:rPr>
          <w:lang w:val="fr-FR"/>
        </w:rPr>
        <w:t>’</w:t>
      </w:r>
      <w:r>
        <w:rPr>
          <w:lang w:val="fr-FR"/>
        </w:rPr>
        <w:t>aucune suite n</w:t>
      </w:r>
      <w:r w:rsidR="008B740A">
        <w:rPr>
          <w:lang w:val="fr-FR"/>
        </w:rPr>
        <w:t>’</w:t>
      </w:r>
      <w:r>
        <w:rPr>
          <w:lang w:val="fr-FR"/>
        </w:rPr>
        <w:t>a été donnée aux</w:t>
      </w:r>
      <w:r w:rsidRPr="00711EE7">
        <w:rPr>
          <w:lang w:val="fr-FR"/>
        </w:rPr>
        <w:t xml:space="preserve"> démarches entreprises auprès du Secrétariat de l</w:t>
      </w:r>
      <w:r w:rsidR="008B740A">
        <w:rPr>
          <w:lang w:val="fr-FR"/>
        </w:rPr>
        <w:t>’</w:t>
      </w:r>
      <w:r w:rsidRPr="00711EE7">
        <w:rPr>
          <w:lang w:val="fr-FR"/>
        </w:rPr>
        <w:t>enfance et de l</w:t>
      </w:r>
      <w:r w:rsidR="008B740A">
        <w:rPr>
          <w:lang w:val="fr-FR"/>
        </w:rPr>
        <w:t>’</w:t>
      </w:r>
      <w:r w:rsidRPr="00711EE7">
        <w:rPr>
          <w:lang w:val="fr-FR"/>
        </w:rPr>
        <w:t>adolescence de l</w:t>
      </w:r>
      <w:r w:rsidR="008B740A">
        <w:rPr>
          <w:lang w:val="fr-FR"/>
        </w:rPr>
        <w:t>’</w:t>
      </w:r>
      <w:r w:rsidRPr="00711EE7">
        <w:rPr>
          <w:lang w:val="fr-FR"/>
        </w:rPr>
        <w:t>État partie et auprès de l</w:t>
      </w:r>
      <w:r w:rsidR="008B740A">
        <w:rPr>
          <w:lang w:val="fr-FR"/>
        </w:rPr>
        <w:t>’</w:t>
      </w:r>
      <w:r w:rsidRPr="00711EE7">
        <w:rPr>
          <w:lang w:val="fr-FR"/>
        </w:rPr>
        <w:t>établissement scolaire privé San José fréquent</w:t>
      </w:r>
      <w:r>
        <w:rPr>
          <w:lang w:val="fr-FR"/>
        </w:rPr>
        <w:t>é</w:t>
      </w:r>
      <w:r w:rsidRPr="00711EE7">
        <w:rPr>
          <w:lang w:val="fr-FR"/>
        </w:rPr>
        <w:t xml:space="preserve"> </w:t>
      </w:r>
      <w:r>
        <w:rPr>
          <w:lang w:val="fr-FR"/>
        </w:rPr>
        <w:t xml:space="preserve">par </w:t>
      </w:r>
      <w:r w:rsidRPr="00711EE7">
        <w:rPr>
          <w:lang w:val="fr-FR"/>
        </w:rPr>
        <w:t>sa fille pour</w:t>
      </w:r>
      <w:r>
        <w:rPr>
          <w:lang w:val="fr-FR"/>
        </w:rPr>
        <w:t xml:space="preserve"> que les contacts entre père et fille soient facilités</w:t>
      </w:r>
      <w:r w:rsidRPr="00711EE7">
        <w:rPr>
          <w:lang w:val="fr-FR"/>
        </w:rPr>
        <w:t>.</w:t>
      </w:r>
    </w:p>
    <w:p w:rsidR="007E2A0F" w:rsidRDefault="007E2A0F" w:rsidP="007E2A0F">
      <w:pPr>
        <w:pStyle w:val="SingleTxtG"/>
        <w:rPr>
          <w:lang w:val="fr-FR"/>
        </w:rPr>
      </w:pPr>
      <w:r w:rsidRPr="00711EE7">
        <w:rPr>
          <w:lang w:val="fr-FR"/>
        </w:rPr>
        <w:t>5.7</w:t>
      </w:r>
      <w:r w:rsidRPr="00711EE7">
        <w:rPr>
          <w:lang w:val="fr-FR"/>
        </w:rPr>
        <w:tab/>
        <w:t>L</w:t>
      </w:r>
      <w:r w:rsidR="008B740A">
        <w:rPr>
          <w:lang w:val="fr-FR"/>
        </w:rPr>
        <w:t>’</w:t>
      </w:r>
      <w:r w:rsidRPr="00711EE7">
        <w:rPr>
          <w:lang w:val="fr-FR"/>
        </w:rPr>
        <w:t xml:space="preserve">auteur maintient que, malgré la promulgation, le 30 mai 2018, de la loi </w:t>
      </w:r>
      <w:r w:rsidRPr="00440C4E">
        <w:rPr>
          <w:rFonts w:eastAsia="MS Mincho"/>
          <w:lang w:val="fr-FR"/>
        </w:rPr>
        <w:t>n</w:t>
      </w:r>
      <w:r w:rsidRPr="00440C4E">
        <w:rPr>
          <w:rFonts w:eastAsia="MS Mincho"/>
          <w:vertAlign w:val="superscript"/>
          <w:lang w:val="fr-FR"/>
        </w:rPr>
        <w:t>o</w:t>
      </w:r>
      <w:r>
        <w:rPr>
          <w:lang w:val="fr-FR"/>
        </w:rPr>
        <w:t> </w:t>
      </w:r>
      <w:r w:rsidRPr="00711EE7">
        <w:rPr>
          <w:lang w:val="fr-FR"/>
        </w:rPr>
        <w:t>6038/2018 portant modification du Code de l</w:t>
      </w:r>
      <w:r w:rsidR="008B740A">
        <w:rPr>
          <w:lang w:val="fr-FR"/>
        </w:rPr>
        <w:t>’</w:t>
      </w:r>
      <w:r w:rsidRPr="00711EE7">
        <w:rPr>
          <w:lang w:val="fr-FR"/>
        </w:rPr>
        <w:t>enfance et de l</w:t>
      </w:r>
      <w:r w:rsidR="008B740A">
        <w:rPr>
          <w:lang w:val="fr-FR"/>
        </w:rPr>
        <w:t>’</w:t>
      </w:r>
      <w:r w:rsidRPr="00711EE7">
        <w:rPr>
          <w:lang w:val="fr-FR"/>
        </w:rPr>
        <w:t>adolescence, la situation de non-exécution de la sentence persiste, de même que les difficultés qu</w:t>
      </w:r>
      <w:r w:rsidR="008B740A">
        <w:rPr>
          <w:lang w:val="fr-FR"/>
        </w:rPr>
        <w:t>’</w:t>
      </w:r>
      <w:r w:rsidRPr="00711EE7">
        <w:rPr>
          <w:lang w:val="fr-FR"/>
        </w:rPr>
        <w:t xml:space="preserve">il </w:t>
      </w:r>
      <w:r>
        <w:rPr>
          <w:lang w:val="fr-FR"/>
        </w:rPr>
        <w:t>a à entretenir</w:t>
      </w:r>
      <w:r w:rsidRPr="00711EE7">
        <w:rPr>
          <w:lang w:val="fr-FR"/>
        </w:rPr>
        <w:t xml:space="preserve"> des contacts avec sa fille. L</w:t>
      </w:r>
      <w:r w:rsidR="008B740A">
        <w:rPr>
          <w:lang w:val="fr-FR"/>
        </w:rPr>
        <w:t>’</w:t>
      </w:r>
      <w:r w:rsidRPr="00711EE7">
        <w:rPr>
          <w:lang w:val="fr-FR"/>
        </w:rPr>
        <w:t xml:space="preserve">auteur renvoie </w:t>
      </w:r>
      <w:r>
        <w:rPr>
          <w:lang w:val="fr-FR"/>
        </w:rPr>
        <w:t>à des constatations</w:t>
      </w:r>
      <w:r w:rsidRPr="00711EE7">
        <w:rPr>
          <w:lang w:val="fr-FR"/>
        </w:rPr>
        <w:t xml:space="preserve"> du Comité des droits de l</w:t>
      </w:r>
      <w:r w:rsidR="008B740A">
        <w:rPr>
          <w:lang w:val="fr-FR"/>
        </w:rPr>
        <w:t>’</w:t>
      </w:r>
      <w:r w:rsidRPr="00711EE7">
        <w:rPr>
          <w:lang w:val="fr-FR"/>
        </w:rPr>
        <w:t>homme dans laquelle le Comité a fait observer que</w:t>
      </w:r>
      <w:r w:rsidR="00F535A2">
        <w:rPr>
          <w:lang w:val="fr-FR"/>
        </w:rPr>
        <w:t> :</w:t>
      </w:r>
    </w:p>
    <w:p w:rsidR="007E2A0F" w:rsidRDefault="007E2A0F" w:rsidP="00F535A2">
      <w:pPr>
        <w:pStyle w:val="SingleTxtG"/>
        <w:ind w:left="1701"/>
        <w:rPr>
          <w:szCs w:val="24"/>
          <w:lang w:val="fr-FR"/>
        </w:rPr>
      </w:pPr>
      <w:r w:rsidRPr="00711EE7">
        <w:rPr>
          <w:szCs w:val="24"/>
          <w:lang w:val="fr-FR"/>
        </w:rPr>
        <w:t>l</w:t>
      </w:r>
      <w:r w:rsidR="008B740A">
        <w:rPr>
          <w:szCs w:val="24"/>
          <w:lang w:val="fr-FR"/>
        </w:rPr>
        <w:t>’</w:t>
      </w:r>
      <w:r w:rsidRPr="00711EE7">
        <w:rPr>
          <w:szCs w:val="24"/>
          <w:lang w:val="fr-FR"/>
        </w:rPr>
        <w:t>auteur a obtenu une autorisation judiciaire pour que ses filles passent quelques jours avec lui, autorisation qui n</w:t>
      </w:r>
      <w:r w:rsidR="008B740A">
        <w:rPr>
          <w:szCs w:val="24"/>
          <w:lang w:val="fr-FR"/>
        </w:rPr>
        <w:t>’</w:t>
      </w:r>
      <w:r w:rsidRPr="00711EE7">
        <w:rPr>
          <w:szCs w:val="24"/>
          <w:lang w:val="fr-FR"/>
        </w:rPr>
        <w:t>a pu aboutir en raison du refus de la mère. Les</w:t>
      </w:r>
      <w:r>
        <w:rPr>
          <w:szCs w:val="24"/>
          <w:lang w:val="fr-FR"/>
        </w:rPr>
        <w:t> </w:t>
      </w:r>
      <w:r w:rsidRPr="00711EE7">
        <w:rPr>
          <w:szCs w:val="24"/>
          <w:lang w:val="fr-FR"/>
        </w:rPr>
        <w:t>autorités n</w:t>
      </w:r>
      <w:r w:rsidR="008B740A">
        <w:rPr>
          <w:szCs w:val="24"/>
          <w:lang w:val="fr-FR"/>
        </w:rPr>
        <w:t>’</w:t>
      </w:r>
      <w:r w:rsidRPr="00711EE7">
        <w:rPr>
          <w:szCs w:val="24"/>
          <w:lang w:val="fr-FR"/>
        </w:rPr>
        <w:t>ont pris aucune mesure pour que l</w:t>
      </w:r>
      <w:r w:rsidR="008B740A">
        <w:rPr>
          <w:szCs w:val="24"/>
          <w:lang w:val="fr-FR"/>
        </w:rPr>
        <w:t>’</w:t>
      </w:r>
      <w:r w:rsidRPr="00711EE7">
        <w:rPr>
          <w:szCs w:val="24"/>
          <w:lang w:val="fr-FR"/>
        </w:rPr>
        <w:t>ex-épouse de l</w:t>
      </w:r>
      <w:r w:rsidR="008B740A">
        <w:rPr>
          <w:szCs w:val="24"/>
          <w:lang w:val="fr-FR"/>
        </w:rPr>
        <w:t>’</w:t>
      </w:r>
      <w:r w:rsidRPr="00711EE7">
        <w:rPr>
          <w:szCs w:val="24"/>
          <w:lang w:val="fr-FR"/>
        </w:rPr>
        <w:t>auteur se plie à cette décision de justice</w:t>
      </w:r>
      <w:r w:rsidRPr="00A122C5">
        <w:rPr>
          <w:rStyle w:val="Appelnotedebasdep"/>
        </w:rPr>
        <w:footnoteReference w:id="25"/>
      </w:r>
      <w:r w:rsidRPr="00711EE7">
        <w:rPr>
          <w:szCs w:val="24"/>
          <w:lang w:val="fr-FR"/>
        </w:rPr>
        <w:t>.</w:t>
      </w:r>
    </w:p>
    <w:p w:rsidR="007E2A0F" w:rsidRPr="00711EE7" w:rsidRDefault="007E2A0F" w:rsidP="007E2A0F">
      <w:pPr>
        <w:pStyle w:val="SingleTxtG"/>
        <w:rPr>
          <w:lang w:val="fr-FR"/>
        </w:rPr>
      </w:pPr>
      <w:r w:rsidRPr="00711EE7">
        <w:rPr>
          <w:lang w:val="fr-FR"/>
        </w:rPr>
        <w:t>Le Comité a conclu que l</w:t>
      </w:r>
      <w:r w:rsidR="008B740A">
        <w:rPr>
          <w:lang w:val="fr-FR"/>
        </w:rPr>
        <w:t>’</w:t>
      </w:r>
      <w:r w:rsidRPr="00711EE7">
        <w:rPr>
          <w:lang w:val="fr-FR"/>
        </w:rPr>
        <w:t>État partie n</w:t>
      </w:r>
      <w:r w:rsidR="008B740A">
        <w:rPr>
          <w:lang w:val="fr-FR"/>
        </w:rPr>
        <w:t>’</w:t>
      </w:r>
      <w:r w:rsidRPr="00711EE7">
        <w:rPr>
          <w:lang w:val="fr-FR"/>
        </w:rPr>
        <w:t>avait pas pris les mesures nécessaires pour garantir le droit à la protection de la famille consacré par l</w:t>
      </w:r>
      <w:r w:rsidR="008B740A">
        <w:rPr>
          <w:lang w:val="fr-FR"/>
        </w:rPr>
        <w:t>’</w:t>
      </w:r>
      <w:r w:rsidRPr="00711EE7">
        <w:rPr>
          <w:lang w:val="fr-FR"/>
        </w:rPr>
        <w:t>article 23 du Pacte en faveur de l</w:t>
      </w:r>
      <w:r w:rsidR="008B740A">
        <w:rPr>
          <w:lang w:val="fr-FR"/>
        </w:rPr>
        <w:t>’</w:t>
      </w:r>
      <w:r w:rsidRPr="00711EE7">
        <w:rPr>
          <w:lang w:val="fr-FR"/>
        </w:rPr>
        <w:t xml:space="preserve">auteur et de ses filles. De même, </w:t>
      </w:r>
      <w:r>
        <w:rPr>
          <w:lang w:val="fr-FR"/>
        </w:rPr>
        <w:t>l</w:t>
      </w:r>
      <w:r w:rsidR="008B740A">
        <w:rPr>
          <w:lang w:val="fr-FR"/>
        </w:rPr>
        <w:t>’</w:t>
      </w:r>
      <w:r>
        <w:rPr>
          <w:lang w:val="fr-FR"/>
        </w:rPr>
        <w:t>auteur</w:t>
      </w:r>
      <w:r w:rsidRPr="00711EE7">
        <w:rPr>
          <w:lang w:val="fr-FR"/>
        </w:rPr>
        <w:t xml:space="preserve"> renvoie à la jurisprudence du Comité des droits de l</w:t>
      </w:r>
      <w:r w:rsidR="008B740A">
        <w:rPr>
          <w:lang w:val="fr-FR"/>
        </w:rPr>
        <w:t>’</w:t>
      </w:r>
      <w:r w:rsidRPr="00711EE7">
        <w:rPr>
          <w:lang w:val="fr-FR"/>
        </w:rPr>
        <w:t>homme pour étayer l</w:t>
      </w:r>
      <w:r w:rsidR="008B740A">
        <w:rPr>
          <w:lang w:val="fr-FR"/>
        </w:rPr>
        <w:t>’</w:t>
      </w:r>
      <w:r w:rsidRPr="00711EE7">
        <w:rPr>
          <w:lang w:val="fr-FR"/>
        </w:rPr>
        <w:t>argument selon lequel le droit à un jugement équitable inclut le droit à ce que les instances judiciaires statuent sans délai et que la nature même des procédures relatives à la garde d</w:t>
      </w:r>
      <w:r w:rsidR="008B740A">
        <w:rPr>
          <w:lang w:val="fr-FR"/>
        </w:rPr>
        <w:t>’</w:t>
      </w:r>
      <w:r w:rsidRPr="00711EE7">
        <w:rPr>
          <w:lang w:val="fr-FR"/>
        </w:rPr>
        <w:t>enfants ou au droit de visite d</w:t>
      </w:r>
      <w:r w:rsidR="008B740A">
        <w:rPr>
          <w:lang w:val="fr-FR"/>
        </w:rPr>
        <w:t>’</w:t>
      </w:r>
      <w:r w:rsidRPr="00711EE7">
        <w:rPr>
          <w:lang w:val="fr-FR"/>
        </w:rPr>
        <w:t>un parent divorcé exige qu</w:t>
      </w:r>
      <w:r w:rsidR="008B740A">
        <w:rPr>
          <w:lang w:val="fr-FR"/>
        </w:rPr>
        <w:t>’</w:t>
      </w:r>
      <w:r w:rsidRPr="00711EE7">
        <w:rPr>
          <w:lang w:val="fr-FR"/>
        </w:rPr>
        <w:t>il soit rapidement statué sur les questions qui ont fait l</w:t>
      </w:r>
      <w:r w:rsidR="008B740A">
        <w:rPr>
          <w:lang w:val="fr-FR"/>
        </w:rPr>
        <w:t>’</w:t>
      </w:r>
      <w:r w:rsidRPr="00711EE7">
        <w:rPr>
          <w:lang w:val="fr-FR"/>
        </w:rPr>
        <w:t>objet de plaintes</w:t>
      </w:r>
      <w:r w:rsidRPr="00A122C5">
        <w:rPr>
          <w:rStyle w:val="Appelnotedebasdep"/>
        </w:rPr>
        <w:footnoteReference w:id="26"/>
      </w:r>
      <w:r w:rsidRPr="00711EE7">
        <w:rPr>
          <w:lang w:val="fr-FR"/>
        </w:rPr>
        <w:t>.</w:t>
      </w:r>
    </w:p>
    <w:p w:rsidR="007E2A0F" w:rsidRPr="00711EE7" w:rsidRDefault="007E2A0F" w:rsidP="007E2A0F">
      <w:pPr>
        <w:pStyle w:val="SingleTxtG"/>
        <w:rPr>
          <w:lang w:val="fr-FR"/>
        </w:rPr>
      </w:pPr>
      <w:r w:rsidRPr="00711EE7">
        <w:rPr>
          <w:lang w:val="fr-FR"/>
        </w:rPr>
        <w:t>5.8</w:t>
      </w:r>
      <w:r w:rsidRPr="00711EE7">
        <w:rPr>
          <w:lang w:val="fr-FR"/>
        </w:rPr>
        <w:tab/>
        <w:t>L</w:t>
      </w:r>
      <w:r w:rsidR="008B740A">
        <w:rPr>
          <w:lang w:val="fr-FR"/>
        </w:rPr>
        <w:t>’</w:t>
      </w:r>
      <w:r w:rsidRPr="00711EE7">
        <w:rPr>
          <w:lang w:val="fr-FR"/>
        </w:rPr>
        <w:t>auteur demande que l</w:t>
      </w:r>
      <w:r w:rsidR="008B740A">
        <w:rPr>
          <w:lang w:val="fr-FR"/>
        </w:rPr>
        <w:t>’</w:t>
      </w:r>
      <w:r w:rsidRPr="00711EE7">
        <w:rPr>
          <w:lang w:val="fr-FR"/>
        </w:rPr>
        <w:t xml:space="preserve">État partie </w:t>
      </w:r>
      <w:r>
        <w:rPr>
          <w:lang w:val="fr-FR"/>
        </w:rPr>
        <w:t>assure gratuitement</w:t>
      </w:r>
      <w:r w:rsidRPr="00711EE7">
        <w:rPr>
          <w:lang w:val="fr-FR"/>
        </w:rPr>
        <w:t xml:space="preserve"> un soutien psychologique à sa fille et à la mère de sa fille pour faciliter les relations et </w:t>
      </w:r>
      <w:r>
        <w:rPr>
          <w:lang w:val="fr-FR"/>
        </w:rPr>
        <w:t>prévenir</w:t>
      </w:r>
      <w:r w:rsidRPr="00711EE7">
        <w:rPr>
          <w:lang w:val="fr-FR"/>
        </w:rPr>
        <w:t xml:space="preserve"> l</w:t>
      </w:r>
      <w:r w:rsidR="008B740A">
        <w:rPr>
          <w:lang w:val="fr-FR"/>
        </w:rPr>
        <w:t>’</w:t>
      </w:r>
      <w:r w:rsidRPr="00711EE7">
        <w:rPr>
          <w:lang w:val="fr-FR"/>
        </w:rPr>
        <w:t>apparition de nouveaux conflits familiaux. De même, il demande à l</w:t>
      </w:r>
      <w:r w:rsidR="008B740A">
        <w:rPr>
          <w:lang w:val="fr-FR"/>
        </w:rPr>
        <w:t>’</w:t>
      </w:r>
      <w:r w:rsidRPr="00711EE7">
        <w:rPr>
          <w:lang w:val="fr-FR"/>
        </w:rPr>
        <w:t>État partie d</w:t>
      </w:r>
      <w:r w:rsidR="008B740A">
        <w:rPr>
          <w:lang w:val="fr-FR"/>
        </w:rPr>
        <w:t>’</w:t>
      </w:r>
      <w:r w:rsidRPr="00711EE7">
        <w:rPr>
          <w:lang w:val="fr-FR"/>
        </w:rPr>
        <w:t>adopter les mesures prévues par le nouvel article 96 du Code de l</w:t>
      </w:r>
      <w:r w:rsidR="008B740A">
        <w:rPr>
          <w:lang w:val="fr-FR"/>
        </w:rPr>
        <w:t>’</w:t>
      </w:r>
      <w:r w:rsidRPr="00711EE7">
        <w:rPr>
          <w:lang w:val="fr-FR"/>
        </w:rPr>
        <w:t>enfance et de l</w:t>
      </w:r>
      <w:r w:rsidR="008B740A">
        <w:rPr>
          <w:lang w:val="fr-FR"/>
        </w:rPr>
        <w:t>’</w:t>
      </w:r>
      <w:r w:rsidRPr="00711EE7">
        <w:rPr>
          <w:lang w:val="fr-FR"/>
        </w:rPr>
        <w:t>adolescence, la loi</w:t>
      </w:r>
      <w:r>
        <w:rPr>
          <w:lang w:val="fr-FR"/>
        </w:rPr>
        <w:t xml:space="preserve"> </w:t>
      </w:r>
      <w:r w:rsidRPr="00440C4E">
        <w:rPr>
          <w:rFonts w:eastAsia="MS Mincho"/>
          <w:lang w:val="fr-FR"/>
        </w:rPr>
        <w:t>n</w:t>
      </w:r>
      <w:r w:rsidRPr="00440C4E">
        <w:rPr>
          <w:rFonts w:eastAsia="MS Mincho"/>
          <w:vertAlign w:val="superscript"/>
          <w:lang w:val="fr-FR"/>
        </w:rPr>
        <w:t>o</w:t>
      </w:r>
      <w:r>
        <w:rPr>
          <w:lang w:val="fr-FR"/>
        </w:rPr>
        <w:t> </w:t>
      </w:r>
      <w:r w:rsidRPr="00711EE7">
        <w:rPr>
          <w:lang w:val="fr-FR"/>
        </w:rPr>
        <w:t>4711 qui régit l</w:t>
      </w:r>
      <w:r w:rsidR="008B740A">
        <w:rPr>
          <w:lang w:val="fr-FR"/>
        </w:rPr>
        <w:t>’</w:t>
      </w:r>
      <w:r w:rsidRPr="00711EE7">
        <w:rPr>
          <w:lang w:val="fr-FR"/>
        </w:rPr>
        <w:t>outrage à magistrat et l</w:t>
      </w:r>
      <w:r w:rsidR="008B740A">
        <w:rPr>
          <w:lang w:val="fr-FR"/>
        </w:rPr>
        <w:t>’</w:t>
      </w:r>
      <w:r w:rsidRPr="00711EE7">
        <w:rPr>
          <w:lang w:val="fr-FR"/>
        </w:rPr>
        <w:t>article 236 du Code de l</w:t>
      </w:r>
      <w:r w:rsidR="008B740A">
        <w:rPr>
          <w:lang w:val="fr-FR"/>
        </w:rPr>
        <w:t>’</w:t>
      </w:r>
      <w:r w:rsidRPr="00711EE7">
        <w:rPr>
          <w:lang w:val="fr-FR"/>
        </w:rPr>
        <w:t>organisation judiciaire, à savoir l</w:t>
      </w:r>
      <w:r w:rsidR="008B740A">
        <w:rPr>
          <w:lang w:val="fr-FR"/>
        </w:rPr>
        <w:t>’</w:t>
      </w:r>
      <w:r w:rsidRPr="00711EE7">
        <w:rPr>
          <w:lang w:val="fr-FR"/>
        </w:rPr>
        <w:t>imposition d</w:t>
      </w:r>
      <w:r w:rsidR="008B740A">
        <w:rPr>
          <w:lang w:val="fr-FR"/>
        </w:rPr>
        <w:t>’</w:t>
      </w:r>
      <w:r w:rsidRPr="00711EE7">
        <w:rPr>
          <w:lang w:val="fr-FR"/>
        </w:rPr>
        <w:t xml:space="preserve">amendes aux parties à un litige si elles ne respectent pas les dispositions judiciaires, aussi longtemps que la mère ne fera pas en sorte que sa fille puisse </w:t>
      </w:r>
      <w:r>
        <w:rPr>
          <w:lang w:val="fr-FR"/>
        </w:rPr>
        <w:t>se rendre</w:t>
      </w:r>
      <w:r w:rsidRPr="00711EE7">
        <w:rPr>
          <w:lang w:val="fr-FR"/>
        </w:rPr>
        <w:t xml:space="preserve"> en </w:t>
      </w:r>
      <w:r>
        <w:rPr>
          <w:lang w:val="fr-FR"/>
        </w:rPr>
        <w:t>A</w:t>
      </w:r>
      <w:r w:rsidRPr="00711EE7">
        <w:rPr>
          <w:lang w:val="fr-FR"/>
        </w:rPr>
        <w:t xml:space="preserve">rgentine pour voir son père. </w:t>
      </w:r>
    </w:p>
    <w:p w:rsidR="007E2A0F" w:rsidRPr="00711EE7" w:rsidRDefault="007E2A0F" w:rsidP="007E2A0F">
      <w:pPr>
        <w:pStyle w:val="H23G"/>
        <w:rPr>
          <w:lang w:val="fr-FR"/>
        </w:rPr>
      </w:pPr>
      <w:r w:rsidRPr="00711EE7">
        <w:rPr>
          <w:lang w:val="fr-FR"/>
        </w:rPr>
        <w:tab/>
      </w:r>
      <w:r w:rsidRPr="00711EE7">
        <w:rPr>
          <w:lang w:val="fr-FR"/>
        </w:rPr>
        <w:tab/>
      </w:r>
      <w:r>
        <w:rPr>
          <w:lang w:val="fr-FR"/>
        </w:rPr>
        <w:t>Observations complémentaires</w:t>
      </w:r>
      <w:r w:rsidRPr="00711EE7">
        <w:rPr>
          <w:lang w:val="fr-FR"/>
        </w:rPr>
        <w:t xml:space="preserve"> de l</w:t>
      </w:r>
      <w:r w:rsidR="008B740A">
        <w:rPr>
          <w:lang w:val="fr-FR"/>
        </w:rPr>
        <w:t>’</w:t>
      </w:r>
      <w:r w:rsidRPr="00711EE7">
        <w:rPr>
          <w:lang w:val="fr-FR"/>
        </w:rPr>
        <w:t>auteur</w:t>
      </w:r>
    </w:p>
    <w:p w:rsidR="007E2A0F" w:rsidRPr="00711EE7" w:rsidRDefault="007E2A0F" w:rsidP="007E2A0F">
      <w:pPr>
        <w:pStyle w:val="SingleTxtG"/>
        <w:spacing w:after="100" w:line="236" w:lineRule="atLeast"/>
        <w:rPr>
          <w:lang w:val="fr-FR"/>
        </w:rPr>
      </w:pPr>
      <w:r w:rsidRPr="00711EE7">
        <w:rPr>
          <w:lang w:val="fr-FR"/>
        </w:rPr>
        <w:t>6.1</w:t>
      </w:r>
      <w:r w:rsidRPr="00711EE7">
        <w:rPr>
          <w:lang w:val="fr-FR"/>
        </w:rPr>
        <w:tab/>
        <w:t xml:space="preserve">Dans ses </w:t>
      </w:r>
      <w:r>
        <w:rPr>
          <w:lang w:val="fr-FR"/>
        </w:rPr>
        <w:t>observations</w:t>
      </w:r>
      <w:r w:rsidRPr="00711EE7">
        <w:rPr>
          <w:lang w:val="fr-FR"/>
        </w:rPr>
        <w:t xml:space="preserve"> du 5 mars 2019, l</w:t>
      </w:r>
      <w:r w:rsidR="008B740A">
        <w:rPr>
          <w:lang w:val="fr-FR"/>
        </w:rPr>
        <w:t>’</w:t>
      </w:r>
      <w:r w:rsidRPr="00711EE7">
        <w:rPr>
          <w:lang w:val="fr-FR"/>
        </w:rPr>
        <w:t>auteur demande à nouveau que soit prise une mesure provisoire par laquelle le Comité prie l</w:t>
      </w:r>
      <w:r w:rsidR="008B740A">
        <w:rPr>
          <w:lang w:val="fr-FR"/>
        </w:rPr>
        <w:t>’</w:t>
      </w:r>
      <w:r w:rsidRPr="00711EE7">
        <w:rPr>
          <w:lang w:val="fr-FR"/>
        </w:rPr>
        <w:t>État partie d</w:t>
      </w:r>
      <w:r w:rsidR="008B740A">
        <w:rPr>
          <w:lang w:val="fr-FR"/>
        </w:rPr>
        <w:t>’</w:t>
      </w:r>
      <w:r w:rsidRPr="00711EE7">
        <w:rPr>
          <w:lang w:val="fr-FR"/>
        </w:rPr>
        <w:t>imposer une astreinte à la mère de sa fille pour chaque journée où la communication entre l</w:t>
      </w:r>
      <w:r w:rsidR="008B740A">
        <w:rPr>
          <w:lang w:val="fr-FR"/>
        </w:rPr>
        <w:t>’</w:t>
      </w:r>
      <w:r w:rsidRPr="00711EE7">
        <w:rPr>
          <w:lang w:val="fr-FR"/>
        </w:rPr>
        <w:t>auteur et sa fille n</w:t>
      </w:r>
      <w:r w:rsidR="008B740A">
        <w:rPr>
          <w:lang w:val="fr-FR"/>
        </w:rPr>
        <w:t>’</w:t>
      </w:r>
      <w:r w:rsidRPr="00711EE7">
        <w:rPr>
          <w:lang w:val="fr-FR"/>
        </w:rPr>
        <w:t>aura pas eu lieu. De plus, l</w:t>
      </w:r>
      <w:r w:rsidR="008B740A">
        <w:rPr>
          <w:lang w:val="fr-FR"/>
        </w:rPr>
        <w:t>’</w:t>
      </w:r>
      <w:r w:rsidRPr="00711EE7">
        <w:rPr>
          <w:lang w:val="fr-FR"/>
        </w:rPr>
        <w:t xml:space="preserve">auteur fait savoir que, le 31 décembre 2018, il a conclu avec la mère de sa fille un accord tendant à modifier le régime de maintien des relations énoncé dans le jugement rendu par le Tribunal pour enfants et adolescents de la ville de </w:t>
      </w:r>
      <w:proofErr w:type="spellStart"/>
      <w:r w:rsidRPr="00711EE7">
        <w:rPr>
          <w:lang w:val="fr-FR"/>
        </w:rPr>
        <w:t>Luque</w:t>
      </w:r>
      <w:proofErr w:type="spellEnd"/>
      <w:r w:rsidRPr="00711EE7">
        <w:rPr>
          <w:lang w:val="fr-FR"/>
        </w:rPr>
        <w:t xml:space="preserve">, lieu de résidence actuel de la petite fille. </w:t>
      </w:r>
      <w:r>
        <w:rPr>
          <w:lang w:val="fr-FR"/>
        </w:rPr>
        <w:t>Néanmoins</w:t>
      </w:r>
      <w:r w:rsidRPr="00711EE7">
        <w:rPr>
          <w:lang w:val="fr-FR"/>
        </w:rPr>
        <w:t>, l</w:t>
      </w:r>
      <w:r w:rsidR="008B740A">
        <w:rPr>
          <w:lang w:val="fr-FR"/>
        </w:rPr>
        <w:t>’</w:t>
      </w:r>
      <w:r w:rsidRPr="00711EE7">
        <w:rPr>
          <w:lang w:val="fr-FR"/>
        </w:rPr>
        <w:t>accord n</w:t>
      </w:r>
      <w:r w:rsidR="008B740A">
        <w:rPr>
          <w:lang w:val="fr-FR"/>
        </w:rPr>
        <w:t>’</w:t>
      </w:r>
      <w:r w:rsidRPr="00711EE7">
        <w:rPr>
          <w:lang w:val="fr-FR"/>
        </w:rPr>
        <w:t xml:space="preserve">a pas été respecté. </w:t>
      </w:r>
    </w:p>
    <w:p w:rsidR="007E2A0F" w:rsidRPr="00711EE7" w:rsidRDefault="007E2A0F" w:rsidP="007E2A0F">
      <w:pPr>
        <w:pStyle w:val="SingleTxtG"/>
        <w:spacing w:after="100" w:line="236" w:lineRule="atLeast"/>
        <w:rPr>
          <w:lang w:val="fr-FR"/>
        </w:rPr>
      </w:pPr>
      <w:r w:rsidRPr="00711EE7">
        <w:rPr>
          <w:lang w:val="fr-FR"/>
        </w:rPr>
        <w:t>6.2</w:t>
      </w:r>
      <w:r w:rsidRPr="00711EE7">
        <w:rPr>
          <w:lang w:val="fr-FR"/>
        </w:rPr>
        <w:tab/>
        <w:t>En janvier 2019, la mère a décidé de façon arbitraire de bloquer les appels de l</w:t>
      </w:r>
      <w:r w:rsidR="008B740A">
        <w:rPr>
          <w:lang w:val="fr-FR"/>
        </w:rPr>
        <w:t>’</w:t>
      </w:r>
      <w:r w:rsidRPr="00711EE7">
        <w:rPr>
          <w:lang w:val="fr-FR"/>
        </w:rPr>
        <w:t>auteur</w:t>
      </w:r>
      <w:r>
        <w:rPr>
          <w:lang w:val="fr-FR"/>
        </w:rPr>
        <w:t>,</w:t>
      </w:r>
      <w:r w:rsidRPr="00711EE7">
        <w:rPr>
          <w:lang w:val="fr-FR"/>
        </w:rPr>
        <w:t xml:space="preserve"> et sa fille n</w:t>
      </w:r>
      <w:r w:rsidR="008B740A">
        <w:rPr>
          <w:lang w:val="fr-FR"/>
        </w:rPr>
        <w:t>’</w:t>
      </w:r>
      <w:r w:rsidRPr="00711EE7">
        <w:rPr>
          <w:lang w:val="fr-FR"/>
        </w:rPr>
        <w:t xml:space="preserve">est pas allée lui rendre visite en Argentine comme </w:t>
      </w:r>
      <w:r>
        <w:rPr>
          <w:lang w:val="fr-FR"/>
        </w:rPr>
        <w:t xml:space="preserve">cela </w:t>
      </w:r>
      <w:r w:rsidRPr="00711EE7">
        <w:rPr>
          <w:lang w:val="fr-FR"/>
        </w:rPr>
        <w:t>était prévu. Le 1</w:t>
      </w:r>
      <w:r w:rsidRPr="00711EE7">
        <w:rPr>
          <w:vertAlign w:val="superscript"/>
          <w:lang w:val="fr-FR"/>
        </w:rPr>
        <w:t>er</w:t>
      </w:r>
      <w:r w:rsidRPr="00711EE7">
        <w:rPr>
          <w:lang w:val="fr-FR"/>
        </w:rPr>
        <w:t> février 2019, l</w:t>
      </w:r>
      <w:r w:rsidR="008B740A">
        <w:rPr>
          <w:lang w:val="fr-FR"/>
        </w:rPr>
        <w:t>’</w:t>
      </w:r>
      <w:r w:rsidRPr="00711EE7">
        <w:rPr>
          <w:lang w:val="fr-FR"/>
        </w:rPr>
        <w:t>accord modifiant le régime de visite a été présenté au Tribunal.</w:t>
      </w:r>
    </w:p>
    <w:p w:rsidR="007E2A0F" w:rsidRPr="00711EE7" w:rsidRDefault="007E2A0F" w:rsidP="007E2A0F">
      <w:pPr>
        <w:pStyle w:val="SingleTxtG"/>
        <w:spacing w:after="100" w:line="236" w:lineRule="atLeast"/>
        <w:rPr>
          <w:lang w:val="fr-FR"/>
        </w:rPr>
      </w:pPr>
      <w:r w:rsidRPr="00711EE7">
        <w:rPr>
          <w:lang w:val="fr-FR"/>
        </w:rPr>
        <w:t>6.3</w:t>
      </w:r>
      <w:r w:rsidRPr="00711EE7">
        <w:rPr>
          <w:lang w:val="fr-FR"/>
        </w:rPr>
        <w:tab/>
        <w:t>Le 20 février 2019, l</w:t>
      </w:r>
      <w:r w:rsidR="008B740A">
        <w:rPr>
          <w:lang w:val="fr-FR"/>
        </w:rPr>
        <w:t>’</w:t>
      </w:r>
      <w:r w:rsidRPr="00711EE7">
        <w:rPr>
          <w:lang w:val="fr-FR"/>
        </w:rPr>
        <w:t>auteur a demandé au Tribunal pour enfants et adolescents d</w:t>
      </w:r>
      <w:r w:rsidR="008B740A">
        <w:rPr>
          <w:lang w:val="fr-FR"/>
        </w:rPr>
        <w:t>’</w:t>
      </w:r>
      <w:r w:rsidRPr="00711EE7">
        <w:rPr>
          <w:lang w:val="fr-FR"/>
        </w:rPr>
        <w:t>Asunción l</w:t>
      </w:r>
      <w:r w:rsidR="008B740A">
        <w:rPr>
          <w:lang w:val="fr-FR"/>
        </w:rPr>
        <w:t>’</w:t>
      </w:r>
      <w:r w:rsidRPr="00711EE7">
        <w:rPr>
          <w:lang w:val="fr-FR"/>
        </w:rPr>
        <w:t>application des mesures prévues à l</w:t>
      </w:r>
      <w:r w:rsidR="008B740A">
        <w:rPr>
          <w:lang w:val="fr-FR"/>
        </w:rPr>
        <w:t>’</w:t>
      </w:r>
      <w:r w:rsidRPr="00711EE7">
        <w:rPr>
          <w:lang w:val="fr-FR"/>
        </w:rPr>
        <w:t>article 96 du Code de l</w:t>
      </w:r>
      <w:r w:rsidR="008B740A">
        <w:rPr>
          <w:lang w:val="fr-FR"/>
        </w:rPr>
        <w:t>’</w:t>
      </w:r>
      <w:r w:rsidRPr="00711EE7">
        <w:rPr>
          <w:lang w:val="fr-FR"/>
        </w:rPr>
        <w:t>enfance et de l</w:t>
      </w:r>
      <w:r w:rsidR="008B740A">
        <w:rPr>
          <w:lang w:val="fr-FR"/>
        </w:rPr>
        <w:t>’</w:t>
      </w:r>
      <w:r w:rsidRPr="00711EE7">
        <w:rPr>
          <w:lang w:val="fr-FR"/>
        </w:rPr>
        <w:t>adolescence.</w:t>
      </w:r>
      <w:r w:rsidR="00F535A2">
        <w:rPr>
          <w:lang w:val="fr-FR"/>
        </w:rPr>
        <w:t xml:space="preserve"> </w:t>
      </w:r>
      <w:r>
        <w:rPr>
          <w:lang w:val="fr-FR"/>
        </w:rPr>
        <w:t>Il</w:t>
      </w:r>
      <w:r w:rsidRPr="00711EE7">
        <w:rPr>
          <w:lang w:val="fr-FR"/>
        </w:rPr>
        <w:t xml:space="preserve"> fait observer que le Tribunal n</w:t>
      </w:r>
      <w:r w:rsidR="008B740A">
        <w:rPr>
          <w:lang w:val="fr-FR"/>
        </w:rPr>
        <w:t>’</w:t>
      </w:r>
      <w:r w:rsidRPr="00711EE7">
        <w:rPr>
          <w:lang w:val="fr-FR"/>
        </w:rPr>
        <w:t>a pas respecté le délai de trois jours et qu</w:t>
      </w:r>
      <w:r w:rsidR="008B740A">
        <w:rPr>
          <w:lang w:val="fr-FR"/>
        </w:rPr>
        <w:t>’</w:t>
      </w:r>
      <w:r w:rsidRPr="00711EE7">
        <w:rPr>
          <w:lang w:val="fr-FR"/>
        </w:rPr>
        <w:t>il n</w:t>
      </w:r>
      <w:r w:rsidR="008B740A">
        <w:rPr>
          <w:lang w:val="fr-FR"/>
        </w:rPr>
        <w:t>’</w:t>
      </w:r>
      <w:r w:rsidRPr="00711EE7">
        <w:rPr>
          <w:lang w:val="fr-FR"/>
        </w:rPr>
        <w:t>a toujours pas convoqué l</w:t>
      </w:r>
      <w:r w:rsidR="008B740A">
        <w:rPr>
          <w:lang w:val="fr-FR"/>
        </w:rPr>
        <w:t>’</w:t>
      </w:r>
      <w:r w:rsidRPr="00711EE7">
        <w:rPr>
          <w:lang w:val="fr-FR"/>
        </w:rPr>
        <w:t>audience. Il soutient au contraire qu</w:t>
      </w:r>
      <w:r w:rsidR="008B740A">
        <w:rPr>
          <w:lang w:val="fr-FR"/>
        </w:rPr>
        <w:t>’</w:t>
      </w:r>
      <w:r w:rsidRPr="00711EE7">
        <w:rPr>
          <w:lang w:val="fr-FR"/>
        </w:rPr>
        <w:t>il l</w:t>
      </w:r>
      <w:r w:rsidR="008B740A">
        <w:rPr>
          <w:lang w:val="fr-FR"/>
        </w:rPr>
        <w:t>’</w:t>
      </w:r>
      <w:r w:rsidRPr="00711EE7">
        <w:rPr>
          <w:lang w:val="fr-FR"/>
        </w:rPr>
        <w:t xml:space="preserve">a déjà admonesté pour </w:t>
      </w:r>
      <w:r w:rsidRPr="00711EE7">
        <w:rPr>
          <w:lang w:val="fr-FR"/>
        </w:rPr>
        <w:lastRenderedPageBreak/>
        <w:t>non-respect du régime de visite, ce qui ne figure pas dans le dossier</w:t>
      </w:r>
      <w:r w:rsidRPr="00A122C5">
        <w:rPr>
          <w:rStyle w:val="Appelnotedebasdep"/>
        </w:rPr>
        <w:footnoteReference w:id="27"/>
      </w:r>
      <w:r w:rsidRPr="00711EE7">
        <w:rPr>
          <w:lang w:val="fr-FR"/>
        </w:rPr>
        <w:t>. L</w:t>
      </w:r>
      <w:r w:rsidR="008B740A">
        <w:rPr>
          <w:lang w:val="fr-FR"/>
        </w:rPr>
        <w:t>’</w:t>
      </w:r>
      <w:r w:rsidRPr="00711EE7">
        <w:rPr>
          <w:lang w:val="fr-FR"/>
        </w:rPr>
        <w:t>auteur explique à ce sujet qu</w:t>
      </w:r>
      <w:r w:rsidR="008B740A">
        <w:rPr>
          <w:lang w:val="fr-FR"/>
        </w:rPr>
        <w:t>’</w:t>
      </w:r>
      <w:r w:rsidRPr="00711EE7">
        <w:rPr>
          <w:lang w:val="fr-FR"/>
        </w:rPr>
        <w:t>en raison de la situation économique difficile que traverse l</w:t>
      </w:r>
      <w:r w:rsidR="008B740A">
        <w:rPr>
          <w:lang w:val="fr-FR"/>
        </w:rPr>
        <w:t>’</w:t>
      </w:r>
      <w:r w:rsidRPr="00711EE7">
        <w:rPr>
          <w:lang w:val="fr-FR"/>
        </w:rPr>
        <w:t>Argentine et du fait qu</w:t>
      </w:r>
      <w:r w:rsidR="008B740A">
        <w:rPr>
          <w:lang w:val="fr-FR"/>
        </w:rPr>
        <w:t>’</w:t>
      </w:r>
      <w:r w:rsidRPr="00711EE7">
        <w:rPr>
          <w:lang w:val="fr-FR"/>
        </w:rPr>
        <w:t xml:space="preserve">il ne </w:t>
      </w:r>
      <w:r>
        <w:rPr>
          <w:lang w:val="fr-FR"/>
        </w:rPr>
        <w:t xml:space="preserve">peut pas prendre </w:t>
      </w:r>
      <w:r w:rsidRPr="00711EE7">
        <w:rPr>
          <w:lang w:val="fr-FR"/>
        </w:rPr>
        <w:t xml:space="preserve">de </w:t>
      </w:r>
      <w:r>
        <w:rPr>
          <w:lang w:val="fr-FR"/>
        </w:rPr>
        <w:t>congés</w:t>
      </w:r>
      <w:r w:rsidRPr="00711EE7">
        <w:rPr>
          <w:lang w:val="fr-FR"/>
        </w:rPr>
        <w:t>, il n</w:t>
      </w:r>
      <w:r w:rsidR="008B740A">
        <w:rPr>
          <w:lang w:val="fr-FR"/>
        </w:rPr>
        <w:t>’</w:t>
      </w:r>
      <w:r w:rsidRPr="00711EE7">
        <w:rPr>
          <w:lang w:val="fr-FR"/>
        </w:rPr>
        <w:t>a pu se rendre au Paraguay comme il l</w:t>
      </w:r>
      <w:r w:rsidR="008B740A">
        <w:rPr>
          <w:lang w:val="fr-FR"/>
        </w:rPr>
        <w:t>’</w:t>
      </w:r>
      <w:r w:rsidRPr="00711EE7">
        <w:rPr>
          <w:lang w:val="fr-FR"/>
        </w:rPr>
        <w:t>aurait souhaité pour voir sa fille, sans que cela ne diminue en rien son désir d</w:t>
      </w:r>
      <w:r w:rsidR="008B740A">
        <w:rPr>
          <w:lang w:val="fr-FR"/>
        </w:rPr>
        <w:t>’</w:t>
      </w:r>
      <w:r w:rsidRPr="00711EE7">
        <w:rPr>
          <w:lang w:val="fr-FR"/>
        </w:rPr>
        <w:t>être présent et d</w:t>
      </w:r>
      <w:r w:rsidR="008B740A">
        <w:rPr>
          <w:lang w:val="fr-FR"/>
        </w:rPr>
        <w:t>’</w:t>
      </w:r>
      <w:r w:rsidRPr="00711EE7">
        <w:rPr>
          <w:lang w:val="fr-FR"/>
        </w:rPr>
        <w:t>avoir des contacts téléphoniques avec elle. Il indique qu</w:t>
      </w:r>
      <w:r w:rsidR="008B740A">
        <w:rPr>
          <w:lang w:val="fr-FR"/>
        </w:rPr>
        <w:t>’</w:t>
      </w:r>
      <w:r w:rsidRPr="00711EE7">
        <w:rPr>
          <w:lang w:val="fr-FR"/>
        </w:rPr>
        <w:t>il n</w:t>
      </w:r>
      <w:r w:rsidR="008B740A">
        <w:rPr>
          <w:lang w:val="fr-FR"/>
        </w:rPr>
        <w:t>’</w:t>
      </w:r>
      <w:r w:rsidRPr="00711EE7">
        <w:rPr>
          <w:lang w:val="fr-FR"/>
        </w:rPr>
        <w:t>a aucun contact avec sa fille, ainsi qu</w:t>
      </w:r>
      <w:r w:rsidR="008B740A">
        <w:rPr>
          <w:lang w:val="fr-FR"/>
        </w:rPr>
        <w:t>’</w:t>
      </w:r>
      <w:r w:rsidRPr="00711EE7">
        <w:rPr>
          <w:lang w:val="fr-FR"/>
        </w:rPr>
        <w:t>il ressort du relevé des appels sur WhatsApp auxquels la mère n</w:t>
      </w:r>
      <w:r w:rsidR="008B740A">
        <w:rPr>
          <w:lang w:val="fr-FR"/>
        </w:rPr>
        <w:t>’</w:t>
      </w:r>
      <w:r w:rsidRPr="00711EE7">
        <w:rPr>
          <w:lang w:val="fr-FR"/>
        </w:rPr>
        <w:t>a pas répondu. Il répète que</w:t>
      </w:r>
      <w:r>
        <w:rPr>
          <w:lang w:val="fr-FR"/>
        </w:rPr>
        <w:t>,</w:t>
      </w:r>
      <w:r w:rsidRPr="00711EE7">
        <w:rPr>
          <w:lang w:val="fr-FR"/>
        </w:rPr>
        <w:t xml:space="preserve"> bien qu</w:t>
      </w:r>
      <w:r w:rsidR="008B740A">
        <w:rPr>
          <w:lang w:val="fr-FR"/>
        </w:rPr>
        <w:t>’</w:t>
      </w:r>
      <w:r w:rsidRPr="00711EE7">
        <w:rPr>
          <w:lang w:val="fr-FR"/>
        </w:rPr>
        <w:t>il ait fourni un modem pour permettre une connexion Internet, il n</w:t>
      </w:r>
      <w:r w:rsidR="008B740A">
        <w:rPr>
          <w:lang w:val="fr-FR"/>
        </w:rPr>
        <w:t>’</w:t>
      </w:r>
      <w:r w:rsidRPr="00711EE7">
        <w:rPr>
          <w:lang w:val="fr-FR"/>
        </w:rPr>
        <w:t>a toujours pas de contact avec sa fille. Il répète également que</w:t>
      </w:r>
      <w:r>
        <w:rPr>
          <w:lang w:val="fr-FR"/>
        </w:rPr>
        <w:t>,</w:t>
      </w:r>
      <w:r w:rsidRPr="00711EE7">
        <w:rPr>
          <w:lang w:val="fr-FR"/>
        </w:rPr>
        <w:t xml:space="preserve"> bien qu</w:t>
      </w:r>
      <w:r w:rsidR="008B740A">
        <w:rPr>
          <w:lang w:val="fr-FR"/>
        </w:rPr>
        <w:t>’</w:t>
      </w:r>
      <w:r w:rsidRPr="00711EE7">
        <w:rPr>
          <w:lang w:val="fr-FR"/>
        </w:rPr>
        <w:t>il se soit plaint de cette situation au pouvoir judiciaire, il n</w:t>
      </w:r>
      <w:r w:rsidR="008B740A">
        <w:rPr>
          <w:lang w:val="fr-FR"/>
        </w:rPr>
        <w:t>’</w:t>
      </w:r>
      <w:r w:rsidRPr="00711EE7">
        <w:rPr>
          <w:lang w:val="fr-FR"/>
        </w:rPr>
        <w:t xml:space="preserve">a </w:t>
      </w:r>
      <w:r>
        <w:rPr>
          <w:lang w:val="fr-FR"/>
        </w:rPr>
        <w:t>obtenu</w:t>
      </w:r>
      <w:r w:rsidRPr="00711EE7">
        <w:rPr>
          <w:lang w:val="fr-FR"/>
        </w:rPr>
        <w:t xml:space="preserve"> aucune des réponses prévues par la loi.</w:t>
      </w:r>
    </w:p>
    <w:p w:rsidR="007E2A0F" w:rsidRPr="00711EE7" w:rsidRDefault="007E2A0F" w:rsidP="007E2A0F">
      <w:pPr>
        <w:pStyle w:val="SingleTxtG"/>
        <w:rPr>
          <w:lang w:val="fr-FR"/>
        </w:rPr>
      </w:pPr>
      <w:r w:rsidRPr="00711EE7">
        <w:rPr>
          <w:lang w:val="fr-FR"/>
        </w:rPr>
        <w:t>6.4</w:t>
      </w:r>
      <w:r w:rsidRPr="00711EE7">
        <w:rPr>
          <w:lang w:val="fr-FR"/>
        </w:rPr>
        <w:tab/>
        <w:t>Dans ses commentaires du 29 août 2019, l</w:t>
      </w:r>
      <w:r w:rsidR="008B740A">
        <w:rPr>
          <w:lang w:val="fr-FR"/>
        </w:rPr>
        <w:t>’</w:t>
      </w:r>
      <w:r w:rsidRPr="00711EE7">
        <w:rPr>
          <w:lang w:val="fr-FR"/>
        </w:rPr>
        <w:t>auteur signale que les autorités de l</w:t>
      </w:r>
      <w:r w:rsidR="008B740A">
        <w:rPr>
          <w:lang w:val="fr-FR"/>
        </w:rPr>
        <w:t>’</w:t>
      </w:r>
      <w:r w:rsidRPr="00711EE7">
        <w:rPr>
          <w:lang w:val="fr-FR"/>
        </w:rPr>
        <w:t xml:space="preserve">État partie continuent à refuser de faire exécuter comme il se doit le jugement prononcé par le Tribunal. </w:t>
      </w:r>
    </w:p>
    <w:p w:rsidR="007E2A0F" w:rsidRPr="00711EE7" w:rsidRDefault="007E2A0F" w:rsidP="007E2A0F">
      <w:pPr>
        <w:pStyle w:val="SingleTxtG"/>
        <w:rPr>
          <w:lang w:val="fr-FR"/>
        </w:rPr>
      </w:pPr>
      <w:r w:rsidRPr="00711EE7">
        <w:rPr>
          <w:lang w:val="fr-FR"/>
        </w:rPr>
        <w:t>6.5</w:t>
      </w:r>
      <w:r w:rsidRPr="00711EE7">
        <w:rPr>
          <w:lang w:val="fr-FR"/>
        </w:rPr>
        <w:tab/>
        <w:t>Le 11 mars 2019, le Tribunal pour enfants et adolescents a fixé une audience pour le 18 mars 2019, violant une fois de plus le principe de célérité prévu par la loi</w:t>
      </w:r>
      <w:r>
        <w:rPr>
          <w:lang w:val="fr-FR"/>
        </w:rPr>
        <w:t xml:space="preserve"> </w:t>
      </w:r>
      <w:r w:rsidRPr="00922084">
        <w:rPr>
          <w:rFonts w:eastAsia="MS Mincho"/>
          <w:lang w:val="fr-FR"/>
        </w:rPr>
        <w:t>n</w:t>
      </w:r>
      <w:r w:rsidRPr="00922084">
        <w:rPr>
          <w:rFonts w:eastAsia="MS Mincho"/>
          <w:vertAlign w:val="superscript"/>
          <w:lang w:val="fr-FR"/>
        </w:rPr>
        <w:t>o</w:t>
      </w:r>
      <w:r>
        <w:rPr>
          <w:lang w:val="fr-FR"/>
        </w:rPr>
        <w:t> </w:t>
      </w:r>
      <w:r w:rsidRPr="00711EE7">
        <w:rPr>
          <w:lang w:val="fr-FR"/>
        </w:rPr>
        <w:t>6038/2018. Au cours de l</w:t>
      </w:r>
      <w:r w:rsidR="008B740A">
        <w:rPr>
          <w:lang w:val="fr-FR"/>
        </w:rPr>
        <w:t>’</w:t>
      </w:r>
      <w:r w:rsidRPr="00711EE7">
        <w:rPr>
          <w:lang w:val="fr-FR"/>
        </w:rPr>
        <w:t>audience, la mère de sa fille a nié les faits et il n</w:t>
      </w:r>
      <w:r w:rsidR="008B740A">
        <w:rPr>
          <w:lang w:val="fr-FR"/>
        </w:rPr>
        <w:t>’</w:t>
      </w:r>
      <w:r w:rsidRPr="00711EE7">
        <w:rPr>
          <w:lang w:val="fr-FR"/>
        </w:rPr>
        <w:t>a pas été pris acte des preuves documentaires versées au dossier</w:t>
      </w:r>
      <w:r w:rsidRPr="00A122C5">
        <w:rPr>
          <w:rStyle w:val="Appelnotedebasdep"/>
        </w:rPr>
        <w:footnoteReference w:id="28"/>
      </w:r>
      <w:r w:rsidRPr="00711EE7">
        <w:rPr>
          <w:lang w:val="fr-FR"/>
        </w:rPr>
        <w:t>.</w:t>
      </w:r>
    </w:p>
    <w:p w:rsidR="007E2A0F" w:rsidRDefault="007E2A0F" w:rsidP="007E2A0F">
      <w:pPr>
        <w:pStyle w:val="SingleTxtG"/>
        <w:rPr>
          <w:lang w:val="fr-FR"/>
        </w:rPr>
      </w:pPr>
      <w:r w:rsidRPr="00711EE7">
        <w:rPr>
          <w:lang w:val="fr-FR"/>
        </w:rPr>
        <w:t>6.6</w:t>
      </w:r>
      <w:r w:rsidRPr="00711EE7">
        <w:rPr>
          <w:lang w:val="fr-FR"/>
        </w:rPr>
        <w:tab/>
        <w:t>Le 30 avril 2019, le Tribunal d</w:t>
      </w:r>
      <w:r w:rsidR="008B740A">
        <w:rPr>
          <w:lang w:val="fr-FR"/>
        </w:rPr>
        <w:t>’</w:t>
      </w:r>
      <w:r w:rsidRPr="00711EE7">
        <w:rPr>
          <w:lang w:val="fr-FR"/>
        </w:rPr>
        <w:t>appel pour enfants et adolescents a rejeté la demande de mesures provisoires de l</w:t>
      </w:r>
      <w:r w:rsidR="008B740A">
        <w:rPr>
          <w:lang w:val="fr-FR"/>
        </w:rPr>
        <w:t>’</w:t>
      </w:r>
      <w:r w:rsidRPr="00711EE7">
        <w:rPr>
          <w:lang w:val="fr-FR"/>
        </w:rPr>
        <w:t>auteur par voie de décision interlocutoire</w:t>
      </w:r>
      <w:r>
        <w:rPr>
          <w:lang w:val="fr-FR"/>
        </w:rPr>
        <w:t xml:space="preserve"> </w:t>
      </w:r>
      <w:r w:rsidRPr="00711EE7">
        <w:rPr>
          <w:lang w:val="fr-FR"/>
        </w:rPr>
        <w:t>AI</w:t>
      </w:r>
      <w:r>
        <w:rPr>
          <w:lang w:val="fr-FR"/>
        </w:rPr>
        <w:t xml:space="preserve"> </w:t>
      </w:r>
      <w:r w:rsidRPr="00440C4E">
        <w:rPr>
          <w:rFonts w:eastAsia="MS Mincho"/>
          <w:lang w:val="fr-FR"/>
        </w:rPr>
        <w:t>n</w:t>
      </w:r>
      <w:r w:rsidRPr="00440C4E">
        <w:rPr>
          <w:rFonts w:eastAsia="MS Mincho"/>
          <w:vertAlign w:val="superscript"/>
          <w:lang w:val="fr-FR"/>
        </w:rPr>
        <w:t>o</w:t>
      </w:r>
      <w:r>
        <w:rPr>
          <w:lang w:val="fr-FR"/>
        </w:rPr>
        <w:t> </w:t>
      </w:r>
      <w:r w:rsidRPr="00711EE7">
        <w:rPr>
          <w:lang w:val="fr-FR"/>
        </w:rPr>
        <w:t xml:space="preserve">107, confirmant la décision du tribunal de première instance de </w:t>
      </w:r>
      <w:proofErr w:type="spellStart"/>
      <w:r w:rsidRPr="00711EE7">
        <w:rPr>
          <w:lang w:val="fr-FR"/>
        </w:rPr>
        <w:t>Luque</w:t>
      </w:r>
      <w:proofErr w:type="spellEnd"/>
      <w:r w:rsidRPr="00711EE7">
        <w:rPr>
          <w:lang w:val="fr-FR"/>
        </w:rPr>
        <w:t xml:space="preserve"> en date du 18 février 2019</w:t>
      </w:r>
      <w:r w:rsidRPr="00A122C5">
        <w:rPr>
          <w:rStyle w:val="Appelnotedebasdep"/>
        </w:rPr>
        <w:footnoteReference w:id="29"/>
      </w:r>
      <w:r w:rsidRPr="00711EE7">
        <w:rPr>
          <w:lang w:val="fr-FR"/>
        </w:rPr>
        <w:t>.</w:t>
      </w:r>
    </w:p>
    <w:p w:rsidR="007E2A0F" w:rsidRPr="00711EE7" w:rsidRDefault="007E2A0F" w:rsidP="007E2A0F">
      <w:pPr>
        <w:spacing w:after="120" w:line="240" w:lineRule="auto"/>
        <w:ind w:left="1134" w:right="1134"/>
        <w:jc w:val="both"/>
        <w:rPr>
          <w:lang w:val="fr-FR"/>
        </w:rPr>
      </w:pPr>
      <w:r w:rsidRPr="00711EE7">
        <w:rPr>
          <w:lang w:val="fr-FR"/>
        </w:rPr>
        <w:t>6.7</w:t>
      </w:r>
      <w:r w:rsidRPr="00711EE7">
        <w:rPr>
          <w:lang w:val="fr-FR"/>
        </w:rPr>
        <w:tab/>
        <w:t>Le 8</w:t>
      </w:r>
      <w:r w:rsidR="00F535A2">
        <w:rPr>
          <w:lang w:val="fr-FR"/>
        </w:rPr>
        <w:t> </w:t>
      </w:r>
      <w:r w:rsidRPr="00711EE7">
        <w:rPr>
          <w:lang w:val="fr-FR"/>
        </w:rPr>
        <w:t>juillet 2019, par décision interlocutoire</w:t>
      </w:r>
      <w:r>
        <w:rPr>
          <w:lang w:val="fr-FR"/>
        </w:rPr>
        <w:t xml:space="preserve"> </w:t>
      </w:r>
      <w:r w:rsidRPr="00711EE7">
        <w:rPr>
          <w:lang w:val="fr-FR"/>
        </w:rPr>
        <w:t xml:space="preserve">AI </w:t>
      </w:r>
      <w:r w:rsidRPr="00440C4E">
        <w:rPr>
          <w:rFonts w:eastAsia="MS Mincho"/>
          <w:lang w:val="fr-FR"/>
        </w:rPr>
        <w:t>n</w:t>
      </w:r>
      <w:r w:rsidRPr="00440C4E">
        <w:rPr>
          <w:rFonts w:eastAsia="MS Mincho"/>
          <w:vertAlign w:val="superscript"/>
          <w:lang w:val="fr-FR"/>
        </w:rPr>
        <w:t>o</w:t>
      </w:r>
      <w:r>
        <w:rPr>
          <w:lang w:val="fr-FR"/>
        </w:rPr>
        <w:t> </w:t>
      </w:r>
      <w:r w:rsidRPr="00711EE7">
        <w:rPr>
          <w:lang w:val="fr-FR"/>
        </w:rPr>
        <w:t xml:space="preserve">278, </w:t>
      </w:r>
      <w:r>
        <w:rPr>
          <w:lang w:val="fr-FR"/>
        </w:rPr>
        <w:t>l</w:t>
      </w:r>
      <w:r w:rsidR="008B740A">
        <w:rPr>
          <w:lang w:val="fr-FR"/>
        </w:rPr>
        <w:t>’</w:t>
      </w:r>
      <w:r>
        <w:rPr>
          <w:lang w:val="fr-FR"/>
        </w:rPr>
        <w:t>auteur</w:t>
      </w:r>
      <w:r w:rsidRPr="00711EE7">
        <w:rPr>
          <w:lang w:val="fr-FR"/>
        </w:rPr>
        <w:t xml:space="preserve"> a de nouveau enjoint à la mère de sa fille d</w:t>
      </w:r>
      <w:r w:rsidR="008B740A">
        <w:rPr>
          <w:lang w:val="fr-FR"/>
        </w:rPr>
        <w:t>’</w:t>
      </w:r>
      <w:r w:rsidRPr="00711EE7">
        <w:rPr>
          <w:lang w:val="fr-FR"/>
        </w:rPr>
        <w:t>appliquer le jugement définitif</w:t>
      </w:r>
      <w:r>
        <w:rPr>
          <w:lang w:val="fr-FR"/>
        </w:rPr>
        <w:t xml:space="preserve"> </w:t>
      </w:r>
      <w:r w:rsidRPr="00711EE7">
        <w:rPr>
          <w:lang w:val="fr-FR"/>
        </w:rPr>
        <w:t xml:space="preserve">SD </w:t>
      </w:r>
      <w:r w:rsidRPr="00440C4E">
        <w:rPr>
          <w:rFonts w:eastAsia="MS Mincho"/>
          <w:lang w:val="fr-FR"/>
        </w:rPr>
        <w:t>n</w:t>
      </w:r>
      <w:r w:rsidRPr="00440C4E">
        <w:rPr>
          <w:rFonts w:eastAsia="MS Mincho"/>
          <w:vertAlign w:val="superscript"/>
          <w:lang w:val="fr-FR"/>
        </w:rPr>
        <w:t>o</w:t>
      </w:r>
      <w:r>
        <w:rPr>
          <w:lang w:val="fr-FR"/>
        </w:rPr>
        <w:t> </w:t>
      </w:r>
      <w:r w:rsidRPr="00711EE7">
        <w:rPr>
          <w:lang w:val="fr-FR"/>
        </w:rPr>
        <w:t>139 du 30 avril 2015 et, à titre de mesure provisoire, la communication entre père et fille par l</w:t>
      </w:r>
      <w:r w:rsidR="008B740A">
        <w:rPr>
          <w:lang w:val="fr-FR"/>
        </w:rPr>
        <w:t>’</w:t>
      </w:r>
      <w:r w:rsidRPr="00711EE7">
        <w:rPr>
          <w:lang w:val="fr-FR"/>
        </w:rPr>
        <w:t xml:space="preserve">intermédiaire du </w:t>
      </w:r>
      <w:proofErr w:type="spellStart"/>
      <w:r w:rsidRPr="00711EE7">
        <w:rPr>
          <w:lang w:val="fr-FR"/>
        </w:rPr>
        <w:t>Colegio</w:t>
      </w:r>
      <w:proofErr w:type="spellEnd"/>
      <w:r w:rsidRPr="00711EE7">
        <w:rPr>
          <w:lang w:val="fr-FR"/>
        </w:rPr>
        <w:t xml:space="preserve"> San José a été autorisée. L</w:t>
      </w:r>
      <w:r w:rsidR="008B740A">
        <w:rPr>
          <w:lang w:val="fr-FR"/>
        </w:rPr>
        <w:t>’</w:t>
      </w:r>
      <w:r w:rsidRPr="00711EE7">
        <w:rPr>
          <w:lang w:val="fr-FR"/>
        </w:rPr>
        <w:t>auteur indique que le Tribunal a reconnu expressément qu</w:t>
      </w:r>
      <w:r w:rsidR="008B740A">
        <w:rPr>
          <w:lang w:val="fr-FR"/>
        </w:rPr>
        <w:t>’</w:t>
      </w:r>
      <w:r w:rsidRPr="00711EE7">
        <w:rPr>
          <w:lang w:val="fr-FR"/>
        </w:rPr>
        <w:t>il avait demandé que la mère de sa fille soit passible d</w:t>
      </w:r>
      <w:r w:rsidR="008B740A">
        <w:rPr>
          <w:lang w:val="fr-FR"/>
        </w:rPr>
        <w:t>’</w:t>
      </w:r>
      <w:r w:rsidRPr="00711EE7">
        <w:rPr>
          <w:lang w:val="fr-FR"/>
        </w:rPr>
        <w:t xml:space="preserve">astreinte pour chaque journée de non-respect du jugement, mais </w:t>
      </w:r>
      <w:r>
        <w:rPr>
          <w:lang w:val="fr-FR"/>
        </w:rPr>
        <w:t>qu</w:t>
      </w:r>
      <w:r w:rsidR="008B740A">
        <w:rPr>
          <w:lang w:val="fr-FR"/>
        </w:rPr>
        <w:t>’</w:t>
      </w:r>
      <w:r>
        <w:rPr>
          <w:lang w:val="fr-FR"/>
        </w:rPr>
        <w:t>il</w:t>
      </w:r>
      <w:r w:rsidRPr="00711EE7">
        <w:rPr>
          <w:lang w:val="fr-FR"/>
        </w:rPr>
        <w:t xml:space="preserve"> ne s</w:t>
      </w:r>
      <w:r w:rsidR="008B740A">
        <w:rPr>
          <w:lang w:val="fr-FR"/>
        </w:rPr>
        <w:t>’</w:t>
      </w:r>
      <w:r w:rsidRPr="00711EE7">
        <w:rPr>
          <w:lang w:val="fr-FR"/>
        </w:rPr>
        <w:t>est pas prononcé à propos de cette demande. Selon l</w:t>
      </w:r>
      <w:r w:rsidR="008B740A">
        <w:rPr>
          <w:lang w:val="fr-FR"/>
        </w:rPr>
        <w:t>’</w:t>
      </w:r>
      <w:r w:rsidRPr="00711EE7">
        <w:rPr>
          <w:lang w:val="fr-FR"/>
        </w:rPr>
        <w:t>auteur, cela montre que la décision du Tribunal porte atteinte au principe de congruence, au droit de se plaindre aux autorités</w:t>
      </w:r>
      <w:r w:rsidR="001E6B5A">
        <w:rPr>
          <w:lang w:val="fr-FR"/>
        </w:rPr>
        <w:t xml:space="preserve"> </w:t>
      </w:r>
      <w:r w:rsidRPr="00711EE7">
        <w:rPr>
          <w:lang w:val="fr-FR"/>
        </w:rPr>
        <w:t>et au droit qu</w:t>
      </w:r>
      <w:r w:rsidR="008B740A">
        <w:rPr>
          <w:lang w:val="fr-FR"/>
        </w:rPr>
        <w:t>’</w:t>
      </w:r>
      <w:r w:rsidRPr="00711EE7">
        <w:rPr>
          <w:lang w:val="fr-FR"/>
        </w:rPr>
        <w:t>il a d</w:t>
      </w:r>
      <w:r w:rsidR="008B740A">
        <w:rPr>
          <w:lang w:val="fr-FR"/>
        </w:rPr>
        <w:t>’</w:t>
      </w:r>
      <w:r w:rsidRPr="00711EE7">
        <w:rPr>
          <w:lang w:val="fr-FR"/>
        </w:rPr>
        <w:t>entretenir des relations avec sa fille auxquels il n</w:t>
      </w:r>
      <w:r w:rsidR="008B740A">
        <w:rPr>
          <w:lang w:val="fr-FR"/>
        </w:rPr>
        <w:t>’</w:t>
      </w:r>
      <w:r w:rsidRPr="00711EE7">
        <w:rPr>
          <w:lang w:val="fr-FR"/>
        </w:rPr>
        <w:t>a pas pu donner effet entre décembre</w:t>
      </w:r>
      <w:r>
        <w:rPr>
          <w:lang w:val="fr-FR"/>
        </w:rPr>
        <w:t xml:space="preserve"> </w:t>
      </w:r>
      <w:r w:rsidRPr="00711EE7">
        <w:rPr>
          <w:lang w:val="fr-FR"/>
        </w:rPr>
        <w:t xml:space="preserve">2018 et juin 2019. </w:t>
      </w:r>
    </w:p>
    <w:p w:rsidR="007E2A0F" w:rsidRPr="00711EE7" w:rsidRDefault="007E2A0F" w:rsidP="007E2A0F">
      <w:pPr>
        <w:spacing w:after="120" w:line="240" w:lineRule="auto"/>
        <w:ind w:left="1134" w:right="1134"/>
        <w:jc w:val="both"/>
        <w:rPr>
          <w:lang w:val="fr-FR"/>
        </w:rPr>
      </w:pPr>
      <w:r w:rsidRPr="00711EE7">
        <w:rPr>
          <w:lang w:val="fr-FR"/>
        </w:rPr>
        <w:t>6.8</w:t>
      </w:r>
      <w:r w:rsidRPr="00711EE7">
        <w:rPr>
          <w:lang w:val="fr-FR"/>
        </w:rPr>
        <w:tab/>
        <w:t>L</w:t>
      </w:r>
      <w:r w:rsidR="008B740A">
        <w:rPr>
          <w:lang w:val="fr-FR"/>
        </w:rPr>
        <w:t>’</w:t>
      </w:r>
      <w:r w:rsidRPr="00711EE7">
        <w:rPr>
          <w:lang w:val="fr-FR"/>
        </w:rPr>
        <w:t>auteur soutient qu</w:t>
      </w:r>
      <w:r w:rsidR="008B740A">
        <w:rPr>
          <w:lang w:val="fr-FR"/>
        </w:rPr>
        <w:t>’</w:t>
      </w:r>
      <w:r w:rsidRPr="00711EE7">
        <w:rPr>
          <w:lang w:val="fr-FR"/>
        </w:rPr>
        <w:t>étant donné le risque qu</w:t>
      </w:r>
      <w:r w:rsidR="008B740A">
        <w:rPr>
          <w:lang w:val="fr-FR"/>
        </w:rPr>
        <w:t>’</w:t>
      </w:r>
      <w:r w:rsidRPr="00711EE7">
        <w:rPr>
          <w:lang w:val="fr-FR"/>
        </w:rPr>
        <w:t>à l</w:t>
      </w:r>
      <w:r w:rsidR="008B740A">
        <w:rPr>
          <w:lang w:val="fr-FR"/>
        </w:rPr>
        <w:t>’</w:t>
      </w:r>
      <w:r w:rsidRPr="00711EE7">
        <w:rPr>
          <w:lang w:val="fr-FR"/>
        </w:rPr>
        <w:t>avenir, la mère de sa fille persiste dans l</w:t>
      </w:r>
      <w:r w:rsidR="008B740A">
        <w:rPr>
          <w:lang w:val="fr-FR"/>
        </w:rPr>
        <w:t>’</w:t>
      </w:r>
      <w:r w:rsidRPr="00711EE7">
        <w:rPr>
          <w:lang w:val="fr-FR"/>
        </w:rPr>
        <w:t>attitude qu</w:t>
      </w:r>
      <w:r w:rsidR="008B740A">
        <w:rPr>
          <w:lang w:val="fr-FR"/>
        </w:rPr>
        <w:t>’</w:t>
      </w:r>
      <w:r w:rsidRPr="00711EE7">
        <w:rPr>
          <w:lang w:val="fr-FR"/>
        </w:rPr>
        <w:t>elle a eue jusqu</w:t>
      </w:r>
      <w:r w:rsidR="008B740A">
        <w:rPr>
          <w:lang w:val="fr-FR"/>
        </w:rPr>
        <w:t>’</w:t>
      </w:r>
      <w:r w:rsidRPr="00711EE7">
        <w:rPr>
          <w:lang w:val="fr-FR"/>
        </w:rPr>
        <w:t>à présent et continue d</w:t>
      </w:r>
      <w:r w:rsidR="008B740A">
        <w:rPr>
          <w:lang w:val="fr-FR"/>
        </w:rPr>
        <w:t>’</w:t>
      </w:r>
      <w:r w:rsidRPr="00711EE7">
        <w:rPr>
          <w:lang w:val="fr-FR"/>
        </w:rPr>
        <w:t>empêcher tout contact entre l</w:t>
      </w:r>
      <w:r w:rsidR="008B740A">
        <w:rPr>
          <w:lang w:val="fr-FR"/>
        </w:rPr>
        <w:t>’</w:t>
      </w:r>
      <w:r w:rsidRPr="00711EE7">
        <w:rPr>
          <w:lang w:val="fr-FR"/>
        </w:rPr>
        <w:t>enfant et son père, il est nécessaire de donner effet à l</w:t>
      </w:r>
      <w:r w:rsidR="008B740A">
        <w:rPr>
          <w:lang w:val="fr-FR"/>
        </w:rPr>
        <w:t>’</w:t>
      </w:r>
      <w:r w:rsidRPr="00711EE7">
        <w:rPr>
          <w:lang w:val="fr-FR"/>
        </w:rPr>
        <w:t>article 96 de la loi</w:t>
      </w:r>
      <w:r>
        <w:rPr>
          <w:lang w:val="fr-FR"/>
        </w:rPr>
        <w:t xml:space="preserve"> </w:t>
      </w:r>
      <w:r w:rsidRPr="00440C4E">
        <w:rPr>
          <w:rFonts w:eastAsia="MS Mincho"/>
          <w:lang w:val="fr-FR"/>
        </w:rPr>
        <w:t>n</w:t>
      </w:r>
      <w:r w:rsidRPr="00440C4E">
        <w:rPr>
          <w:rFonts w:eastAsia="MS Mincho"/>
          <w:vertAlign w:val="superscript"/>
          <w:lang w:val="fr-FR"/>
        </w:rPr>
        <w:t>o</w:t>
      </w:r>
      <w:r>
        <w:rPr>
          <w:lang w:val="fr-FR"/>
        </w:rPr>
        <w:t> </w:t>
      </w:r>
      <w:r w:rsidRPr="00711EE7">
        <w:rPr>
          <w:lang w:val="fr-FR"/>
        </w:rPr>
        <w:t>6083/2018.</w:t>
      </w:r>
    </w:p>
    <w:p w:rsidR="007E2A0F" w:rsidRPr="00711EE7" w:rsidRDefault="007E2A0F" w:rsidP="007E2A0F">
      <w:pPr>
        <w:pStyle w:val="H23G"/>
        <w:rPr>
          <w:lang w:val="fr-FR"/>
        </w:rPr>
      </w:pPr>
      <w:r w:rsidRPr="00711EE7">
        <w:rPr>
          <w:lang w:val="fr-FR"/>
        </w:rPr>
        <w:tab/>
      </w:r>
      <w:r w:rsidRPr="00711EE7">
        <w:rPr>
          <w:lang w:val="fr-FR"/>
        </w:rPr>
        <w:tab/>
        <w:t>Délibérations du Comité</w:t>
      </w:r>
    </w:p>
    <w:p w:rsidR="007E2A0F" w:rsidRPr="00711EE7" w:rsidRDefault="007E2A0F" w:rsidP="007E2A0F">
      <w:pPr>
        <w:pStyle w:val="H4G"/>
        <w:rPr>
          <w:lang w:val="fr-FR"/>
        </w:rPr>
      </w:pPr>
      <w:r w:rsidRPr="00711EE7">
        <w:rPr>
          <w:lang w:val="fr-FR"/>
        </w:rPr>
        <w:tab/>
      </w:r>
      <w:r w:rsidRPr="00711EE7">
        <w:rPr>
          <w:lang w:val="fr-FR"/>
        </w:rPr>
        <w:tab/>
        <w:t>Examen de la recevabilité</w:t>
      </w:r>
    </w:p>
    <w:p w:rsidR="007E2A0F" w:rsidRPr="00711EE7" w:rsidRDefault="007E2A0F" w:rsidP="007E2A0F">
      <w:pPr>
        <w:pStyle w:val="SingleTxtG"/>
        <w:rPr>
          <w:lang w:val="fr-FR"/>
        </w:rPr>
      </w:pPr>
      <w:r w:rsidRPr="00711EE7">
        <w:rPr>
          <w:lang w:val="fr-FR"/>
        </w:rPr>
        <w:t>7.1</w:t>
      </w:r>
      <w:r w:rsidRPr="00711EE7">
        <w:rPr>
          <w:lang w:val="fr-FR"/>
        </w:rPr>
        <w:tab/>
      </w:r>
      <w:r w:rsidRPr="00711EE7">
        <w:rPr>
          <w:shd w:val="clear" w:color="auto" w:fill="FFFFFF"/>
          <w:lang w:val="fr-FR"/>
        </w:rPr>
        <w:t>Avant d</w:t>
      </w:r>
      <w:r w:rsidR="008B740A">
        <w:rPr>
          <w:shd w:val="clear" w:color="auto" w:fill="FFFFFF"/>
          <w:lang w:val="fr-FR"/>
        </w:rPr>
        <w:t>’</w:t>
      </w:r>
      <w:r w:rsidRPr="00711EE7">
        <w:rPr>
          <w:shd w:val="clear" w:color="auto" w:fill="FFFFFF"/>
          <w:lang w:val="fr-FR"/>
        </w:rPr>
        <w:t>examiner toute plainte soumise dans une communication, le Comité doit, conformément à l</w:t>
      </w:r>
      <w:r w:rsidR="008B740A">
        <w:rPr>
          <w:shd w:val="clear" w:color="auto" w:fill="FFFFFF"/>
          <w:lang w:val="fr-FR"/>
        </w:rPr>
        <w:t>’</w:t>
      </w:r>
      <w:r w:rsidRPr="00711EE7">
        <w:rPr>
          <w:shd w:val="clear" w:color="auto" w:fill="FFFFFF"/>
          <w:lang w:val="fr-FR"/>
        </w:rPr>
        <w:t>article 20 de son règlement intérieur, déterminer si la communication est recevable au regard du Protocole facultatif à la Convention relative aux droits de l</w:t>
      </w:r>
      <w:r w:rsidR="008B740A">
        <w:rPr>
          <w:shd w:val="clear" w:color="auto" w:fill="FFFFFF"/>
          <w:lang w:val="fr-FR"/>
        </w:rPr>
        <w:t>’</w:t>
      </w:r>
      <w:r w:rsidRPr="00711EE7">
        <w:rPr>
          <w:shd w:val="clear" w:color="auto" w:fill="FFFFFF"/>
          <w:lang w:val="fr-FR"/>
        </w:rPr>
        <w:t>enfant établissant une procédure de présentation de communications.</w:t>
      </w:r>
      <w:r w:rsidRPr="00711EE7">
        <w:rPr>
          <w:lang w:val="fr-FR"/>
        </w:rPr>
        <w:t xml:space="preserve"> </w:t>
      </w:r>
    </w:p>
    <w:p w:rsidR="007E2A0F" w:rsidRPr="00711EE7" w:rsidRDefault="007E2A0F" w:rsidP="007E2A0F">
      <w:pPr>
        <w:pStyle w:val="SingleTxtG"/>
        <w:rPr>
          <w:lang w:val="fr-FR"/>
        </w:rPr>
      </w:pPr>
      <w:r w:rsidRPr="00711EE7">
        <w:rPr>
          <w:lang w:val="fr-FR"/>
        </w:rPr>
        <w:t>7.2</w:t>
      </w:r>
      <w:r w:rsidRPr="00711EE7">
        <w:rPr>
          <w:lang w:val="fr-FR"/>
        </w:rPr>
        <w:tab/>
        <w:t>Le Comité prend note de l</w:t>
      </w:r>
      <w:r w:rsidR="008B740A">
        <w:rPr>
          <w:lang w:val="fr-FR"/>
        </w:rPr>
        <w:t>’</w:t>
      </w:r>
      <w:r w:rsidRPr="00711EE7">
        <w:rPr>
          <w:lang w:val="fr-FR"/>
        </w:rPr>
        <w:t>argument de l</w:t>
      </w:r>
      <w:r w:rsidR="008B740A">
        <w:rPr>
          <w:lang w:val="fr-FR"/>
        </w:rPr>
        <w:t>’</w:t>
      </w:r>
      <w:r w:rsidRPr="00711EE7">
        <w:rPr>
          <w:lang w:val="fr-FR"/>
        </w:rPr>
        <w:t>État partie selon lequel la communication de l</w:t>
      </w:r>
      <w:r w:rsidR="008B740A">
        <w:rPr>
          <w:lang w:val="fr-FR"/>
        </w:rPr>
        <w:t>’</w:t>
      </w:r>
      <w:r w:rsidRPr="00711EE7">
        <w:rPr>
          <w:lang w:val="fr-FR"/>
        </w:rPr>
        <w:t xml:space="preserve">auteur doit être déclarée irrecevable </w:t>
      </w:r>
      <w:proofErr w:type="spellStart"/>
      <w:r w:rsidRPr="00711EE7">
        <w:rPr>
          <w:i/>
          <w:lang w:val="fr-FR"/>
        </w:rPr>
        <w:t>ratione</w:t>
      </w:r>
      <w:proofErr w:type="spellEnd"/>
      <w:r w:rsidRPr="00711EE7">
        <w:rPr>
          <w:i/>
          <w:lang w:val="fr-FR"/>
        </w:rPr>
        <w:t xml:space="preserve"> </w:t>
      </w:r>
      <w:proofErr w:type="spellStart"/>
      <w:r w:rsidRPr="00711EE7">
        <w:rPr>
          <w:i/>
          <w:lang w:val="fr-FR"/>
        </w:rPr>
        <w:t>temporis</w:t>
      </w:r>
      <w:proofErr w:type="spellEnd"/>
      <w:r w:rsidRPr="00711EE7">
        <w:rPr>
          <w:lang w:val="fr-FR"/>
        </w:rPr>
        <w:t xml:space="preserve"> parce que </w:t>
      </w:r>
      <w:r>
        <w:rPr>
          <w:lang w:val="fr-FR"/>
        </w:rPr>
        <w:t xml:space="preserve">les faits qui y sont dénoncés </w:t>
      </w:r>
      <w:r w:rsidR="001E6B5A">
        <w:rPr>
          <w:lang w:val="fr-FR"/>
        </w:rPr>
        <w:t>−</w:t>
      </w:r>
      <w:r>
        <w:rPr>
          <w:lang w:val="fr-FR"/>
        </w:rPr>
        <w:t xml:space="preserve"> le </w:t>
      </w:r>
      <w:r w:rsidRPr="00711EE7">
        <w:rPr>
          <w:lang w:val="fr-FR"/>
        </w:rPr>
        <w:t>non</w:t>
      </w:r>
      <w:r>
        <w:rPr>
          <w:lang w:val="fr-FR"/>
        </w:rPr>
        <w:noBreakHyphen/>
      </w:r>
      <w:r w:rsidRPr="00711EE7">
        <w:rPr>
          <w:lang w:val="fr-FR"/>
        </w:rPr>
        <w:t>respect de l</w:t>
      </w:r>
      <w:r w:rsidR="008B740A">
        <w:rPr>
          <w:lang w:val="fr-FR"/>
        </w:rPr>
        <w:t>’</w:t>
      </w:r>
      <w:r w:rsidRPr="00711EE7">
        <w:rPr>
          <w:lang w:val="fr-FR"/>
        </w:rPr>
        <w:t xml:space="preserve">accord qui régit </w:t>
      </w:r>
      <w:r>
        <w:rPr>
          <w:lang w:val="fr-FR"/>
        </w:rPr>
        <w:t>les visites et les autres formes de contact et a été</w:t>
      </w:r>
      <w:r w:rsidRPr="00711EE7">
        <w:rPr>
          <w:lang w:val="fr-FR"/>
        </w:rPr>
        <w:t xml:space="preserve"> confirmé judiciairement par le jugement définitif </w:t>
      </w:r>
      <w:r w:rsidRPr="00440C4E">
        <w:rPr>
          <w:rFonts w:eastAsia="MS Mincho"/>
          <w:lang w:val="fr-FR"/>
        </w:rPr>
        <w:t>n</w:t>
      </w:r>
      <w:r w:rsidRPr="00440C4E">
        <w:rPr>
          <w:rFonts w:eastAsia="MS Mincho"/>
          <w:vertAlign w:val="superscript"/>
          <w:lang w:val="fr-FR"/>
        </w:rPr>
        <w:t>o</w:t>
      </w:r>
      <w:r>
        <w:rPr>
          <w:lang w:val="fr-FR"/>
        </w:rPr>
        <w:t> </w:t>
      </w:r>
      <w:r w:rsidRPr="00711EE7">
        <w:rPr>
          <w:lang w:val="fr-FR"/>
        </w:rPr>
        <w:t>139 du 30 avril 2015</w:t>
      </w:r>
      <w:r w:rsidR="001E6B5A">
        <w:rPr>
          <w:lang w:val="fr-FR"/>
        </w:rPr>
        <w:t xml:space="preserve"> −</w:t>
      </w:r>
      <w:r w:rsidRPr="00711EE7">
        <w:rPr>
          <w:lang w:val="fr-FR"/>
        </w:rPr>
        <w:t xml:space="preserve"> ne se «</w:t>
      </w:r>
      <w:r>
        <w:rPr>
          <w:lang w:val="fr-FR"/>
        </w:rPr>
        <w:t> </w:t>
      </w:r>
      <w:r w:rsidRPr="00711EE7">
        <w:rPr>
          <w:lang w:val="fr-FR"/>
        </w:rPr>
        <w:t xml:space="preserve">sont pas produits sans interruption » depuis le 20 avril 2017, date à laquelle le Protocole facultatif est entré en vigueur </w:t>
      </w:r>
      <w:r>
        <w:rPr>
          <w:lang w:val="fr-FR"/>
        </w:rPr>
        <w:t>pour</w:t>
      </w:r>
      <w:r w:rsidRPr="00711EE7">
        <w:rPr>
          <w:lang w:val="fr-FR"/>
        </w:rPr>
        <w:t xml:space="preserve"> l</w:t>
      </w:r>
      <w:r w:rsidR="008B740A">
        <w:rPr>
          <w:lang w:val="fr-FR"/>
        </w:rPr>
        <w:t>’</w:t>
      </w:r>
      <w:r w:rsidRPr="00711EE7">
        <w:rPr>
          <w:lang w:val="fr-FR"/>
        </w:rPr>
        <w:t xml:space="preserve">État partie. </w:t>
      </w:r>
      <w:r>
        <w:rPr>
          <w:lang w:val="fr-FR"/>
        </w:rPr>
        <w:t>Le</w:t>
      </w:r>
      <w:r w:rsidRPr="00711EE7">
        <w:rPr>
          <w:lang w:val="fr-FR"/>
        </w:rPr>
        <w:t xml:space="preserve"> Comité </w:t>
      </w:r>
      <w:r>
        <w:rPr>
          <w:lang w:val="fr-FR"/>
        </w:rPr>
        <w:t>rappelle que, conformément à l</w:t>
      </w:r>
      <w:r w:rsidR="008B740A">
        <w:rPr>
          <w:lang w:val="fr-FR"/>
        </w:rPr>
        <w:t>’</w:t>
      </w:r>
      <w:r>
        <w:rPr>
          <w:lang w:val="fr-FR"/>
        </w:rPr>
        <w:t>article 7 (al.</w:t>
      </w:r>
      <w:r w:rsidR="001E6B5A">
        <w:rPr>
          <w:lang w:val="fr-FR"/>
        </w:rPr>
        <w:t> </w:t>
      </w:r>
      <w:r>
        <w:rPr>
          <w:lang w:val="fr-FR"/>
        </w:rPr>
        <w:t xml:space="preserve">g)) du Protocole facultatif, il est interdit </w:t>
      </w:r>
      <w:proofErr w:type="spellStart"/>
      <w:r w:rsidRPr="00EC142A">
        <w:rPr>
          <w:i/>
          <w:iCs/>
          <w:lang w:val="fr-FR"/>
        </w:rPr>
        <w:t>ratione</w:t>
      </w:r>
      <w:proofErr w:type="spellEnd"/>
      <w:r w:rsidRPr="00EC142A">
        <w:rPr>
          <w:i/>
          <w:iCs/>
          <w:lang w:val="fr-FR"/>
        </w:rPr>
        <w:t xml:space="preserve"> </w:t>
      </w:r>
      <w:proofErr w:type="spellStart"/>
      <w:r w:rsidRPr="00EC142A">
        <w:rPr>
          <w:i/>
          <w:iCs/>
          <w:lang w:val="fr-FR"/>
        </w:rPr>
        <w:t>temporis</w:t>
      </w:r>
      <w:proofErr w:type="spellEnd"/>
      <w:r>
        <w:rPr>
          <w:lang w:val="fr-FR"/>
        </w:rPr>
        <w:t xml:space="preserve"> d</w:t>
      </w:r>
      <w:r w:rsidR="008B740A">
        <w:rPr>
          <w:lang w:val="fr-FR"/>
        </w:rPr>
        <w:t>’</w:t>
      </w:r>
      <w:r>
        <w:rPr>
          <w:lang w:val="fr-FR"/>
        </w:rPr>
        <w:t>examiner une communication lorsque l</w:t>
      </w:r>
      <w:r w:rsidRPr="002F619B">
        <w:rPr>
          <w:lang w:val="fr-FR"/>
        </w:rPr>
        <w:t xml:space="preserve">es faits qui </w:t>
      </w:r>
      <w:r>
        <w:rPr>
          <w:lang w:val="fr-FR"/>
        </w:rPr>
        <w:t xml:space="preserve">en </w:t>
      </w:r>
      <w:r w:rsidRPr="002F619B">
        <w:rPr>
          <w:lang w:val="fr-FR"/>
        </w:rPr>
        <w:t>font l</w:t>
      </w:r>
      <w:r w:rsidR="008B740A">
        <w:rPr>
          <w:lang w:val="fr-FR"/>
        </w:rPr>
        <w:t>’</w:t>
      </w:r>
      <w:r w:rsidRPr="002F619B">
        <w:rPr>
          <w:lang w:val="fr-FR"/>
        </w:rPr>
        <w:t xml:space="preserve">objet </w:t>
      </w:r>
      <w:r>
        <w:rPr>
          <w:lang w:val="fr-FR"/>
        </w:rPr>
        <w:t>sont</w:t>
      </w:r>
      <w:r w:rsidRPr="002F619B">
        <w:rPr>
          <w:lang w:val="fr-FR"/>
        </w:rPr>
        <w:t xml:space="preserve"> antérieurs à la date d</w:t>
      </w:r>
      <w:r w:rsidR="008B740A">
        <w:rPr>
          <w:lang w:val="fr-FR"/>
        </w:rPr>
        <w:t>’</w:t>
      </w:r>
      <w:r w:rsidRPr="002F619B">
        <w:rPr>
          <w:lang w:val="fr-FR"/>
        </w:rPr>
        <w:t>entrée en vigueur du présent Protocole à l</w:t>
      </w:r>
      <w:r w:rsidR="008B740A">
        <w:rPr>
          <w:lang w:val="fr-FR"/>
        </w:rPr>
        <w:t>’</w:t>
      </w:r>
      <w:r w:rsidRPr="002F619B">
        <w:rPr>
          <w:lang w:val="fr-FR"/>
        </w:rPr>
        <w:t>égard de l</w:t>
      </w:r>
      <w:r w:rsidR="008B740A">
        <w:rPr>
          <w:lang w:val="fr-FR"/>
        </w:rPr>
        <w:t>’</w:t>
      </w:r>
      <w:r w:rsidRPr="002F619B">
        <w:rPr>
          <w:lang w:val="fr-FR"/>
        </w:rPr>
        <w:t>État partie intéressé, à moins que ces faits ne persistent après cette date</w:t>
      </w:r>
      <w:r>
        <w:rPr>
          <w:lang w:val="fr-FR"/>
        </w:rPr>
        <w:t>. Il prend note de l</w:t>
      </w:r>
      <w:r w:rsidR="008B740A">
        <w:rPr>
          <w:lang w:val="fr-FR"/>
        </w:rPr>
        <w:t>’</w:t>
      </w:r>
      <w:r>
        <w:rPr>
          <w:lang w:val="fr-FR"/>
        </w:rPr>
        <w:t>argument de l</w:t>
      </w:r>
      <w:r w:rsidR="008B740A">
        <w:rPr>
          <w:lang w:val="fr-FR"/>
        </w:rPr>
        <w:t>’</w:t>
      </w:r>
      <w:r>
        <w:rPr>
          <w:lang w:val="fr-FR"/>
        </w:rPr>
        <w:t>auteur selon lesquels les violations des dispositions de la Convention se sont poursuivies après l</w:t>
      </w:r>
      <w:r w:rsidR="008B740A">
        <w:rPr>
          <w:lang w:val="fr-FR"/>
        </w:rPr>
        <w:t>’</w:t>
      </w:r>
      <w:r>
        <w:rPr>
          <w:lang w:val="fr-FR"/>
        </w:rPr>
        <w:t xml:space="preserve">entrée en vigueur </w:t>
      </w:r>
      <w:r>
        <w:rPr>
          <w:lang w:val="fr-FR"/>
        </w:rPr>
        <w:lastRenderedPageBreak/>
        <w:t>du Protocole facultatif pour l</w:t>
      </w:r>
      <w:r w:rsidR="008B740A">
        <w:rPr>
          <w:lang w:val="fr-FR"/>
        </w:rPr>
        <w:t>’</w:t>
      </w:r>
      <w:r>
        <w:rPr>
          <w:lang w:val="fr-FR"/>
        </w:rPr>
        <w:t>État partie, puisqu</w:t>
      </w:r>
      <w:r w:rsidR="008B740A">
        <w:rPr>
          <w:lang w:val="fr-FR"/>
        </w:rPr>
        <w:t>’</w:t>
      </w:r>
      <w:r>
        <w:rPr>
          <w:lang w:val="fr-FR"/>
        </w:rPr>
        <w:t xml:space="preserve">il a continué à avoir des difficultés à communiquer avec sa fille et à rester en relation avec elle </w:t>
      </w:r>
      <w:r w:rsidRPr="00711EE7">
        <w:rPr>
          <w:lang w:val="fr-FR"/>
        </w:rPr>
        <w:t>après le 20</w:t>
      </w:r>
      <w:r>
        <w:rPr>
          <w:lang w:val="fr-FR"/>
        </w:rPr>
        <w:t> </w:t>
      </w:r>
      <w:r w:rsidRPr="00711EE7">
        <w:rPr>
          <w:lang w:val="fr-FR"/>
        </w:rPr>
        <w:t xml:space="preserve">avril 2017, malgré les </w:t>
      </w:r>
      <w:r>
        <w:rPr>
          <w:lang w:val="fr-FR"/>
        </w:rPr>
        <w:t>différentes</w:t>
      </w:r>
      <w:r w:rsidRPr="00711EE7">
        <w:rPr>
          <w:lang w:val="fr-FR"/>
        </w:rPr>
        <w:t xml:space="preserve"> plaintes </w:t>
      </w:r>
      <w:r>
        <w:rPr>
          <w:lang w:val="fr-FR"/>
        </w:rPr>
        <w:t>qu</w:t>
      </w:r>
      <w:r w:rsidR="008B740A">
        <w:rPr>
          <w:lang w:val="fr-FR"/>
        </w:rPr>
        <w:t>’</w:t>
      </w:r>
      <w:r>
        <w:rPr>
          <w:lang w:val="fr-FR"/>
        </w:rPr>
        <w:t>il</w:t>
      </w:r>
      <w:r w:rsidRPr="00711EE7">
        <w:rPr>
          <w:lang w:val="fr-FR"/>
        </w:rPr>
        <w:t xml:space="preserve"> a déposées contre les autorités judiciaires de l</w:t>
      </w:r>
      <w:r w:rsidR="008B740A">
        <w:rPr>
          <w:lang w:val="fr-FR"/>
        </w:rPr>
        <w:t>’</w:t>
      </w:r>
      <w:r w:rsidRPr="00711EE7">
        <w:rPr>
          <w:lang w:val="fr-FR"/>
        </w:rPr>
        <w:t xml:space="preserve">État partie pour non-exécution du jugement qui régit </w:t>
      </w:r>
      <w:r>
        <w:rPr>
          <w:lang w:val="fr-FR"/>
        </w:rPr>
        <w:t>les visites et les autres formes de contact</w:t>
      </w:r>
      <w:r w:rsidRPr="00711EE7">
        <w:rPr>
          <w:lang w:val="fr-FR"/>
        </w:rPr>
        <w:t xml:space="preserve"> entre </w:t>
      </w:r>
      <w:r>
        <w:rPr>
          <w:lang w:val="fr-FR"/>
        </w:rPr>
        <w:t>lui</w:t>
      </w:r>
      <w:r w:rsidRPr="00711EE7">
        <w:rPr>
          <w:lang w:val="fr-FR"/>
        </w:rPr>
        <w:t xml:space="preserve"> et </w:t>
      </w:r>
      <w:r>
        <w:rPr>
          <w:lang w:val="fr-FR"/>
        </w:rPr>
        <w:t xml:space="preserve">sa </w:t>
      </w:r>
      <w:r w:rsidRPr="00711EE7">
        <w:rPr>
          <w:lang w:val="fr-FR"/>
        </w:rPr>
        <w:t>fille.</w:t>
      </w:r>
      <w:r>
        <w:rPr>
          <w:lang w:val="fr-FR"/>
        </w:rPr>
        <w:t xml:space="preserve"> Par conséquent, il considère qu</w:t>
      </w:r>
      <w:r w:rsidR="008B740A">
        <w:rPr>
          <w:lang w:val="fr-FR"/>
        </w:rPr>
        <w:t>’</w:t>
      </w:r>
      <w:r>
        <w:rPr>
          <w:lang w:val="fr-FR"/>
        </w:rPr>
        <w:t>en l</w:t>
      </w:r>
      <w:r w:rsidR="008B740A">
        <w:rPr>
          <w:lang w:val="fr-FR"/>
        </w:rPr>
        <w:t>’</w:t>
      </w:r>
      <w:r>
        <w:rPr>
          <w:lang w:val="fr-FR"/>
        </w:rPr>
        <w:t>espèce, les violations dénoncées par l</w:t>
      </w:r>
      <w:r w:rsidR="008B740A">
        <w:rPr>
          <w:lang w:val="fr-FR"/>
        </w:rPr>
        <w:t>’</w:t>
      </w:r>
      <w:r>
        <w:rPr>
          <w:lang w:val="fr-FR"/>
        </w:rPr>
        <w:t>auteur se sont poursuivies après l</w:t>
      </w:r>
      <w:r w:rsidR="008B740A">
        <w:rPr>
          <w:lang w:val="fr-FR"/>
        </w:rPr>
        <w:t>’</w:t>
      </w:r>
      <w:r>
        <w:rPr>
          <w:lang w:val="fr-FR"/>
        </w:rPr>
        <w:t>entrée en vigueur du Protocole facultatif. Il conclut don</w:t>
      </w:r>
      <w:r w:rsidR="001E6B5A">
        <w:rPr>
          <w:lang w:val="fr-FR"/>
        </w:rPr>
        <w:t>c</w:t>
      </w:r>
      <w:r>
        <w:rPr>
          <w:lang w:val="fr-FR"/>
        </w:rPr>
        <w:t xml:space="preserve"> qu</w:t>
      </w:r>
      <w:r w:rsidR="008B740A">
        <w:rPr>
          <w:lang w:val="fr-FR"/>
        </w:rPr>
        <w:t>’</w:t>
      </w:r>
      <w:r>
        <w:rPr>
          <w:lang w:val="fr-FR"/>
        </w:rPr>
        <w:t>il n</w:t>
      </w:r>
      <w:r w:rsidR="008B740A">
        <w:rPr>
          <w:lang w:val="fr-FR"/>
        </w:rPr>
        <w:t>’</w:t>
      </w:r>
      <w:r>
        <w:rPr>
          <w:lang w:val="fr-FR"/>
        </w:rPr>
        <w:t xml:space="preserve">est pas empêché </w:t>
      </w:r>
      <w:proofErr w:type="spellStart"/>
      <w:r w:rsidRPr="00EC142A">
        <w:rPr>
          <w:i/>
          <w:iCs/>
          <w:lang w:val="fr-FR"/>
        </w:rPr>
        <w:t>ratione</w:t>
      </w:r>
      <w:proofErr w:type="spellEnd"/>
      <w:r w:rsidRPr="00EC142A">
        <w:rPr>
          <w:i/>
          <w:iCs/>
          <w:lang w:val="fr-FR"/>
        </w:rPr>
        <w:t xml:space="preserve"> </w:t>
      </w:r>
      <w:proofErr w:type="spellStart"/>
      <w:r w:rsidRPr="00EC142A">
        <w:rPr>
          <w:i/>
          <w:iCs/>
          <w:lang w:val="fr-FR"/>
        </w:rPr>
        <w:t>temporis</w:t>
      </w:r>
      <w:proofErr w:type="spellEnd"/>
      <w:r>
        <w:rPr>
          <w:lang w:val="fr-FR"/>
        </w:rPr>
        <w:t xml:space="preserve"> par l</w:t>
      </w:r>
      <w:r w:rsidR="008B740A">
        <w:rPr>
          <w:lang w:val="fr-FR"/>
        </w:rPr>
        <w:t>’</w:t>
      </w:r>
      <w:r>
        <w:rPr>
          <w:lang w:val="fr-FR"/>
        </w:rPr>
        <w:t>article 7 (al.</w:t>
      </w:r>
      <w:r w:rsidR="001E6B5A">
        <w:rPr>
          <w:lang w:val="fr-FR"/>
        </w:rPr>
        <w:t> </w:t>
      </w:r>
      <w:r>
        <w:rPr>
          <w:lang w:val="fr-FR"/>
        </w:rPr>
        <w:t>g)) du Protocole facultatif d</w:t>
      </w:r>
      <w:r w:rsidR="008B740A">
        <w:rPr>
          <w:lang w:val="fr-FR"/>
        </w:rPr>
        <w:t>’</w:t>
      </w:r>
      <w:r>
        <w:rPr>
          <w:lang w:val="fr-FR"/>
        </w:rPr>
        <w:t>examiner la communication</w:t>
      </w:r>
      <w:r w:rsidRPr="00711EE7">
        <w:rPr>
          <w:lang w:val="fr-FR"/>
        </w:rPr>
        <w:t xml:space="preserve">. </w:t>
      </w:r>
    </w:p>
    <w:p w:rsidR="007E2A0F" w:rsidRPr="00711EE7" w:rsidRDefault="007E2A0F" w:rsidP="007E2A0F">
      <w:pPr>
        <w:pStyle w:val="SingleTxtG"/>
        <w:rPr>
          <w:lang w:val="fr-FR"/>
        </w:rPr>
      </w:pPr>
      <w:r w:rsidRPr="00711EE7">
        <w:rPr>
          <w:lang w:val="fr-FR"/>
        </w:rPr>
        <w:t>7.3</w:t>
      </w:r>
      <w:r w:rsidRPr="00711EE7">
        <w:rPr>
          <w:lang w:val="fr-FR"/>
        </w:rPr>
        <w:tab/>
        <w:t xml:space="preserve">Le Comité prend </w:t>
      </w:r>
      <w:r>
        <w:rPr>
          <w:lang w:val="fr-FR"/>
        </w:rPr>
        <w:t xml:space="preserve">également </w:t>
      </w:r>
      <w:r w:rsidRPr="00711EE7">
        <w:rPr>
          <w:lang w:val="fr-FR"/>
        </w:rPr>
        <w:t>note de l</w:t>
      </w:r>
      <w:r w:rsidR="008B740A">
        <w:rPr>
          <w:lang w:val="fr-FR"/>
        </w:rPr>
        <w:t>’</w:t>
      </w:r>
      <w:r w:rsidRPr="00711EE7">
        <w:rPr>
          <w:lang w:val="fr-FR"/>
        </w:rPr>
        <w:t>argument de l</w:t>
      </w:r>
      <w:r w:rsidR="008B740A">
        <w:rPr>
          <w:lang w:val="fr-FR"/>
        </w:rPr>
        <w:t>’</w:t>
      </w:r>
      <w:r w:rsidRPr="00711EE7">
        <w:rPr>
          <w:lang w:val="fr-FR"/>
        </w:rPr>
        <w:t>État partie selon lequel, au moment du dépôt de la communication, l</w:t>
      </w:r>
      <w:r w:rsidR="008B740A">
        <w:rPr>
          <w:lang w:val="fr-FR"/>
        </w:rPr>
        <w:t>’</w:t>
      </w:r>
      <w:r w:rsidRPr="00711EE7">
        <w:rPr>
          <w:lang w:val="fr-FR"/>
        </w:rPr>
        <w:t>auteur n</w:t>
      </w:r>
      <w:r w:rsidR="008B740A">
        <w:rPr>
          <w:lang w:val="fr-FR"/>
        </w:rPr>
        <w:t>’</w:t>
      </w:r>
      <w:r w:rsidRPr="00711EE7">
        <w:rPr>
          <w:lang w:val="fr-FR"/>
        </w:rPr>
        <w:t>avait pas épuisé les recours internes disponibles parce qu</w:t>
      </w:r>
      <w:r w:rsidR="008B740A">
        <w:rPr>
          <w:lang w:val="fr-FR"/>
        </w:rPr>
        <w:t>’</w:t>
      </w:r>
      <w:r w:rsidRPr="00711EE7">
        <w:rPr>
          <w:lang w:val="fr-FR"/>
        </w:rPr>
        <w:t>il n</w:t>
      </w:r>
      <w:r w:rsidR="008B740A">
        <w:rPr>
          <w:lang w:val="fr-FR"/>
        </w:rPr>
        <w:t>’</w:t>
      </w:r>
      <w:r w:rsidRPr="00711EE7">
        <w:rPr>
          <w:lang w:val="fr-FR"/>
        </w:rPr>
        <w:t>avait pas saisi la Cour suprême de justice pour qu</w:t>
      </w:r>
      <w:r w:rsidR="008B740A">
        <w:rPr>
          <w:lang w:val="fr-FR"/>
        </w:rPr>
        <w:t>’</w:t>
      </w:r>
      <w:r w:rsidRPr="00711EE7">
        <w:rPr>
          <w:lang w:val="fr-FR"/>
        </w:rPr>
        <w:t>elle statue sur le fond du litige, conformément aux dispositions du Code de l</w:t>
      </w:r>
      <w:r w:rsidR="008B740A">
        <w:rPr>
          <w:lang w:val="fr-FR"/>
        </w:rPr>
        <w:t>’</w:t>
      </w:r>
      <w:r w:rsidRPr="00711EE7">
        <w:rPr>
          <w:lang w:val="fr-FR"/>
        </w:rPr>
        <w:t>enfance et de l</w:t>
      </w:r>
      <w:r w:rsidR="008B740A">
        <w:rPr>
          <w:lang w:val="fr-FR"/>
        </w:rPr>
        <w:t>’</w:t>
      </w:r>
      <w:r w:rsidRPr="00711EE7">
        <w:rPr>
          <w:lang w:val="fr-FR"/>
        </w:rPr>
        <w:t xml:space="preserve">adolescence. Cependant, </w:t>
      </w:r>
      <w:r>
        <w:rPr>
          <w:lang w:val="fr-FR"/>
        </w:rPr>
        <w:t xml:space="preserve">il note que </w:t>
      </w:r>
      <w:r w:rsidRPr="00711EE7">
        <w:rPr>
          <w:lang w:val="fr-FR"/>
        </w:rPr>
        <w:t>l</w:t>
      </w:r>
      <w:r w:rsidR="008B740A">
        <w:rPr>
          <w:lang w:val="fr-FR"/>
        </w:rPr>
        <w:t>’</w:t>
      </w:r>
      <w:r w:rsidRPr="00711EE7">
        <w:rPr>
          <w:lang w:val="fr-FR"/>
        </w:rPr>
        <w:t xml:space="preserve">auteur </w:t>
      </w:r>
      <w:r>
        <w:rPr>
          <w:lang w:val="fr-FR"/>
        </w:rPr>
        <w:t>affirme qu</w:t>
      </w:r>
      <w:r w:rsidR="008B740A">
        <w:rPr>
          <w:lang w:val="fr-FR"/>
        </w:rPr>
        <w:t>’</w:t>
      </w:r>
      <w:r w:rsidRPr="00711EE7">
        <w:rPr>
          <w:lang w:val="fr-FR"/>
        </w:rPr>
        <w:t xml:space="preserve">il ne lui était pas loisible, </w:t>
      </w:r>
      <w:r>
        <w:rPr>
          <w:lang w:val="fr-FR"/>
        </w:rPr>
        <w:t>en l</w:t>
      </w:r>
      <w:r w:rsidR="008B740A">
        <w:rPr>
          <w:lang w:val="fr-FR"/>
        </w:rPr>
        <w:t>’</w:t>
      </w:r>
      <w:r>
        <w:rPr>
          <w:lang w:val="fr-FR"/>
        </w:rPr>
        <w:t>espèce</w:t>
      </w:r>
      <w:r w:rsidRPr="00711EE7">
        <w:rPr>
          <w:lang w:val="fr-FR"/>
        </w:rPr>
        <w:t>, de se pourvoir devant la Cour suprême de justice parce que la législation de l</w:t>
      </w:r>
      <w:r w:rsidR="008B740A">
        <w:rPr>
          <w:lang w:val="fr-FR"/>
        </w:rPr>
        <w:t>’</w:t>
      </w:r>
      <w:r w:rsidRPr="00711EE7">
        <w:rPr>
          <w:lang w:val="fr-FR"/>
        </w:rPr>
        <w:t>État partie ne prévoit pas qu</w:t>
      </w:r>
      <w:r w:rsidR="008B740A">
        <w:rPr>
          <w:lang w:val="fr-FR"/>
        </w:rPr>
        <w:t>’</w:t>
      </w:r>
      <w:r w:rsidRPr="00711EE7">
        <w:rPr>
          <w:lang w:val="fr-FR"/>
        </w:rPr>
        <w:t>une « procédure incidente » puisse aller jusqu</w:t>
      </w:r>
      <w:r w:rsidR="008B740A">
        <w:rPr>
          <w:lang w:val="fr-FR"/>
        </w:rPr>
        <w:t>’</w:t>
      </w:r>
      <w:r w:rsidRPr="00711EE7">
        <w:rPr>
          <w:lang w:val="fr-FR"/>
        </w:rPr>
        <w:t xml:space="preserve">au troisième ressort. En particulier, </w:t>
      </w:r>
      <w:r>
        <w:rPr>
          <w:lang w:val="fr-FR"/>
        </w:rPr>
        <w:t>il</w:t>
      </w:r>
      <w:r w:rsidRPr="00711EE7">
        <w:rPr>
          <w:lang w:val="fr-FR"/>
        </w:rPr>
        <w:t xml:space="preserve"> prend note </w:t>
      </w:r>
      <w:r w:rsidR="00917E2B">
        <w:rPr>
          <w:lang w:val="fr-FR"/>
        </w:rPr>
        <w:t xml:space="preserve">de </w:t>
      </w:r>
      <w:r w:rsidRPr="00711EE7">
        <w:rPr>
          <w:lang w:val="fr-FR"/>
        </w:rPr>
        <w:t>l</w:t>
      </w:r>
      <w:r w:rsidR="008B740A">
        <w:rPr>
          <w:lang w:val="fr-FR"/>
        </w:rPr>
        <w:t>’</w:t>
      </w:r>
      <w:r w:rsidRPr="00711EE7">
        <w:rPr>
          <w:lang w:val="fr-FR"/>
        </w:rPr>
        <w:t>argument de l</w:t>
      </w:r>
      <w:r w:rsidR="008B740A">
        <w:rPr>
          <w:lang w:val="fr-FR"/>
        </w:rPr>
        <w:t>’</w:t>
      </w:r>
      <w:r w:rsidRPr="00711EE7">
        <w:rPr>
          <w:lang w:val="fr-FR"/>
        </w:rPr>
        <w:t>auteur selon lequel, conformément à l</w:t>
      </w:r>
      <w:r w:rsidR="008B740A">
        <w:rPr>
          <w:lang w:val="fr-FR"/>
        </w:rPr>
        <w:t>’</w:t>
      </w:r>
      <w:r w:rsidRPr="00711EE7">
        <w:rPr>
          <w:lang w:val="fr-FR"/>
        </w:rPr>
        <w:t>article 403 du Code de procédure civile, l</w:t>
      </w:r>
      <w:r w:rsidR="008B740A">
        <w:rPr>
          <w:lang w:val="fr-FR"/>
        </w:rPr>
        <w:t>’</w:t>
      </w:r>
      <w:r w:rsidRPr="00711EE7">
        <w:rPr>
          <w:lang w:val="fr-FR"/>
        </w:rPr>
        <w:t>arrêt du Tribunal d</w:t>
      </w:r>
      <w:r w:rsidR="008B740A">
        <w:rPr>
          <w:lang w:val="fr-FR"/>
        </w:rPr>
        <w:t>’</w:t>
      </w:r>
      <w:r w:rsidRPr="00711EE7">
        <w:rPr>
          <w:lang w:val="fr-FR"/>
        </w:rPr>
        <w:t>appel pour enfants et adolescents, qui a été rendu dans le cadre d</w:t>
      </w:r>
      <w:r w:rsidR="008B740A">
        <w:rPr>
          <w:lang w:val="fr-FR"/>
        </w:rPr>
        <w:t>’</w:t>
      </w:r>
      <w:r w:rsidRPr="00711EE7">
        <w:rPr>
          <w:lang w:val="fr-FR"/>
        </w:rPr>
        <w:t>un appel interjeté contre une décision interlocutoire de première instance, ne pouvait pas être soumis à la Cour suprême de justice</w:t>
      </w:r>
      <w:r>
        <w:rPr>
          <w:lang w:val="fr-FR"/>
        </w:rPr>
        <w:t xml:space="preserve"> (par.</w:t>
      </w:r>
      <w:r w:rsidR="00917E2B">
        <w:rPr>
          <w:lang w:val="fr-FR"/>
        </w:rPr>
        <w:t> </w:t>
      </w:r>
      <w:r>
        <w:rPr>
          <w:lang w:val="fr-FR"/>
        </w:rPr>
        <w:t xml:space="preserve">5.5, </w:t>
      </w:r>
      <w:r w:rsidRPr="00EC142A">
        <w:rPr>
          <w:i/>
          <w:iCs/>
          <w:lang w:val="fr-FR"/>
        </w:rPr>
        <w:t>supra</w:t>
      </w:r>
      <w:r>
        <w:rPr>
          <w:lang w:val="fr-FR"/>
        </w:rPr>
        <w:t>)</w:t>
      </w:r>
      <w:r w:rsidRPr="00711EE7">
        <w:rPr>
          <w:lang w:val="fr-FR"/>
        </w:rPr>
        <w:t xml:space="preserve">. Il </w:t>
      </w:r>
      <w:r>
        <w:rPr>
          <w:lang w:val="fr-FR"/>
        </w:rPr>
        <w:t>observe</w:t>
      </w:r>
      <w:r w:rsidRPr="00711EE7">
        <w:rPr>
          <w:lang w:val="fr-FR"/>
        </w:rPr>
        <w:t xml:space="preserve"> que l</w:t>
      </w:r>
      <w:r w:rsidR="008B740A">
        <w:rPr>
          <w:lang w:val="fr-FR"/>
        </w:rPr>
        <w:t>’</w:t>
      </w:r>
      <w:r w:rsidRPr="00711EE7">
        <w:rPr>
          <w:lang w:val="fr-FR"/>
        </w:rPr>
        <w:t>auteur a présenté en de nombreuses occasions, avant et après l</w:t>
      </w:r>
      <w:r w:rsidR="008B740A">
        <w:rPr>
          <w:lang w:val="fr-FR"/>
        </w:rPr>
        <w:t>’</w:t>
      </w:r>
      <w:r w:rsidRPr="00711EE7">
        <w:rPr>
          <w:lang w:val="fr-FR"/>
        </w:rPr>
        <w:t xml:space="preserve">entrée en vigueur du Protocole </w:t>
      </w:r>
      <w:r>
        <w:rPr>
          <w:lang w:val="fr-FR"/>
        </w:rPr>
        <w:t xml:space="preserve">facultatif </w:t>
      </w:r>
      <w:r w:rsidRPr="00711EE7">
        <w:rPr>
          <w:lang w:val="fr-FR"/>
        </w:rPr>
        <w:t>à l</w:t>
      </w:r>
      <w:r w:rsidR="008B740A">
        <w:rPr>
          <w:lang w:val="fr-FR"/>
        </w:rPr>
        <w:t>’</w:t>
      </w:r>
      <w:r w:rsidRPr="00711EE7">
        <w:rPr>
          <w:lang w:val="fr-FR"/>
        </w:rPr>
        <w:t>égard de l</w:t>
      </w:r>
      <w:r w:rsidR="008B740A">
        <w:rPr>
          <w:lang w:val="fr-FR"/>
        </w:rPr>
        <w:t>’</w:t>
      </w:r>
      <w:r w:rsidRPr="00711EE7">
        <w:rPr>
          <w:lang w:val="fr-FR"/>
        </w:rPr>
        <w:t xml:space="preserve">État partie, </w:t>
      </w:r>
      <w:r>
        <w:rPr>
          <w:lang w:val="fr-FR"/>
        </w:rPr>
        <w:t>des</w:t>
      </w:r>
      <w:r w:rsidRPr="00711EE7">
        <w:rPr>
          <w:lang w:val="fr-FR"/>
        </w:rPr>
        <w:t xml:space="preserve"> plaintes pour non-exécution du jugement définitif </w:t>
      </w:r>
      <w:r w:rsidRPr="00440C4E">
        <w:rPr>
          <w:rFonts w:eastAsia="MS Mincho"/>
          <w:lang w:val="fr-FR"/>
        </w:rPr>
        <w:t>n</w:t>
      </w:r>
      <w:r w:rsidRPr="00440C4E">
        <w:rPr>
          <w:rFonts w:eastAsia="MS Mincho"/>
          <w:vertAlign w:val="superscript"/>
          <w:lang w:val="fr-FR"/>
        </w:rPr>
        <w:t>o</w:t>
      </w:r>
      <w:r>
        <w:rPr>
          <w:lang w:val="fr-FR"/>
        </w:rPr>
        <w:t> </w:t>
      </w:r>
      <w:r w:rsidRPr="00711EE7">
        <w:rPr>
          <w:lang w:val="fr-FR"/>
        </w:rPr>
        <w:t>139 du 30</w:t>
      </w:r>
      <w:r>
        <w:rPr>
          <w:lang w:val="fr-FR"/>
        </w:rPr>
        <w:t> </w:t>
      </w:r>
      <w:r w:rsidRPr="00711EE7">
        <w:rPr>
          <w:lang w:val="fr-FR"/>
        </w:rPr>
        <w:t xml:space="preserve">avril 2015 qui régit les relations </w:t>
      </w:r>
      <w:r>
        <w:rPr>
          <w:lang w:val="fr-FR"/>
        </w:rPr>
        <w:t>entre lui et</w:t>
      </w:r>
      <w:r w:rsidRPr="00711EE7">
        <w:rPr>
          <w:lang w:val="fr-FR"/>
        </w:rPr>
        <w:t xml:space="preserve"> sa fille, ainsi que des demandes de mesures provisoires et </w:t>
      </w:r>
      <w:r>
        <w:rPr>
          <w:lang w:val="fr-FR"/>
        </w:rPr>
        <w:t xml:space="preserve">des </w:t>
      </w:r>
      <w:r w:rsidRPr="00711EE7">
        <w:rPr>
          <w:lang w:val="fr-FR"/>
        </w:rPr>
        <w:t>plaintes pour retard dans l</w:t>
      </w:r>
      <w:r w:rsidR="008B740A">
        <w:rPr>
          <w:lang w:val="fr-FR"/>
        </w:rPr>
        <w:t>’</w:t>
      </w:r>
      <w:r w:rsidRPr="00711EE7">
        <w:rPr>
          <w:lang w:val="fr-FR"/>
        </w:rPr>
        <w:t xml:space="preserve">administration de la justice, y compris devant la Cour suprême de justice. Il </w:t>
      </w:r>
      <w:r>
        <w:rPr>
          <w:lang w:val="fr-FR"/>
        </w:rPr>
        <w:t>observe</w:t>
      </w:r>
      <w:r w:rsidRPr="00711EE7">
        <w:rPr>
          <w:lang w:val="fr-FR"/>
        </w:rPr>
        <w:t xml:space="preserve"> également que l</w:t>
      </w:r>
      <w:r w:rsidR="008B740A">
        <w:rPr>
          <w:lang w:val="fr-FR"/>
        </w:rPr>
        <w:t>’</w:t>
      </w:r>
      <w:r w:rsidRPr="00711EE7">
        <w:rPr>
          <w:lang w:val="fr-FR"/>
        </w:rPr>
        <w:t>État partie n</w:t>
      </w:r>
      <w:r w:rsidR="008B740A">
        <w:rPr>
          <w:lang w:val="fr-FR"/>
        </w:rPr>
        <w:t>’</w:t>
      </w:r>
      <w:r w:rsidRPr="00711EE7">
        <w:rPr>
          <w:lang w:val="fr-FR"/>
        </w:rPr>
        <w:t>a pas précisé en quoi un recours de plus devant la Cour suprême de justice aurait pu s</w:t>
      </w:r>
      <w:r w:rsidR="008B740A">
        <w:rPr>
          <w:lang w:val="fr-FR"/>
        </w:rPr>
        <w:t>’</w:t>
      </w:r>
      <w:r w:rsidRPr="00711EE7">
        <w:rPr>
          <w:lang w:val="fr-FR"/>
        </w:rPr>
        <w:t xml:space="preserve">avérer utile et approprié aux circonstances de la cause. </w:t>
      </w:r>
      <w:r>
        <w:rPr>
          <w:lang w:val="fr-FR"/>
        </w:rPr>
        <w:t>Compte tenu de</w:t>
      </w:r>
      <w:r w:rsidRPr="00711EE7">
        <w:rPr>
          <w:lang w:val="fr-FR"/>
        </w:rPr>
        <w:t xml:space="preserve"> la nature du sujet à l</w:t>
      </w:r>
      <w:r w:rsidR="008B740A">
        <w:rPr>
          <w:lang w:val="fr-FR"/>
        </w:rPr>
        <w:t>’</w:t>
      </w:r>
      <w:r w:rsidRPr="00711EE7">
        <w:rPr>
          <w:lang w:val="fr-FR"/>
        </w:rPr>
        <w:t>examen, il considère que l</w:t>
      </w:r>
      <w:r w:rsidR="008B740A">
        <w:rPr>
          <w:lang w:val="fr-FR"/>
        </w:rPr>
        <w:t>’</w:t>
      </w:r>
      <w:r w:rsidRPr="00711EE7">
        <w:rPr>
          <w:lang w:val="fr-FR"/>
        </w:rPr>
        <w:t>auteur a épuisé tous les recours internes disponibles s</w:t>
      </w:r>
      <w:r w:rsidR="008B740A">
        <w:rPr>
          <w:lang w:val="fr-FR"/>
        </w:rPr>
        <w:t>’</w:t>
      </w:r>
      <w:r w:rsidRPr="00711EE7">
        <w:rPr>
          <w:lang w:val="fr-FR"/>
        </w:rPr>
        <w:t>agissant de sa plainte déposée devant les autorités judiciaires de l</w:t>
      </w:r>
      <w:r w:rsidR="008B740A">
        <w:rPr>
          <w:lang w:val="fr-FR"/>
        </w:rPr>
        <w:t>’</w:t>
      </w:r>
      <w:r w:rsidRPr="00711EE7">
        <w:rPr>
          <w:lang w:val="fr-FR"/>
        </w:rPr>
        <w:t>État partie. En conséquence, le Comité conclut que l</w:t>
      </w:r>
      <w:r w:rsidR="008B740A">
        <w:rPr>
          <w:lang w:val="fr-FR"/>
        </w:rPr>
        <w:t>’</w:t>
      </w:r>
      <w:r w:rsidRPr="00711EE7">
        <w:rPr>
          <w:lang w:val="fr-FR"/>
        </w:rPr>
        <w:t xml:space="preserve">article 7 </w:t>
      </w:r>
      <w:r>
        <w:rPr>
          <w:lang w:val="fr-FR"/>
        </w:rPr>
        <w:t>(al.</w:t>
      </w:r>
      <w:r w:rsidR="00917E2B">
        <w:rPr>
          <w:lang w:val="fr-FR"/>
        </w:rPr>
        <w:t> </w:t>
      </w:r>
      <w:r>
        <w:rPr>
          <w:lang w:val="fr-FR"/>
        </w:rPr>
        <w:t>e))</w:t>
      </w:r>
      <w:r w:rsidRPr="00711EE7">
        <w:rPr>
          <w:lang w:val="fr-FR"/>
        </w:rPr>
        <w:t xml:space="preserve"> du Protocole </w:t>
      </w:r>
      <w:r>
        <w:rPr>
          <w:lang w:val="fr-FR"/>
        </w:rPr>
        <w:t xml:space="preserve">facultatif </w:t>
      </w:r>
      <w:r w:rsidRPr="00711EE7">
        <w:rPr>
          <w:lang w:val="fr-FR"/>
        </w:rPr>
        <w:t xml:space="preserve">ne fait pas </w:t>
      </w:r>
      <w:r w:rsidRPr="00711EE7">
        <w:rPr>
          <w:shd w:val="clear" w:color="auto" w:fill="FFFFFF"/>
          <w:lang w:val="fr-FR"/>
        </w:rPr>
        <w:t>obstacle à la recevabilité de la présente communication</w:t>
      </w:r>
      <w:r w:rsidRPr="00711EE7">
        <w:rPr>
          <w:lang w:val="fr-FR"/>
        </w:rPr>
        <w:t xml:space="preserve">. </w:t>
      </w:r>
    </w:p>
    <w:p w:rsidR="007E2A0F" w:rsidRDefault="007E2A0F" w:rsidP="007E2A0F">
      <w:pPr>
        <w:pStyle w:val="SingleTxtG"/>
        <w:rPr>
          <w:lang w:val="fr-FR"/>
        </w:rPr>
      </w:pPr>
      <w:r w:rsidRPr="00711EE7">
        <w:rPr>
          <w:lang w:val="fr-FR"/>
        </w:rPr>
        <w:t>7.4</w:t>
      </w:r>
      <w:r w:rsidRPr="00711EE7">
        <w:rPr>
          <w:lang w:val="fr-FR"/>
        </w:rPr>
        <w:tab/>
        <w:t xml:space="preserve">Le Comité </w:t>
      </w:r>
      <w:r>
        <w:rPr>
          <w:lang w:val="fr-FR"/>
        </w:rPr>
        <w:t>considère que les griefs soulevés par l</w:t>
      </w:r>
      <w:r w:rsidR="008B740A">
        <w:rPr>
          <w:lang w:val="fr-FR"/>
        </w:rPr>
        <w:t>’</w:t>
      </w:r>
      <w:r>
        <w:rPr>
          <w:lang w:val="fr-FR"/>
        </w:rPr>
        <w:t>auteur au titre des articles 18 et 19 de la Convention n</w:t>
      </w:r>
      <w:r w:rsidR="008B740A">
        <w:rPr>
          <w:lang w:val="fr-FR"/>
        </w:rPr>
        <w:t>’</w:t>
      </w:r>
      <w:r>
        <w:rPr>
          <w:lang w:val="fr-FR"/>
        </w:rPr>
        <w:t>ont pas été suffisamment étayés aux fins de la recevabilité et les déclare irrecevables au regard de l</w:t>
      </w:r>
      <w:r w:rsidR="008B740A">
        <w:rPr>
          <w:lang w:val="fr-FR"/>
        </w:rPr>
        <w:t>’</w:t>
      </w:r>
      <w:r>
        <w:rPr>
          <w:lang w:val="fr-FR"/>
        </w:rPr>
        <w:t>article 7 (al.</w:t>
      </w:r>
      <w:r w:rsidR="00917E2B">
        <w:rPr>
          <w:lang w:val="fr-FR"/>
        </w:rPr>
        <w:t> f</w:t>
      </w:r>
      <w:r>
        <w:rPr>
          <w:lang w:val="fr-FR"/>
        </w:rPr>
        <w:t xml:space="preserve">)) du Protocole facultatif. </w:t>
      </w:r>
    </w:p>
    <w:p w:rsidR="007E2A0F" w:rsidRDefault="007E2A0F" w:rsidP="007E2A0F">
      <w:pPr>
        <w:pStyle w:val="SingleTxtG"/>
        <w:rPr>
          <w:lang w:val="fr-FR"/>
        </w:rPr>
      </w:pPr>
      <w:r>
        <w:rPr>
          <w:lang w:val="fr-FR"/>
        </w:rPr>
        <w:t>7.5</w:t>
      </w:r>
      <w:r>
        <w:rPr>
          <w:lang w:val="fr-FR"/>
        </w:rPr>
        <w:tab/>
        <w:t>Le Comité considère que, aux fins de la recevabilité, l</w:t>
      </w:r>
      <w:r w:rsidR="008B740A">
        <w:rPr>
          <w:lang w:val="fr-FR"/>
        </w:rPr>
        <w:t>’</w:t>
      </w:r>
      <w:r>
        <w:rPr>
          <w:lang w:val="fr-FR"/>
        </w:rPr>
        <w:t>auteur a suffisamment étayé les griefs qu</w:t>
      </w:r>
      <w:r w:rsidR="008B740A">
        <w:rPr>
          <w:lang w:val="fr-FR"/>
        </w:rPr>
        <w:t>’</w:t>
      </w:r>
      <w:r>
        <w:rPr>
          <w:lang w:val="fr-FR"/>
        </w:rPr>
        <w:t>il soulève au titre des articles 3, 4, 5, 9 (par.</w:t>
      </w:r>
      <w:r w:rsidR="00917E2B">
        <w:rPr>
          <w:lang w:val="fr-FR"/>
        </w:rPr>
        <w:t> </w:t>
      </w:r>
      <w:r>
        <w:rPr>
          <w:lang w:val="fr-FR"/>
        </w:rPr>
        <w:t>3) et 10 (par.</w:t>
      </w:r>
      <w:r w:rsidR="00917E2B">
        <w:rPr>
          <w:lang w:val="fr-FR"/>
        </w:rPr>
        <w:t> </w:t>
      </w:r>
      <w:r>
        <w:rPr>
          <w:lang w:val="fr-FR"/>
        </w:rPr>
        <w:t>2) de la Convention au motif que l</w:t>
      </w:r>
      <w:r w:rsidR="008B740A">
        <w:rPr>
          <w:lang w:val="fr-FR"/>
        </w:rPr>
        <w:t>’</w:t>
      </w:r>
      <w:r>
        <w:rPr>
          <w:lang w:val="fr-FR"/>
        </w:rPr>
        <w:t>État partie n</w:t>
      </w:r>
      <w:r w:rsidR="008B740A">
        <w:rPr>
          <w:lang w:val="fr-FR"/>
        </w:rPr>
        <w:t>’</w:t>
      </w:r>
      <w:r>
        <w:rPr>
          <w:lang w:val="fr-FR"/>
        </w:rPr>
        <w:t>a pas tenu compte de l</w:t>
      </w:r>
      <w:r w:rsidR="008B740A">
        <w:rPr>
          <w:lang w:val="fr-FR"/>
        </w:rPr>
        <w:t>’</w:t>
      </w:r>
      <w:r>
        <w:rPr>
          <w:lang w:val="fr-FR"/>
        </w:rPr>
        <w:t>intérêt supérieur de l</w:t>
      </w:r>
      <w:r w:rsidR="008B740A">
        <w:rPr>
          <w:lang w:val="fr-FR"/>
        </w:rPr>
        <w:t>’</w:t>
      </w:r>
      <w:r>
        <w:rPr>
          <w:lang w:val="fr-FR"/>
        </w:rPr>
        <w:t>enfant et n</w:t>
      </w:r>
      <w:r w:rsidR="008B740A">
        <w:rPr>
          <w:lang w:val="fr-FR"/>
        </w:rPr>
        <w:t>’</w:t>
      </w:r>
      <w:r>
        <w:rPr>
          <w:lang w:val="fr-FR"/>
        </w:rPr>
        <w:t>a pas appliqué la décision de justice établissant un droit de visite et garantissant le droit de sa fille de maintenir des contacts personnels et directs avec lui. Par conséquent, il considère que la plainte est recevable et décide de procéder à son examen au fond.</w:t>
      </w:r>
    </w:p>
    <w:p w:rsidR="007E2A0F" w:rsidRPr="00EC142A" w:rsidRDefault="007E2A0F" w:rsidP="007E2A0F">
      <w:pPr>
        <w:pStyle w:val="SingleTxtG"/>
        <w:rPr>
          <w:i/>
          <w:iCs/>
          <w:lang w:val="fr-FR"/>
        </w:rPr>
      </w:pPr>
      <w:r w:rsidRPr="00EC142A">
        <w:rPr>
          <w:i/>
          <w:iCs/>
          <w:lang w:val="fr-FR"/>
        </w:rPr>
        <w:t>Examen au fond</w:t>
      </w:r>
    </w:p>
    <w:p w:rsidR="007E2A0F" w:rsidRDefault="007E2A0F" w:rsidP="007E2A0F">
      <w:pPr>
        <w:pStyle w:val="SingleTxtG"/>
        <w:rPr>
          <w:lang w:val="fr-FR"/>
        </w:rPr>
      </w:pPr>
      <w:r>
        <w:rPr>
          <w:lang w:val="fr-FR"/>
        </w:rPr>
        <w:t>8.1</w:t>
      </w:r>
      <w:r>
        <w:rPr>
          <w:lang w:val="fr-FR"/>
        </w:rPr>
        <w:tab/>
      </w:r>
      <w:r w:rsidRPr="00BC645B">
        <w:rPr>
          <w:lang w:val="fr-FR"/>
        </w:rPr>
        <w:t xml:space="preserve">Conformément </w:t>
      </w:r>
      <w:r>
        <w:rPr>
          <w:lang w:val="fr-FR"/>
        </w:rPr>
        <w:t>à</w:t>
      </w:r>
      <w:r w:rsidRPr="00BC645B">
        <w:rPr>
          <w:lang w:val="fr-FR"/>
        </w:rPr>
        <w:t xml:space="preserve"> l</w:t>
      </w:r>
      <w:r w:rsidR="008B740A">
        <w:rPr>
          <w:lang w:val="fr-FR"/>
        </w:rPr>
        <w:t>’</w:t>
      </w:r>
      <w:r w:rsidRPr="00BC645B">
        <w:rPr>
          <w:lang w:val="fr-FR"/>
        </w:rPr>
        <w:t>article 10</w:t>
      </w:r>
      <w:r>
        <w:rPr>
          <w:lang w:val="fr-FR"/>
        </w:rPr>
        <w:t xml:space="preserve"> (par.</w:t>
      </w:r>
      <w:r w:rsidR="008B740A">
        <w:rPr>
          <w:lang w:val="fr-FR"/>
        </w:rPr>
        <w:t> </w:t>
      </w:r>
      <w:r>
        <w:rPr>
          <w:lang w:val="fr-FR"/>
        </w:rPr>
        <w:t>1)</w:t>
      </w:r>
      <w:r w:rsidRPr="00BC645B">
        <w:rPr>
          <w:lang w:val="fr-FR"/>
        </w:rPr>
        <w:t xml:space="preserve"> du Protocole facultatif, le Comité a examiné la présente communication en tenant compte de toutes les informations que lui ont communiquées les parties.</w:t>
      </w:r>
    </w:p>
    <w:p w:rsidR="007E2A0F" w:rsidRDefault="007E2A0F" w:rsidP="007E2A0F">
      <w:pPr>
        <w:pStyle w:val="SingleTxtG"/>
        <w:rPr>
          <w:lang w:val="fr-FR"/>
        </w:rPr>
      </w:pPr>
      <w:r>
        <w:rPr>
          <w:lang w:val="fr-FR"/>
        </w:rPr>
        <w:t>8.2</w:t>
      </w:r>
      <w:r>
        <w:rPr>
          <w:lang w:val="fr-FR"/>
        </w:rPr>
        <w:tab/>
        <w:t>Le Comité doit notamment déterminer si, en l</w:t>
      </w:r>
      <w:r w:rsidR="008B740A">
        <w:rPr>
          <w:lang w:val="fr-FR"/>
        </w:rPr>
        <w:t>’</w:t>
      </w:r>
      <w:r>
        <w:rPr>
          <w:lang w:val="fr-FR"/>
        </w:rPr>
        <w:t>espèce, l</w:t>
      </w:r>
      <w:r w:rsidR="008B740A">
        <w:rPr>
          <w:lang w:val="fr-FR"/>
        </w:rPr>
        <w:t>’</w:t>
      </w:r>
      <w:r>
        <w:rPr>
          <w:lang w:val="fr-FR"/>
        </w:rPr>
        <w:t>État partie a adopté des mesures efficaces pour garantir le droit de la fille de l</w:t>
      </w:r>
      <w:r w:rsidR="008B740A">
        <w:rPr>
          <w:lang w:val="fr-FR"/>
        </w:rPr>
        <w:t>’</w:t>
      </w:r>
      <w:r>
        <w:rPr>
          <w:lang w:val="fr-FR"/>
        </w:rPr>
        <w:t>auteur d</w:t>
      </w:r>
      <w:r w:rsidR="008B740A">
        <w:rPr>
          <w:lang w:val="fr-FR"/>
        </w:rPr>
        <w:t>’</w:t>
      </w:r>
      <w:r>
        <w:rPr>
          <w:lang w:val="fr-FR"/>
        </w:rPr>
        <w:t xml:space="preserve">entretenir </w:t>
      </w:r>
      <w:r w:rsidRPr="000234A2">
        <w:rPr>
          <w:lang w:val="fr-FR"/>
        </w:rPr>
        <w:t xml:space="preserve">régulièrement des relations personnelles et des contacts directs </w:t>
      </w:r>
      <w:r>
        <w:rPr>
          <w:lang w:val="fr-FR"/>
        </w:rPr>
        <w:t>avec son père. L</w:t>
      </w:r>
      <w:r w:rsidR="008B740A">
        <w:rPr>
          <w:lang w:val="fr-FR"/>
        </w:rPr>
        <w:t>’</w:t>
      </w:r>
      <w:r>
        <w:rPr>
          <w:lang w:val="fr-FR"/>
        </w:rPr>
        <w:t>auteur affirme en outre que les autorités de l</w:t>
      </w:r>
      <w:r w:rsidR="008B740A">
        <w:rPr>
          <w:lang w:val="fr-FR"/>
        </w:rPr>
        <w:t>’</w:t>
      </w:r>
      <w:r>
        <w:rPr>
          <w:lang w:val="fr-FR"/>
        </w:rPr>
        <w:t>État partie n</w:t>
      </w:r>
      <w:r w:rsidR="008B740A">
        <w:rPr>
          <w:lang w:val="fr-FR"/>
        </w:rPr>
        <w:t>’</w:t>
      </w:r>
      <w:r>
        <w:rPr>
          <w:lang w:val="fr-FR"/>
        </w:rPr>
        <w:t>ont pas tenu compte de l</w:t>
      </w:r>
      <w:r w:rsidR="008B740A">
        <w:rPr>
          <w:lang w:val="fr-FR"/>
        </w:rPr>
        <w:t>’</w:t>
      </w:r>
      <w:r>
        <w:rPr>
          <w:lang w:val="fr-FR"/>
        </w:rPr>
        <w:t>intérêt supérieur de l</w:t>
      </w:r>
      <w:r w:rsidR="008B740A">
        <w:rPr>
          <w:lang w:val="fr-FR"/>
        </w:rPr>
        <w:t>’</w:t>
      </w:r>
      <w:r>
        <w:rPr>
          <w:lang w:val="fr-FR"/>
        </w:rPr>
        <w:t xml:space="preserve">enfant, sachant que la relation de la petite fille avec son père et sa famille est essentielle pour son développement et devrait être une considération primordiale dans les procédures nationales. </w:t>
      </w:r>
    </w:p>
    <w:p w:rsidR="007E2A0F" w:rsidRDefault="007E2A0F" w:rsidP="007E2A0F">
      <w:pPr>
        <w:pStyle w:val="SingleTxtG"/>
        <w:rPr>
          <w:lang w:val="fr-FR"/>
        </w:rPr>
      </w:pPr>
      <w:r>
        <w:rPr>
          <w:lang w:val="fr-FR"/>
        </w:rPr>
        <w:t>8.3</w:t>
      </w:r>
      <w:r>
        <w:rPr>
          <w:lang w:val="fr-FR"/>
        </w:rPr>
        <w:tab/>
      </w:r>
      <w:r w:rsidRPr="00EC142A">
        <w:rPr>
          <w:caps/>
          <w:lang w:val="fr-FR"/>
        </w:rPr>
        <w:t>à</w:t>
      </w:r>
      <w:r>
        <w:rPr>
          <w:lang w:val="fr-FR"/>
        </w:rPr>
        <w:t xml:space="preserve"> cet égard, le Comité prend note en particulier des arguments de l</w:t>
      </w:r>
      <w:r w:rsidR="008B740A">
        <w:rPr>
          <w:lang w:val="fr-FR"/>
        </w:rPr>
        <w:t>’</w:t>
      </w:r>
      <w:r>
        <w:rPr>
          <w:lang w:val="fr-FR"/>
        </w:rPr>
        <w:t xml:space="preserve">auteur selon lesquels : </w:t>
      </w:r>
      <w:r w:rsidRPr="00711EE7">
        <w:rPr>
          <w:lang w:val="fr-FR"/>
        </w:rPr>
        <w:t>a) l</w:t>
      </w:r>
      <w:r w:rsidR="008B740A">
        <w:rPr>
          <w:lang w:val="fr-FR"/>
        </w:rPr>
        <w:t>’</w:t>
      </w:r>
      <w:r w:rsidRPr="00711EE7">
        <w:rPr>
          <w:lang w:val="fr-FR"/>
        </w:rPr>
        <w:t>État partie n</w:t>
      </w:r>
      <w:r w:rsidR="008B740A">
        <w:rPr>
          <w:lang w:val="fr-FR"/>
        </w:rPr>
        <w:t>’</w:t>
      </w:r>
      <w:r w:rsidRPr="00711EE7">
        <w:rPr>
          <w:lang w:val="fr-FR"/>
        </w:rPr>
        <w:t xml:space="preserve">a pas pris les mesures nécessaires pour </w:t>
      </w:r>
      <w:r>
        <w:rPr>
          <w:lang w:val="fr-FR"/>
        </w:rPr>
        <w:t>assurer</w:t>
      </w:r>
      <w:r w:rsidRPr="00711EE7">
        <w:rPr>
          <w:lang w:val="fr-FR"/>
        </w:rPr>
        <w:t xml:space="preserve"> l</w:t>
      </w:r>
      <w:r w:rsidR="008B740A">
        <w:rPr>
          <w:lang w:val="fr-FR"/>
        </w:rPr>
        <w:t>’</w:t>
      </w:r>
      <w:r w:rsidRPr="00711EE7">
        <w:rPr>
          <w:lang w:val="fr-FR"/>
        </w:rPr>
        <w:t xml:space="preserve">exécution du jugement définitif </w:t>
      </w:r>
      <w:r w:rsidRPr="00440C4E">
        <w:rPr>
          <w:rFonts w:eastAsia="MS Mincho"/>
          <w:lang w:val="fr-FR"/>
        </w:rPr>
        <w:t>n</w:t>
      </w:r>
      <w:r w:rsidRPr="00440C4E">
        <w:rPr>
          <w:rFonts w:eastAsia="MS Mincho"/>
          <w:vertAlign w:val="superscript"/>
          <w:lang w:val="fr-FR"/>
        </w:rPr>
        <w:t>o</w:t>
      </w:r>
      <w:r>
        <w:rPr>
          <w:lang w:val="fr-FR"/>
        </w:rPr>
        <w:t> </w:t>
      </w:r>
      <w:r w:rsidRPr="00711EE7">
        <w:rPr>
          <w:lang w:val="fr-FR"/>
        </w:rPr>
        <w:t>139 du 30</w:t>
      </w:r>
      <w:r w:rsidR="008B740A">
        <w:rPr>
          <w:lang w:val="fr-FR"/>
        </w:rPr>
        <w:t> </w:t>
      </w:r>
      <w:r w:rsidRPr="00711EE7">
        <w:rPr>
          <w:lang w:val="fr-FR"/>
        </w:rPr>
        <w:t xml:space="preserve">avril 2015 </w:t>
      </w:r>
      <w:r>
        <w:rPr>
          <w:lang w:val="fr-FR"/>
        </w:rPr>
        <w:t>régissant les visites et les autres formes de contact entre l</w:t>
      </w:r>
      <w:r w:rsidR="008B740A">
        <w:rPr>
          <w:lang w:val="fr-FR"/>
        </w:rPr>
        <w:t>’</w:t>
      </w:r>
      <w:r>
        <w:rPr>
          <w:lang w:val="fr-FR"/>
        </w:rPr>
        <w:t>auteur et sa fille</w:t>
      </w:r>
      <w:r w:rsidRPr="00711EE7">
        <w:rPr>
          <w:lang w:val="fr-FR"/>
        </w:rPr>
        <w:t xml:space="preserve">, </w:t>
      </w:r>
      <w:r>
        <w:rPr>
          <w:lang w:val="fr-FR"/>
        </w:rPr>
        <w:t xml:space="preserve">et </w:t>
      </w:r>
      <w:r w:rsidRPr="00711EE7">
        <w:rPr>
          <w:lang w:val="fr-FR"/>
        </w:rPr>
        <w:t xml:space="preserve">les effets </w:t>
      </w:r>
      <w:r>
        <w:rPr>
          <w:lang w:val="fr-FR"/>
        </w:rPr>
        <w:t>de cette décision ont persisté</w:t>
      </w:r>
      <w:r w:rsidRPr="00711EE7">
        <w:rPr>
          <w:lang w:val="fr-FR"/>
        </w:rPr>
        <w:t xml:space="preserve"> au-delà du 20</w:t>
      </w:r>
      <w:r>
        <w:rPr>
          <w:lang w:val="fr-FR"/>
        </w:rPr>
        <w:t> </w:t>
      </w:r>
      <w:r w:rsidRPr="00711EE7">
        <w:rPr>
          <w:lang w:val="fr-FR"/>
        </w:rPr>
        <w:t>avril 2017, date de l</w:t>
      </w:r>
      <w:r w:rsidR="008B740A">
        <w:rPr>
          <w:lang w:val="fr-FR"/>
        </w:rPr>
        <w:t>’</w:t>
      </w:r>
      <w:r w:rsidRPr="00711EE7">
        <w:rPr>
          <w:lang w:val="fr-FR"/>
        </w:rPr>
        <w:t xml:space="preserve">entrée en vigueur du Protocole </w:t>
      </w:r>
      <w:r>
        <w:rPr>
          <w:lang w:val="fr-FR"/>
        </w:rPr>
        <w:t>pour</w:t>
      </w:r>
      <w:r w:rsidRPr="00711EE7">
        <w:rPr>
          <w:lang w:val="fr-FR"/>
        </w:rPr>
        <w:t xml:space="preserve"> l</w:t>
      </w:r>
      <w:r w:rsidR="008B740A">
        <w:rPr>
          <w:lang w:val="fr-FR"/>
        </w:rPr>
        <w:t>’</w:t>
      </w:r>
      <w:r w:rsidRPr="00711EE7">
        <w:rPr>
          <w:lang w:val="fr-FR"/>
        </w:rPr>
        <w:t>État partie</w:t>
      </w:r>
      <w:r>
        <w:rPr>
          <w:lang w:val="fr-FR"/>
        </w:rPr>
        <w:t> ;</w:t>
      </w:r>
      <w:r w:rsidRPr="00711EE7">
        <w:rPr>
          <w:lang w:val="fr-FR"/>
        </w:rPr>
        <w:t xml:space="preserve"> b)</w:t>
      </w:r>
      <w:r>
        <w:rPr>
          <w:lang w:val="fr-FR"/>
        </w:rPr>
        <w:t> </w:t>
      </w:r>
      <w:r w:rsidRPr="00711EE7">
        <w:rPr>
          <w:lang w:val="fr-FR"/>
        </w:rPr>
        <w:t>l</w:t>
      </w:r>
      <w:r w:rsidR="008B740A">
        <w:rPr>
          <w:lang w:val="fr-FR"/>
        </w:rPr>
        <w:t>’</w:t>
      </w:r>
      <w:r w:rsidRPr="00711EE7">
        <w:rPr>
          <w:lang w:val="fr-FR"/>
        </w:rPr>
        <w:t>auteur a dû former divers recours pour retard dans l</w:t>
      </w:r>
      <w:r w:rsidR="008B740A">
        <w:rPr>
          <w:lang w:val="fr-FR"/>
        </w:rPr>
        <w:t>’</w:t>
      </w:r>
      <w:r w:rsidRPr="00711EE7">
        <w:rPr>
          <w:lang w:val="fr-FR"/>
        </w:rPr>
        <w:t>administration de la justice contre les tribunaux de première et de seconde instances</w:t>
      </w:r>
      <w:r>
        <w:rPr>
          <w:lang w:val="fr-FR"/>
        </w:rPr>
        <w:t> ;</w:t>
      </w:r>
      <w:r w:rsidRPr="00711EE7">
        <w:rPr>
          <w:lang w:val="fr-FR"/>
        </w:rPr>
        <w:t xml:space="preserve"> c)</w:t>
      </w:r>
      <w:r>
        <w:rPr>
          <w:lang w:val="fr-FR"/>
        </w:rPr>
        <w:t> en dépit du rapport soumis par l</w:t>
      </w:r>
      <w:r w:rsidR="008B740A">
        <w:rPr>
          <w:lang w:val="fr-FR"/>
        </w:rPr>
        <w:t>’</w:t>
      </w:r>
      <w:r>
        <w:rPr>
          <w:lang w:val="fr-FR"/>
        </w:rPr>
        <w:t xml:space="preserve">assistante sociale, </w:t>
      </w:r>
      <w:r w:rsidRPr="00711EE7">
        <w:rPr>
          <w:lang w:val="fr-FR"/>
        </w:rPr>
        <w:t xml:space="preserve">les </w:t>
      </w:r>
      <w:r w:rsidRPr="00711EE7">
        <w:rPr>
          <w:lang w:val="fr-FR"/>
        </w:rPr>
        <w:lastRenderedPageBreak/>
        <w:t>autorités de l</w:t>
      </w:r>
      <w:r w:rsidR="008B740A">
        <w:rPr>
          <w:lang w:val="fr-FR"/>
        </w:rPr>
        <w:t>’</w:t>
      </w:r>
      <w:r w:rsidRPr="00711EE7">
        <w:rPr>
          <w:lang w:val="fr-FR"/>
        </w:rPr>
        <w:t>État partie n</w:t>
      </w:r>
      <w:r w:rsidR="008B740A">
        <w:rPr>
          <w:lang w:val="fr-FR"/>
        </w:rPr>
        <w:t>’</w:t>
      </w:r>
      <w:r w:rsidRPr="00711EE7">
        <w:rPr>
          <w:lang w:val="fr-FR"/>
        </w:rPr>
        <w:t xml:space="preserve">ont pris aucune des mesures prévues par la législation </w:t>
      </w:r>
      <w:r>
        <w:rPr>
          <w:lang w:val="fr-FR"/>
        </w:rPr>
        <w:t>pour</w:t>
      </w:r>
      <w:r w:rsidRPr="00711EE7">
        <w:rPr>
          <w:lang w:val="fr-FR"/>
        </w:rPr>
        <w:t xml:space="preserve"> garantir la bonne exécution </w:t>
      </w:r>
      <w:r>
        <w:rPr>
          <w:lang w:val="fr-FR"/>
        </w:rPr>
        <w:t>du</w:t>
      </w:r>
      <w:r w:rsidRPr="00711EE7">
        <w:rPr>
          <w:lang w:val="fr-FR"/>
        </w:rPr>
        <w:t xml:space="preserve"> jugement définitif </w:t>
      </w:r>
      <w:r w:rsidRPr="00440C4E">
        <w:rPr>
          <w:rFonts w:eastAsia="MS Mincho"/>
          <w:lang w:val="fr-FR"/>
        </w:rPr>
        <w:t>n</w:t>
      </w:r>
      <w:r w:rsidRPr="00440C4E">
        <w:rPr>
          <w:rFonts w:eastAsia="MS Mincho"/>
          <w:vertAlign w:val="superscript"/>
          <w:lang w:val="fr-FR"/>
        </w:rPr>
        <w:t>o</w:t>
      </w:r>
      <w:r>
        <w:rPr>
          <w:lang w:val="fr-FR"/>
        </w:rPr>
        <w:t> </w:t>
      </w:r>
      <w:r w:rsidRPr="00711EE7">
        <w:rPr>
          <w:lang w:val="fr-FR"/>
        </w:rPr>
        <w:t>139 du 30</w:t>
      </w:r>
      <w:r>
        <w:rPr>
          <w:lang w:val="fr-FR"/>
        </w:rPr>
        <w:t> </w:t>
      </w:r>
      <w:r w:rsidRPr="00711EE7">
        <w:rPr>
          <w:lang w:val="fr-FR"/>
        </w:rPr>
        <w:t>avril 2015</w:t>
      </w:r>
      <w:r>
        <w:rPr>
          <w:lang w:val="fr-FR"/>
        </w:rPr>
        <w:t xml:space="preserve"> (par.</w:t>
      </w:r>
      <w:r w:rsidR="008B740A">
        <w:rPr>
          <w:lang w:val="fr-FR"/>
        </w:rPr>
        <w:t> </w:t>
      </w:r>
      <w:r>
        <w:rPr>
          <w:lang w:val="fr-FR"/>
        </w:rPr>
        <w:t xml:space="preserve">3.9, </w:t>
      </w:r>
      <w:r w:rsidRPr="00EC142A">
        <w:rPr>
          <w:i/>
          <w:iCs/>
          <w:lang w:val="fr-FR"/>
        </w:rPr>
        <w:t>supra</w:t>
      </w:r>
      <w:r>
        <w:rPr>
          <w:lang w:val="fr-FR"/>
        </w:rPr>
        <w:t>)</w:t>
      </w:r>
      <w:r w:rsidRPr="00711EE7">
        <w:rPr>
          <w:lang w:val="fr-FR"/>
        </w:rPr>
        <w:t xml:space="preserve">. </w:t>
      </w:r>
    </w:p>
    <w:p w:rsidR="007E2A0F" w:rsidRDefault="007E2A0F" w:rsidP="007E2A0F">
      <w:pPr>
        <w:pStyle w:val="SingleTxtG"/>
        <w:rPr>
          <w:lang w:val="fr-FR"/>
        </w:rPr>
      </w:pPr>
      <w:r>
        <w:rPr>
          <w:lang w:val="fr-FR"/>
        </w:rPr>
        <w:t>8.4</w:t>
      </w:r>
      <w:r>
        <w:rPr>
          <w:lang w:val="fr-FR"/>
        </w:rPr>
        <w:tab/>
        <w:t>Conformément à l</w:t>
      </w:r>
      <w:r w:rsidR="008B740A">
        <w:rPr>
          <w:lang w:val="fr-FR"/>
        </w:rPr>
        <w:t>’</w:t>
      </w:r>
      <w:r>
        <w:rPr>
          <w:lang w:val="fr-FR"/>
        </w:rPr>
        <w:t>article 9 (par.</w:t>
      </w:r>
      <w:r w:rsidR="008B740A">
        <w:rPr>
          <w:lang w:val="fr-FR"/>
        </w:rPr>
        <w:t> </w:t>
      </w:r>
      <w:r>
        <w:rPr>
          <w:lang w:val="fr-FR"/>
        </w:rPr>
        <w:t>3) de la Convention, les États parties ont l</w:t>
      </w:r>
      <w:r w:rsidR="008B740A">
        <w:rPr>
          <w:lang w:val="fr-FR"/>
        </w:rPr>
        <w:t>’</w:t>
      </w:r>
      <w:r>
        <w:rPr>
          <w:lang w:val="fr-FR"/>
        </w:rPr>
        <w:t xml:space="preserve">obligation de respecter le droit </w:t>
      </w:r>
      <w:r w:rsidRPr="000B5F54">
        <w:rPr>
          <w:lang w:val="fr-FR"/>
        </w:rPr>
        <w:t>de l</w:t>
      </w:r>
      <w:r w:rsidR="008B740A">
        <w:rPr>
          <w:lang w:val="fr-FR"/>
        </w:rPr>
        <w:t>’</w:t>
      </w:r>
      <w:r w:rsidRPr="000B5F54">
        <w:rPr>
          <w:lang w:val="fr-FR"/>
        </w:rPr>
        <w:t>enfant séparé de ses deux parents ou de l</w:t>
      </w:r>
      <w:r w:rsidR="008B740A">
        <w:rPr>
          <w:lang w:val="fr-FR"/>
        </w:rPr>
        <w:t>’</w:t>
      </w:r>
      <w:r w:rsidRPr="000B5F54">
        <w:rPr>
          <w:lang w:val="fr-FR"/>
        </w:rPr>
        <w:t>un d</w:t>
      </w:r>
      <w:r w:rsidR="008B740A">
        <w:rPr>
          <w:lang w:val="fr-FR"/>
        </w:rPr>
        <w:t>’</w:t>
      </w:r>
      <w:r w:rsidRPr="000B5F54">
        <w:rPr>
          <w:lang w:val="fr-FR"/>
        </w:rPr>
        <w:t>eux d</w:t>
      </w:r>
      <w:r w:rsidR="008B740A">
        <w:rPr>
          <w:lang w:val="fr-FR"/>
        </w:rPr>
        <w:t>’</w:t>
      </w:r>
      <w:r w:rsidRPr="000B5F54">
        <w:rPr>
          <w:lang w:val="fr-FR"/>
        </w:rPr>
        <w:t>entretenir régulièrement des relations personnelles et des contacts directs avec ses deux parents, sauf si cela est contraire à l</w:t>
      </w:r>
      <w:r w:rsidR="008B740A">
        <w:rPr>
          <w:lang w:val="fr-FR"/>
        </w:rPr>
        <w:t>’</w:t>
      </w:r>
      <w:r w:rsidRPr="000B5F54">
        <w:rPr>
          <w:lang w:val="fr-FR"/>
        </w:rPr>
        <w:t>intérêt supérieur de l</w:t>
      </w:r>
      <w:r w:rsidR="008B740A">
        <w:rPr>
          <w:lang w:val="fr-FR"/>
        </w:rPr>
        <w:t>’</w:t>
      </w:r>
      <w:r w:rsidRPr="000B5F54">
        <w:rPr>
          <w:lang w:val="fr-FR"/>
        </w:rPr>
        <w:t>enfant</w:t>
      </w:r>
      <w:r>
        <w:rPr>
          <w:lang w:val="fr-FR"/>
        </w:rPr>
        <w:t> :</w:t>
      </w:r>
    </w:p>
    <w:p w:rsidR="007E2A0F" w:rsidRDefault="007E2A0F" w:rsidP="008B740A">
      <w:pPr>
        <w:pStyle w:val="SingleTxtG"/>
        <w:ind w:left="1701" w:firstLine="567"/>
        <w:rPr>
          <w:lang w:val="fr-FR"/>
        </w:rPr>
      </w:pPr>
      <w:r w:rsidRPr="00EF7086">
        <w:rPr>
          <w:lang w:val="fr-FR"/>
        </w:rPr>
        <w:t>La préservation du milieu familial englobe la préservation des attaches de l</w:t>
      </w:r>
      <w:r w:rsidR="008B740A">
        <w:rPr>
          <w:lang w:val="fr-FR"/>
        </w:rPr>
        <w:t>’</w:t>
      </w:r>
      <w:r w:rsidRPr="00EF7086">
        <w:rPr>
          <w:lang w:val="fr-FR"/>
        </w:rPr>
        <w:t>enfant</w:t>
      </w:r>
      <w:r w:rsidRPr="004D4BCC">
        <w:rPr>
          <w:lang w:val="fr-FR"/>
        </w:rPr>
        <w:t xml:space="preserve"> </w:t>
      </w:r>
      <w:r w:rsidRPr="00EF7086">
        <w:rPr>
          <w:lang w:val="fr-FR"/>
        </w:rPr>
        <w:t xml:space="preserve">au sens large. Ces attaches </w:t>
      </w:r>
      <w:r>
        <w:rPr>
          <w:lang w:val="fr-FR"/>
        </w:rPr>
        <w:t xml:space="preserve">[…] ont </w:t>
      </w:r>
      <w:r w:rsidRPr="00EF7086">
        <w:rPr>
          <w:lang w:val="fr-FR"/>
        </w:rPr>
        <w:t>une importance particulière si les parents sont séparés et vivent dans des lieux différents</w:t>
      </w:r>
      <w:r>
        <w:rPr>
          <w:rStyle w:val="Appelnotedebasdep"/>
        </w:rPr>
        <w:footnoteReference w:id="30"/>
      </w:r>
      <w:r w:rsidRPr="00EF7086">
        <w:rPr>
          <w:lang w:val="fr-FR"/>
        </w:rPr>
        <w:t>.</w:t>
      </w:r>
    </w:p>
    <w:p w:rsidR="007E2A0F" w:rsidRDefault="007E2A0F" w:rsidP="007E2A0F">
      <w:pPr>
        <w:pStyle w:val="SingleTxtG"/>
        <w:rPr>
          <w:lang w:val="fr-FR"/>
        </w:rPr>
      </w:pPr>
      <w:r>
        <w:rPr>
          <w:lang w:val="fr-FR"/>
        </w:rPr>
        <w:t>Par conséquent, le Comité doit déterminer si les autorités de l</w:t>
      </w:r>
      <w:r w:rsidR="008B740A">
        <w:rPr>
          <w:lang w:val="fr-FR"/>
        </w:rPr>
        <w:t>’</w:t>
      </w:r>
      <w:r>
        <w:rPr>
          <w:lang w:val="fr-FR"/>
        </w:rPr>
        <w:t>État partie ont pris des mesures efficaces pour préserver les relations personnelles et les contacts entre l</w:t>
      </w:r>
      <w:r w:rsidR="008B740A">
        <w:rPr>
          <w:lang w:val="fr-FR"/>
        </w:rPr>
        <w:t>’</w:t>
      </w:r>
      <w:r>
        <w:rPr>
          <w:lang w:val="fr-FR"/>
        </w:rPr>
        <w:t>auteur et sa fille.</w:t>
      </w:r>
    </w:p>
    <w:p w:rsidR="007E2A0F" w:rsidRDefault="007E2A0F" w:rsidP="007E2A0F">
      <w:pPr>
        <w:pStyle w:val="SingleTxtG"/>
        <w:rPr>
          <w:lang w:val="fr-FR"/>
        </w:rPr>
      </w:pPr>
      <w:r>
        <w:rPr>
          <w:lang w:val="fr-FR"/>
        </w:rPr>
        <w:t>8.5</w:t>
      </w:r>
      <w:r>
        <w:rPr>
          <w:lang w:val="fr-FR"/>
        </w:rPr>
        <w:tab/>
      </w:r>
      <w:r w:rsidRPr="006C4AC3">
        <w:rPr>
          <w:lang w:val="fr-FR"/>
        </w:rPr>
        <w:t>Le Comité rappelle qu</w:t>
      </w:r>
      <w:r w:rsidR="008B740A">
        <w:rPr>
          <w:lang w:val="fr-FR"/>
        </w:rPr>
        <w:t>’</w:t>
      </w:r>
      <w:r w:rsidRPr="006C4AC3">
        <w:rPr>
          <w:lang w:val="fr-FR"/>
        </w:rPr>
        <w:t>en règle générale, il est de la compétence des autorités nationales d</w:t>
      </w:r>
      <w:r w:rsidR="008B740A">
        <w:rPr>
          <w:lang w:val="fr-FR"/>
        </w:rPr>
        <w:t>’</w:t>
      </w:r>
      <w:r w:rsidRPr="006C4AC3">
        <w:rPr>
          <w:lang w:val="fr-FR"/>
        </w:rPr>
        <w:t>interpréter et d</w:t>
      </w:r>
      <w:r w:rsidR="008B740A">
        <w:rPr>
          <w:lang w:val="fr-FR"/>
        </w:rPr>
        <w:t>’</w:t>
      </w:r>
      <w:r w:rsidRPr="006C4AC3">
        <w:rPr>
          <w:lang w:val="fr-FR"/>
        </w:rPr>
        <w:t>appliquer la législation nationale, à moins qu</w:t>
      </w:r>
      <w:r w:rsidR="008B740A">
        <w:rPr>
          <w:lang w:val="fr-FR"/>
        </w:rPr>
        <w:t>’</w:t>
      </w:r>
      <w:r w:rsidRPr="006C4AC3">
        <w:rPr>
          <w:lang w:val="fr-FR"/>
        </w:rPr>
        <w:t>un tel examen ne soit manifestement arbitraire ou constitue un déni de justice</w:t>
      </w:r>
      <w:r>
        <w:rPr>
          <w:rStyle w:val="Appelnotedebasdep"/>
        </w:rPr>
        <w:footnoteReference w:id="31"/>
      </w:r>
      <w:r>
        <w:rPr>
          <w:lang w:val="fr-FR"/>
        </w:rPr>
        <w:t>.</w:t>
      </w:r>
      <w:r w:rsidRPr="006C4AC3">
        <w:rPr>
          <w:lang w:val="fr-FR"/>
        </w:rPr>
        <w:t xml:space="preserve"> </w:t>
      </w:r>
      <w:r>
        <w:rPr>
          <w:lang w:val="fr-FR"/>
        </w:rPr>
        <w:t>Il</w:t>
      </w:r>
      <w:r w:rsidRPr="006C4AC3">
        <w:rPr>
          <w:lang w:val="fr-FR"/>
        </w:rPr>
        <w:t xml:space="preserve"> appartient </w:t>
      </w:r>
      <w:r>
        <w:rPr>
          <w:lang w:val="fr-FR"/>
        </w:rPr>
        <w:t>au Comité</w:t>
      </w:r>
      <w:r w:rsidRPr="006C4AC3">
        <w:rPr>
          <w:lang w:val="fr-FR"/>
        </w:rPr>
        <w:t xml:space="preserve"> de vérifier </w:t>
      </w:r>
      <w:r>
        <w:rPr>
          <w:lang w:val="fr-FR"/>
        </w:rPr>
        <w:t>qu</w:t>
      </w:r>
      <w:r w:rsidR="008B740A">
        <w:rPr>
          <w:lang w:val="fr-FR"/>
        </w:rPr>
        <w:t>’</w:t>
      </w:r>
      <w:r>
        <w:rPr>
          <w:lang w:val="fr-FR"/>
        </w:rPr>
        <w:t>il n</w:t>
      </w:r>
      <w:r w:rsidR="008B740A">
        <w:rPr>
          <w:lang w:val="fr-FR"/>
        </w:rPr>
        <w:t>’</w:t>
      </w:r>
      <w:r>
        <w:rPr>
          <w:lang w:val="fr-FR"/>
        </w:rPr>
        <w:t>y a pas eu</w:t>
      </w:r>
      <w:r w:rsidRPr="006C4AC3">
        <w:rPr>
          <w:lang w:val="fr-FR"/>
        </w:rPr>
        <w:t xml:space="preserve"> d</w:t>
      </w:r>
      <w:r w:rsidR="008B740A">
        <w:rPr>
          <w:lang w:val="fr-FR"/>
        </w:rPr>
        <w:t>’</w:t>
      </w:r>
      <w:r w:rsidRPr="006C4AC3">
        <w:rPr>
          <w:lang w:val="fr-FR"/>
        </w:rPr>
        <w:t>arbitraire ou de déni de justice dans l</w:t>
      </w:r>
      <w:r w:rsidR="008B740A">
        <w:rPr>
          <w:lang w:val="fr-FR"/>
        </w:rPr>
        <w:t>’</w:t>
      </w:r>
      <w:r w:rsidRPr="006C4AC3">
        <w:rPr>
          <w:lang w:val="fr-FR"/>
        </w:rPr>
        <w:t xml:space="preserve">évaluation à laquelle ont procédé les autorités et </w:t>
      </w:r>
      <w:r>
        <w:rPr>
          <w:lang w:val="fr-FR"/>
        </w:rPr>
        <w:t>de s</w:t>
      </w:r>
      <w:r w:rsidR="008B740A">
        <w:rPr>
          <w:lang w:val="fr-FR"/>
        </w:rPr>
        <w:t>’</w:t>
      </w:r>
      <w:r>
        <w:rPr>
          <w:lang w:val="fr-FR"/>
        </w:rPr>
        <w:t>assurer</w:t>
      </w:r>
      <w:r w:rsidRPr="006C4AC3">
        <w:rPr>
          <w:lang w:val="fr-FR"/>
        </w:rPr>
        <w:t xml:space="preserve"> que l</w:t>
      </w:r>
      <w:r w:rsidR="008B740A">
        <w:rPr>
          <w:lang w:val="fr-FR"/>
        </w:rPr>
        <w:t>’</w:t>
      </w:r>
      <w:r w:rsidRPr="006C4AC3">
        <w:rPr>
          <w:lang w:val="fr-FR"/>
        </w:rPr>
        <w:t>intérêt supérieur de l</w:t>
      </w:r>
      <w:r w:rsidR="008B740A">
        <w:rPr>
          <w:lang w:val="fr-FR"/>
        </w:rPr>
        <w:t>’</w:t>
      </w:r>
      <w:r w:rsidRPr="006C4AC3">
        <w:rPr>
          <w:lang w:val="fr-FR"/>
        </w:rPr>
        <w:t xml:space="preserve">enfant </w:t>
      </w:r>
      <w:r>
        <w:rPr>
          <w:lang w:val="fr-FR"/>
        </w:rPr>
        <w:t>a été</w:t>
      </w:r>
      <w:r w:rsidRPr="006C4AC3">
        <w:rPr>
          <w:lang w:val="fr-FR"/>
        </w:rPr>
        <w:t xml:space="preserve"> une considération primordiale</w:t>
      </w:r>
      <w:r>
        <w:rPr>
          <w:lang w:val="fr-FR"/>
        </w:rPr>
        <w:t xml:space="preserve"> dans cette évaluation</w:t>
      </w:r>
      <w:r w:rsidRPr="006C4AC3">
        <w:rPr>
          <w:lang w:val="fr-FR"/>
        </w:rPr>
        <w:t>.</w:t>
      </w:r>
    </w:p>
    <w:p w:rsidR="007E2A0F" w:rsidRDefault="007E2A0F" w:rsidP="007E2A0F">
      <w:pPr>
        <w:pStyle w:val="SingleTxtG"/>
        <w:rPr>
          <w:lang w:val="fr-FR"/>
        </w:rPr>
      </w:pPr>
      <w:r>
        <w:rPr>
          <w:lang w:val="fr-FR"/>
        </w:rPr>
        <w:t>8.6</w:t>
      </w:r>
      <w:r>
        <w:rPr>
          <w:lang w:val="fr-FR"/>
        </w:rPr>
        <w:tab/>
        <w:t>À cet égard, le Comité note qu</w:t>
      </w:r>
      <w:r w:rsidR="008B740A">
        <w:rPr>
          <w:lang w:val="fr-FR"/>
        </w:rPr>
        <w:t>’</w:t>
      </w:r>
      <w:r>
        <w:rPr>
          <w:lang w:val="fr-FR"/>
        </w:rPr>
        <w:t>un régime de visites a été établi pour l</w:t>
      </w:r>
      <w:r w:rsidR="008B740A">
        <w:rPr>
          <w:lang w:val="fr-FR"/>
        </w:rPr>
        <w:t>’</w:t>
      </w:r>
      <w:r>
        <w:rPr>
          <w:lang w:val="fr-FR"/>
        </w:rPr>
        <w:t xml:space="preserve">auteur et sa fille en application de la décision </w:t>
      </w:r>
      <w:r w:rsidR="008B740A" w:rsidRPr="008B740A">
        <w:rPr>
          <w:rFonts w:eastAsia="MS Mincho"/>
          <w:szCs w:val="22"/>
          <w:lang w:val="fr-FR"/>
        </w:rPr>
        <w:t>n</w:t>
      </w:r>
      <w:r w:rsidR="008B740A" w:rsidRPr="008B740A">
        <w:rPr>
          <w:rFonts w:eastAsia="MS Mincho"/>
          <w:szCs w:val="22"/>
          <w:vertAlign w:val="superscript"/>
          <w:lang w:val="fr-FR"/>
        </w:rPr>
        <w:t>o</w:t>
      </w:r>
      <w:r w:rsidR="008B740A">
        <w:rPr>
          <w:lang w:val="fr-FR"/>
        </w:rPr>
        <w:t> </w:t>
      </w:r>
      <w:r>
        <w:rPr>
          <w:lang w:val="fr-FR"/>
        </w:rPr>
        <w:t>139 du 30</w:t>
      </w:r>
      <w:r w:rsidR="008B740A">
        <w:rPr>
          <w:lang w:val="fr-FR"/>
        </w:rPr>
        <w:t> </w:t>
      </w:r>
      <w:r>
        <w:rPr>
          <w:lang w:val="fr-FR"/>
        </w:rPr>
        <w:t>avril 2015. Cependant, malgré les demandes répétées présentées par l</w:t>
      </w:r>
      <w:r w:rsidR="008B740A">
        <w:rPr>
          <w:lang w:val="fr-FR"/>
        </w:rPr>
        <w:t>’</w:t>
      </w:r>
      <w:r>
        <w:rPr>
          <w:lang w:val="fr-FR"/>
        </w:rPr>
        <w:t>auteur au fil des ans pour que cette décision soit exécutée, et malgré une décision de justice du 25</w:t>
      </w:r>
      <w:r w:rsidR="008B740A">
        <w:rPr>
          <w:lang w:val="fr-FR"/>
        </w:rPr>
        <w:t> </w:t>
      </w:r>
      <w:r>
        <w:rPr>
          <w:lang w:val="fr-FR"/>
        </w:rPr>
        <w:t>avril 2017 ordonnant à la mère de faciliter les conversations entre C.</w:t>
      </w:r>
      <w:r w:rsidR="008B740A">
        <w:rPr>
          <w:lang w:val="fr-FR"/>
        </w:rPr>
        <w:t> </w:t>
      </w:r>
      <w:r>
        <w:rPr>
          <w:lang w:val="fr-FR"/>
        </w:rPr>
        <w:t>R. et l</w:t>
      </w:r>
      <w:r w:rsidR="008B740A">
        <w:rPr>
          <w:lang w:val="fr-FR"/>
        </w:rPr>
        <w:t>’</w:t>
      </w:r>
      <w:r>
        <w:rPr>
          <w:lang w:val="fr-FR"/>
        </w:rPr>
        <w:t>auteur sur Skype, la décision n</w:t>
      </w:r>
      <w:r w:rsidR="008B740A">
        <w:rPr>
          <w:lang w:val="fr-FR"/>
        </w:rPr>
        <w:t>’</w:t>
      </w:r>
      <w:r>
        <w:rPr>
          <w:lang w:val="fr-FR"/>
        </w:rPr>
        <w:t>a pas été exécutée. Le Comité prend également note de l</w:t>
      </w:r>
      <w:r w:rsidR="008B740A">
        <w:rPr>
          <w:lang w:val="fr-FR"/>
        </w:rPr>
        <w:t>’</w:t>
      </w:r>
      <w:r>
        <w:rPr>
          <w:lang w:val="fr-FR"/>
        </w:rPr>
        <w:t>argument de l</w:t>
      </w:r>
      <w:r w:rsidR="008B740A">
        <w:rPr>
          <w:lang w:val="fr-FR"/>
        </w:rPr>
        <w:t>’</w:t>
      </w:r>
      <w:r>
        <w:rPr>
          <w:lang w:val="fr-FR"/>
        </w:rPr>
        <w:t>auteur, non contesté par l</w:t>
      </w:r>
      <w:r w:rsidR="008B740A">
        <w:rPr>
          <w:lang w:val="fr-FR"/>
        </w:rPr>
        <w:t>’</w:t>
      </w:r>
      <w:r>
        <w:rPr>
          <w:lang w:val="fr-FR"/>
        </w:rPr>
        <w:t>État partie, selon lequel, en dépit de la décision de mai 2016 ordonnant l</w:t>
      </w:r>
      <w:r w:rsidR="008B740A">
        <w:rPr>
          <w:lang w:val="fr-FR"/>
        </w:rPr>
        <w:t>’</w:t>
      </w:r>
      <w:r>
        <w:rPr>
          <w:lang w:val="fr-FR"/>
        </w:rPr>
        <w:t>intervention d</w:t>
      </w:r>
      <w:r w:rsidR="008B740A">
        <w:rPr>
          <w:lang w:val="fr-FR"/>
        </w:rPr>
        <w:t>’</w:t>
      </w:r>
      <w:r>
        <w:rPr>
          <w:lang w:val="fr-FR"/>
        </w:rPr>
        <w:t>une assistante sociale et de la décision du 8</w:t>
      </w:r>
      <w:r w:rsidR="008B740A">
        <w:rPr>
          <w:lang w:val="fr-FR"/>
        </w:rPr>
        <w:t> </w:t>
      </w:r>
      <w:r>
        <w:rPr>
          <w:lang w:val="fr-FR"/>
        </w:rPr>
        <w:t>juillet 2019</w:t>
      </w:r>
      <w:r w:rsidRPr="00140E14">
        <w:t xml:space="preserve"> </w:t>
      </w:r>
      <w:r>
        <w:t xml:space="preserve">autorisant </w:t>
      </w:r>
      <w:r w:rsidRPr="00140E14">
        <w:rPr>
          <w:lang w:val="fr-FR"/>
        </w:rPr>
        <w:t>à titre de mesure provisoire</w:t>
      </w:r>
      <w:r>
        <w:rPr>
          <w:lang w:val="fr-FR"/>
        </w:rPr>
        <w:t xml:space="preserve"> l</w:t>
      </w:r>
      <w:r w:rsidRPr="00140E14">
        <w:rPr>
          <w:lang w:val="fr-FR"/>
        </w:rPr>
        <w:t>a communication entre père et fille par l</w:t>
      </w:r>
      <w:r w:rsidR="008B740A">
        <w:rPr>
          <w:lang w:val="fr-FR"/>
        </w:rPr>
        <w:t>’</w:t>
      </w:r>
      <w:r w:rsidRPr="00140E14">
        <w:rPr>
          <w:lang w:val="fr-FR"/>
        </w:rPr>
        <w:t xml:space="preserve">intermédiaire du </w:t>
      </w:r>
      <w:proofErr w:type="spellStart"/>
      <w:r w:rsidRPr="00140E14">
        <w:rPr>
          <w:lang w:val="fr-FR"/>
        </w:rPr>
        <w:t>Colegio</w:t>
      </w:r>
      <w:proofErr w:type="spellEnd"/>
      <w:r w:rsidRPr="00140E14">
        <w:rPr>
          <w:lang w:val="fr-FR"/>
        </w:rPr>
        <w:t xml:space="preserve"> San José</w:t>
      </w:r>
      <w:r>
        <w:rPr>
          <w:lang w:val="fr-FR"/>
        </w:rPr>
        <w:t>, C.</w:t>
      </w:r>
      <w:r w:rsidR="008B740A">
        <w:rPr>
          <w:lang w:val="fr-FR"/>
        </w:rPr>
        <w:t> </w:t>
      </w:r>
      <w:r>
        <w:rPr>
          <w:lang w:val="fr-FR"/>
        </w:rPr>
        <w:t>R. n</w:t>
      </w:r>
      <w:r w:rsidR="008B740A">
        <w:rPr>
          <w:lang w:val="fr-FR"/>
        </w:rPr>
        <w:t>’</w:t>
      </w:r>
      <w:r>
        <w:rPr>
          <w:lang w:val="fr-FR"/>
        </w:rPr>
        <w:t xml:space="preserve">a pas pu exercer son droit à maintenir des contacts directs, personnels et réguliers avec son père pendant plus de quatre ans. </w:t>
      </w:r>
    </w:p>
    <w:p w:rsidR="007E2A0F" w:rsidRDefault="007E2A0F" w:rsidP="007E2A0F">
      <w:pPr>
        <w:pStyle w:val="SingleTxtG"/>
        <w:rPr>
          <w:lang w:val="fr-FR"/>
        </w:rPr>
      </w:pPr>
      <w:r>
        <w:rPr>
          <w:lang w:val="fr-FR"/>
        </w:rPr>
        <w:t>8.7</w:t>
      </w:r>
      <w:r>
        <w:rPr>
          <w:lang w:val="fr-FR"/>
        </w:rPr>
        <w:tab/>
        <w:t xml:space="preserve">Le Comité considère </w:t>
      </w:r>
      <w:r w:rsidRPr="00017057">
        <w:rPr>
          <w:lang w:val="fr-FR"/>
        </w:rPr>
        <w:t xml:space="preserve">que les procédures judiciaires </w:t>
      </w:r>
      <w:r>
        <w:rPr>
          <w:lang w:val="fr-FR"/>
        </w:rPr>
        <w:t>portant sur les</w:t>
      </w:r>
      <w:r w:rsidRPr="00017057">
        <w:rPr>
          <w:lang w:val="fr-FR"/>
        </w:rPr>
        <w:t xml:space="preserve"> droits de visite entre un enfant et un parent dont il est séparé doivent être </w:t>
      </w:r>
      <w:r>
        <w:rPr>
          <w:lang w:val="fr-FR"/>
        </w:rPr>
        <w:t>menées rapidement</w:t>
      </w:r>
      <w:r w:rsidRPr="00017057">
        <w:rPr>
          <w:lang w:val="fr-FR"/>
        </w:rPr>
        <w:t xml:space="preserve">, car le passage du temps peut avoir des conséquences irréparables sur les relations entre </w:t>
      </w:r>
      <w:r>
        <w:rPr>
          <w:lang w:val="fr-FR"/>
        </w:rPr>
        <w:t>l</w:t>
      </w:r>
      <w:r w:rsidR="008B740A">
        <w:rPr>
          <w:lang w:val="fr-FR"/>
        </w:rPr>
        <w:t>’</w:t>
      </w:r>
      <w:r>
        <w:rPr>
          <w:lang w:val="fr-FR"/>
        </w:rPr>
        <w:t>enfant et son parent</w:t>
      </w:r>
      <w:r w:rsidRPr="00017057">
        <w:rPr>
          <w:lang w:val="fr-FR"/>
        </w:rPr>
        <w:t xml:space="preserve">. Cela </w:t>
      </w:r>
      <w:r>
        <w:rPr>
          <w:lang w:val="fr-FR"/>
        </w:rPr>
        <w:t>inclut</w:t>
      </w:r>
      <w:r w:rsidRPr="00017057">
        <w:rPr>
          <w:lang w:val="fr-FR"/>
        </w:rPr>
        <w:t xml:space="preserve"> la mise en œuvre rapide des décisions résultant de ces procédures. </w:t>
      </w:r>
      <w:r>
        <w:rPr>
          <w:lang w:val="fr-FR"/>
        </w:rPr>
        <w:t>En l</w:t>
      </w:r>
      <w:r w:rsidR="008B740A">
        <w:rPr>
          <w:lang w:val="fr-FR"/>
        </w:rPr>
        <w:t>’</w:t>
      </w:r>
      <w:r>
        <w:rPr>
          <w:lang w:val="fr-FR"/>
        </w:rPr>
        <w:t>espèce</w:t>
      </w:r>
      <w:r w:rsidRPr="00017057">
        <w:rPr>
          <w:lang w:val="fr-FR"/>
        </w:rPr>
        <w:t>, le Comité prend note de l</w:t>
      </w:r>
      <w:r w:rsidR="008B740A">
        <w:rPr>
          <w:lang w:val="fr-FR"/>
        </w:rPr>
        <w:t>’</w:t>
      </w:r>
      <w:r w:rsidRPr="00017057">
        <w:rPr>
          <w:lang w:val="fr-FR"/>
        </w:rPr>
        <w:t xml:space="preserve">argument </w:t>
      </w:r>
      <w:r>
        <w:rPr>
          <w:lang w:val="fr-FR"/>
        </w:rPr>
        <w:t>de l</w:t>
      </w:r>
      <w:r w:rsidR="008B740A">
        <w:rPr>
          <w:lang w:val="fr-FR"/>
        </w:rPr>
        <w:t>’</w:t>
      </w:r>
      <w:r>
        <w:rPr>
          <w:lang w:val="fr-FR"/>
        </w:rPr>
        <w:t xml:space="preserve">auteur, non contesté par </w:t>
      </w:r>
      <w:r w:rsidRPr="00017057">
        <w:rPr>
          <w:lang w:val="fr-FR"/>
        </w:rPr>
        <w:t>l</w:t>
      </w:r>
      <w:r w:rsidR="008B740A">
        <w:rPr>
          <w:lang w:val="fr-FR"/>
        </w:rPr>
        <w:t>’</w:t>
      </w:r>
      <w:r w:rsidRPr="00017057">
        <w:rPr>
          <w:lang w:val="fr-FR"/>
        </w:rPr>
        <w:t>État partie</w:t>
      </w:r>
      <w:r>
        <w:rPr>
          <w:lang w:val="fr-FR"/>
        </w:rPr>
        <w:t xml:space="preserve">, </w:t>
      </w:r>
      <w:r w:rsidRPr="00017057">
        <w:rPr>
          <w:lang w:val="fr-FR"/>
        </w:rPr>
        <w:t>selon lequel, malgré ses nombreuses tentatives pour faire respecter le régime de visite</w:t>
      </w:r>
      <w:r>
        <w:rPr>
          <w:lang w:val="fr-FR"/>
        </w:rPr>
        <w:t>s</w:t>
      </w:r>
      <w:r w:rsidRPr="00017057">
        <w:rPr>
          <w:lang w:val="fr-FR"/>
        </w:rPr>
        <w:t xml:space="preserve"> établi par la décision du 30</w:t>
      </w:r>
      <w:r w:rsidR="008B740A">
        <w:rPr>
          <w:lang w:val="fr-FR"/>
        </w:rPr>
        <w:t> </w:t>
      </w:r>
      <w:r w:rsidRPr="00017057">
        <w:rPr>
          <w:lang w:val="fr-FR"/>
        </w:rPr>
        <w:t>avril 2015, cette décision n</w:t>
      </w:r>
      <w:r w:rsidR="008B740A">
        <w:rPr>
          <w:lang w:val="fr-FR"/>
        </w:rPr>
        <w:t>’</w:t>
      </w:r>
      <w:r w:rsidRPr="00017057">
        <w:rPr>
          <w:lang w:val="fr-FR"/>
        </w:rPr>
        <w:t>a pas été mise en œuvre et il n</w:t>
      </w:r>
      <w:r w:rsidR="008B740A">
        <w:rPr>
          <w:lang w:val="fr-FR"/>
        </w:rPr>
        <w:t>’</w:t>
      </w:r>
      <w:r w:rsidRPr="00017057">
        <w:rPr>
          <w:lang w:val="fr-FR"/>
        </w:rPr>
        <w:t xml:space="preserve">a pas été en mesure de maintenir des contacts réguliers et </w:t>
      </w:r>
      <w:r>
        <w:rPr>
          <w:lang w:val="fr-FR"/>
        </w:rPr>
        <w:t>effectifs</w:t>
      </w:r>
      <w:r w:rsidRPr="00017057">
        <w:rPr>
          <w:lang w:val="fr-FR"/>
        </w:rPr>
        <w:t xml:space="preserve"> avec sa fille au fil des ans. À</w:t>
      </w:r>
      <w:r w:rsidR="00DB7A96">
        <w:rPr>
          <w:lang w:val="fr-FR"/>
        </w:rPr>
        <w:t> </w:t>
      </w:r>
      <w:r w:rsidRPr="00017057">
        <w:rPr>
          <w:lang w:val="fr-FR"/>
        </w:rPr>
        <w:t xml:space="preserve">cet égard, le Comité prend note des observations </w:t>
      </w:r>
      <w:r>
        <w:rPr>
          <w:lang w:val="fr-FR"/>
        </w:rPr>
        <w:t>faites par</w:t>
      </w:r>
      <w:r w:rsidRPr="00017057">
        <w:rPr>
          <w:lang w:val="fr-FR"/>
        </w:rPr>
        <w:t xml:space="preserve"> la mère à l</w:t>
      </w:r>
      <w:r w:rsidR="008B740A">
        <w:rPr>
          <w:lang w:val="fr-FR"/>
        </w:rPr>
        <w:t>’</w:t>
      </w:r>
      <w:r w:rsidRPr="00017057">
        <w:rPr>
          <w:lang w:val="fr-FR"/>
        </w:rPr>
        <w:t>assistan</w:t>
      </w:r>
      <w:r>
        <w:rPr>
          <w:lang w:val="fr-FR"/>
        </w:rPr>
        <w:t>te</w:t>
      </w:r>
      <w:r w:rsidRPr="00017057">
        <w:rPr>
          <w:lang w:val="fr-FR"/>
        </w:rPr>
        <w:t xml:space="preserve"> social</w:t>
      </w:r>
      <w:r>
        <w:rPr>
          <w:lang w:val="fr-FR"/>
        </w:rPr>
        <w:t>e</w:t>
      </w:r>
      <w:r w:rsidRPr="00017057">
        <w:rPr>
          <w:lang w:val="fr-FR"/>
        </w:rPr>
        <w:t xml:space="preserve"> </w:t>
      </w:r>
      <w:r>
        <w:rPr>
          <w:lang w:val="fr-FR"/>
        </w:rPr>
        <w:t>et consignées</w:t>
      </w:r>
      <w:r w:rsidRPr="00017057">
        <w:rPr>
          <w:lang w:val="fr-FR"/>
        </w:rPr>
        <w:t xml:space="preserve"> dans l</w:t>
      </w:r>
      <w:r w:rsidR="008B740A">
        <w:rPr>
          <w:lang w:val="fr-FR"/>
        </w:rPr>
        <w:t>’</w:t>
      </w:r>
      <w:r w:rsidRPr="00017057">
        <w:rPr>
          <w:lang w:val="fr-FR"/>
        </w:rPr>
        <w:t xml:space="preserve">ordonnance interlocutoire </w:t>
      </w:r>
      <w:r w:rsidR="00DB7A96" w:rsidRPr="00DB7A96">
        <w:rPr>
          <w:rFonts w:eastAsia="MS Mincho"/>
          <w:szCs w:val="22"/>
          <w:lang w:val="fr-FR"/>
        </w:rPr>
        <w:t>n</w:t>
      </w:r>
      <w:r w:rsidR="00DB7A96" w:rsidRPr="00DB7A96">
        <w:rPr>
          <w:rFonts w:eastAsia="MS Mincho"/>
          <w:szCs w:val="22"/>
          <w:vertAlign w:val="superscript"/>
          <w:lang w:val="fr-FR"/>
        </w:rPr>
        <w:t>o</w:t>
      </w:r>
      <w:r w:rsidR="00DB7A96">
        <w:rPr>
          <w:lang w:val="fr-FR"/>
        </w:rPr>
        <w:t> </w:t>
      </w:r>
      <w:r w:rsidRPr="00017057">
        <w:rPr>
          <w:lang w:val="fr-FR"/>
        </w:rPr>
        <w:t>60 du 25</w:t>
      </w:r>
      <w:r w:rsidR="00DB7A96">
        <w:rPr>
          <w:lang w:val="fr-FR"/>
        </w:rPr>
        <w:t> </w:t>
      </w:r>
      <w:r w:rsidRPr="00017057">
        <w:rPr>
          <w:lang w:val="fr-FR"/>
        </w:rPr>
        <w:t xml:space="preserve">avril 2017, selon lesquelles elle </w:t>
      </w:r>
      <w:r>
        <w:rPr>
          <w:lang w:val="fr-FR"/>
        </w:rPr>
        <w:t>n</w:t>
      </w:r>
      <w:r w:rsidR="008B740A">
        <w:rPr>
          <w:lang w:val="fr-FR"/>
        </w:rPr>
        <w:t>’</w:t>
      </w:r>
      <w:r>
        <w:rPr>
          <w:lang w:val="fr-FR"/>
        </w:rPr>
        <w:t>avait pas les moyens d</w:t>
      </w:r>
      <w:r w:rsidR="008B740A">
        <w:rPr>
          <w:lang w:val="fr-FR"/>
        </w:rPr>
        <w:t>’</w:t>
      </w:r>
      <w:r>
        <w:rPr>
          <w:lang w:val="fr-FR"/>
        </w:rPr>
        <w:t>assurer la</w:t>
      </w:r>
      <w:r w:rsidRPr="00017057">
        <w:rPr>
          <w:lang w:val="fr-FR"/>
        </w:rPr>
        <w:t xml:space="preserve"> connexion </w:t>
      </w:r>
      <w:r>
        <w:rPr>
          <w:lang w:val="fr-FR"/>
        </w:rPr>
        <w:t xml:space="preserve">à </w:t>
      </w:r>
      <w:r w:rsidRPr="00017057">
        <w:rPr>
          <w:lang w:val="fr-FR"/>
        </w:rPr>
        <w:t>Internet et c</w:t>
      </w:r>
      <w:r w:rsidR="008B740A">
        <w:rPr>
          <w:lang w:val="fr-FR"/>
        </w:rPr>
        <w:t>’</w:t>
      </w:r>
      <w:r w:rsidRPr="00017057">
        <w:rPr>
          <w:lang w:val="fr-FR"/>
        </w:rPr>
        <w:t xml:space="preserve">était </w:t>
      </w:r>
      <w:r>
        <w:rPr>
          <w:lang w:val="fr-FR"/>
        </w:rPr>
        <w:t>la petite fille</w:t>
      </w:r>
      <w:r w:rsidRPr="00017057">
        <w:rPr>
          <w:lang w:val="fr-FR"/>
        </w:rPr>
        <w:t xml:space="preserve"> qui, n</w:t>
      </w:r>
      <w:r w:rsidR="008B740A">
        <w:rPr>
          <w:lang w:val="fr-FR"/>
        </w:rPr>
        <w:t>’</w:t>
      </w:r>
      <w:r w:rsidRPr="00017057">
        <w:rPr>
          <w:lang w:val="fr-FR"/>
        </w:rPr>
        <w:t xml:space="preserve">ayant pas passé beaucoup de temps avec son père, ne souhaitait pas </w:t>
      </w:r>
      <w:r>
        <w:rPr>
          <w:lang w:val="fr-FR"/>
        </w:rPr>
        <w:t>partir en vacances</w:t>
      </w:r>
      <w:r w:rsidRPr="00017057">
        <w:rPr>
          <w:lang w:val="fr-FR"/>
        </w:rPr>
        <w:t xml:space="preserve"> avec lui. </w:t>
      </w:r>
      <w:r>
        <w:rPr>
          <w:lang w:val="fr-FR"/>
        </w:rPr>
        <w:t>Au moment où</w:t>
      </w:r>
      <w:r w:rsidRPr="00017057">
        <w:rPr>
          <w:lang w:val="fr-FR"/>
        </w:rPr>
        <w:t xml:space="preserve"> le tribunal a rendu </w:t>
      </w:r>
      <w:r>
        <w:rPr>
          <w:lang w:val="fr-FR"/>
        </w:rPr>
        <w:t>sa décision</w:t>
      </w:r>
      <w:r w:rsidRPr="00017057">
        <w:rPr>
          <w:lang w:val="fr-FR"/>
        </w:rPr>
        <w:t xml:space="preserve">, il a </w:t>
      </w:r>
      <w:r>
        <w:rPr>
          <w:lang w:val="fr-FR"/>
        </w:rPr>
        <w:t>estimé</w:t>
      </w:r>
      <w:r w:rsidRPr="00017057">
        <w:rPr>
          <w:lang w:val="fr-FR"/>
        </w:rPr>
        <w:t xml:space="preserve"> que l</w:t>
      </w:r>
      <w:r w:rsidR="008B740A">
        <w:rPr>
          <w:lang w:val="fr-FR"/>
        </w:rPr>
        <w:t>’</w:t>
      </w:r>
      <w:r w:rsidRPr="00017057">
        <w:rPr>
          <w:lang w:val="fr-FR"/>
        </w:rPr>
        <w:t>intérêt supérieur de l</w:t>
      </w:r>
      <w:r w:rsidR="008B740A">
        <w:rPr>
          <w:lang w:val="fr-FR"/>
        </w:rPr>
        <w:t>’</w:t>
      </w:r>
      <w:r w:rsidRPr="00017057">
        <w:rPr>
          <w:lang w:val="fr-FR"/>
        </w:rPr>
        <w:t>enfant était d</w:t>
      </w:r>
      <w:r w:rsidR="008B740A">
        <w:rPr>
          <w:lang w:val="fr-FR"/>
        </w:rPr>
        <w:t>’</w:t>
      </w:r>
      <w:r w:rsidRPr="00017057">
        <w:rPr>
          <w:lang w:val="fr-FR"/>
        </w:rPr>
        <w:t xml:space="preserve">avoir des contacts avec son père. Si cette décision de justice avait été effectivement exécutée, le problème de </w:t>
      </w:r>
      <w:r>
        <w:rPr>
          <w:lang w:val="fr-FR"/>
        </w:rPr>
        <w:t>l</w:t>
      </w:r>
      <w:r w:rsidR="008B740A">
        <w:rPr>
          <w:lang w:val="fr-FR"/>
        </w:rPr>
        <w:t>’</w:t>
      </w:r>
      <w:r>
        <w:rPr>
          <w:lang w:val="fr-FR"/>
        </w:rPr>
        <w:t>éloignement progressif</w:t>
      </w:r>
      <w:r w:rsidRPr="00017057">
        <w:rPr>
          <w:lang w:val="fr-FR"/>
        </w:rPr>
        <w:t xml:space="preserve"> de l</w:t>
      </w:r>
      <w:r w:rsidR="008B740A">
        <w:rPr>
          <w:lang w:val="fr-FR"/>
        </w:rPr>
        <w:t>’</w:t>
      </w:r>
      <w:r w:rsidRPr="00017057">
        <w:rPr>
          <w:lang w:val="fr-FR"/>
        </w:rPr>
        <w:t>enfant par rapport à son père aurait pu être évité. Dans ces conditions, le Comité estime que les autorités n</w:t>
      </w:r>
      <w:r w:rsidR="008B740A">
        <w:rPr>
          <w:lang w:val="fr-FR"/>
        </w:rPr>
        <w:t>’</w:t>
      </w:r>
      <w:r w:rsidRPr="00017057">
        <w:rPr>
          <w:lang w:val="fr-FR"/>
        </w:rPr>
        <w:t xml:space="preserve">ont pas pris en temps utile </w:t>
      </w:r>
      <w:r>
        <w:rPr>
          <w:lang w:val="fr-FR"/>
        </w:rPr>
        <w:t>des</w:t>
      </w:r>
      <w:r w:rsidRPr="00017057">
        <w:rPr>
          <w:lang w:val="fr-FR"/>
        </w:rPr>
        <w:t xml:space="preserve"> mesures suffisantes pour que la mère de la fille de l</w:t>
      </w:r>
      <w:r w:rsidR="008B740A">
        <w:rPr>
          <w:lang w:val="fr-FR"/>
        </w:rPr>
        <w:t>’</w:t>
      </w:r>
      <w:r w:rsidRPr="00017057">
        <w:rPr>
          <w:lang w:val="fr-FR"/>
        </w:rPr>
        <w:t>auteur se conforme à la décision du tribunal</w:t>
      </w:r>
      <w:r>
        <w:rPr>
          <w:rStyle w:val="Appelnotedebasdep"/>
        </w:rPr>
        <w:footnoteReference w:id="32"/>
      </w:r>
      <w:r>
        <w:rPr>
          <w:lang w:val="fr-FR"/>
        </w:rPr>
        <w:t>.</w:t>
      </w:r>
    </w:p>
    <w:p w:rsidR="007E2A0F" w:rsidRDefault="007E2A0F" w:rsidP="007E2A0F">
      <w:pPr>
        <w:pStyle w:val="SingleTxtG"/>
        <w:rPr>
          <w:lang w:val="fr-FR"/>
        </w:rPr>
      </w:pPr>
      <w:r>
        <w:rPr>
          <w:lang w:val="fr-FR"/>
        </w:rPr>
        <w:t>8.8</w:t>
      </w:r>
      <w:r>
        <w:rPr>
          <w:lang w:val="fr-FR"/>
        </w:rPr>
        <w:tab/>
        <w:t>Compte tenu de ce qui précède, le Comité considère que le fait que l</w:t>
      </w:r>
      <w:r w:rsidR="008B740A">
        <w:rPr>
          <w:lang w:val="fr-FR"/>
        </w:rPr>
        <w:t>’</w:t>
      </w:r>
      <w:r>
        <w:rPr>
          <w:lang w:val="fr-FR"/>
        </w:rPr>
        <w:t>État partie n</w:t>
      </w:r>
      <w:r w:rsidR="008B740A">
        <w:rPr>
          <w:lang w:val="fr-FR"/>
        </w:rPr>
        <w:t>’</w:t>
      </w:r>
      <w:r>
        <w:rPr>
          <w:lang w:val="fr-FR"/>
        </w:rPr>
        <w:t>ait pas adopté de mesures effectives pour garantir le droit de la fille de l</w:t>
      </w:r>
      <w:r w:rsidR="008B740A">
        <w:rPr>
          <w:lang w:val="fr-FR"/>
        </w:rPr>
        <w:t>’</w:t>
      </w:r>
      <w:r>
        <w:rPr>
          <w:lang w:val="fr-FR"/>
        </w:rPr>
        <w:t xml:space="preserve">auteur de maintenir de manière régulière des relations personnelles et des contacts directs avec son père a empêché </w:t>
      </w:r>
      <w:r>
        <w:rPr>
          <w:lang w:val="fr-FR"/>
        </w:rPr>
        <w:lastRenderedPageBreak/>
        <w:t>l</w:t>
      </w:r>
      <w:r w:rsidR="008B740A">
        <w:rPr>
          <w:lang w:val="fr-FR"/>
        </w:rPr>
        <w:t>’</w:t>
      </w:r>
      <w:r>
        <w:rPr>
          <w:lang w:val="fr-FR"/>
        </w:rPr>
        <w:t>intéressée de jouir des droits qui lui sont reconnus par la Convention. Dans les circonstances particulières de l</w:t>
      </w:r>
      <w:r w:rsidR="008B740A">
        <w:rPr>
          <w:lang w:val="fr-FR"/>
        </w:rPr>
        <w:t>’</w:t>
      </w:r>
      <w:r>
        <w:rPr>
          <w:lang w:val="fr-FR"/>
        </w:rPr>
        <w:t>espèce, notamment le temps écoulé depuis la décision de justice de 2015 par laquelle ont été établis les droits de visite, et compte tenu du jeune âge de la fille de l</w:t>
      </w:r>
      <w:r w:rsidR="008B740A">
        <w:rPr>
          <w:lang w:val="fr-FR"/>
        </w:rPr>
        <w:t>’</w:t>
      </w:r>
      <w:r>
        <w:rPr>
          <w:lang w:val="fr-FR"/>
        </w:rPr>
        <w:t>auteur à l</w:t>
      </w:r>
      <w:r w:rsidR="008B740A">
        <w:rPr>
          <w:lang w:val="fr-FR"/>
        </w:rPr>
        <w:t>’</w:t>
      </w:r>
      <w:r>
        <w:rPr>
          <w:lang w:val="fr-FR"/>
        </w:rPr>
        <w:t>époque, le Comité estime que les autorités n</w:t>
      </w:r>
      <w:r w:rsidR="008B740A">
        <w:rPr>
          <w:lang w:val="fr-FR"/>
        </w:rPr>
        <w:t>’</w:t>
      </w:r>
      <w:r>
        <w:rPr>
          <w:lang w:val="fr-FR"/>
        </w:rPr>
        <w:t>ont pas fait appliquer les décisions du tribunal de manière opportune et efficace et qu</w:t>
      </w:r>
      <w:r w:rsidR="008B740A">
        <w:rPr>
          <w:lang w:val="fr-FR"/>
        </w:rPr>
        <w:t>’</w:t>
      </w:r>
      <w:r>
        <w:rPr>
          <w:lang w:val="fr-FR"/>
        </w:rPr>
        <w:t>elles n</w:t>
      </w:r>
      <w:r w:rsidR="008B740A">
        <w:rPr>
          <w:lang w:val="fr-FR"/>
        </w:rPr>
        <w:t>’</w:t>
      </w:r>
      <w:r>
        <w:rPr>
          <w:lang w:val="fr-FR"/>
        </w:rPr>
        <w:t>ont pas pris les mesures nécessaires pour garantir l</w:t>
      </w:r>
      <w:r w:rsidR="008B740A">
        <w:rPr>
          <w:lang w:val="fr-FR"/>
        </w:rPr>
        <w:t>’</w:t>
      </w:r>
      <w:r>
        <w:rPr>
          <w:lang w:val="fr-FR"/>
        </w:rPr>
        <w:t>exécution de ces décisions de manière à assurer le maintien de contacts entre l</w:t>
      </w:r>
      <w:r w:rsidR="008B740A">
        <w:rPr>
          <w:lang w:val="fr-FR"/>
        </w:rPr>
        <w:t>’</w:t>
      </w:r>
      <w:r>
        <w:rPr>
          <w:lang w:val="fr-FR"/>
        </w:rPr>
        <w:t>auteur et sa fille. Il conclut que cela constitue une violation des articles 3, 9 (par.</w:t>
      </w:r>
      <w:r w:rsidR="00DB7A96">
        <w:rPr>
          <w:lang w:val="fr-FR"/>
        </w:rPr>
        <w:t> </w:t>
      </w:r>
      <w:r>
        <w:rPr>
          <w:lang w:val="fr-FR"/>
        </w:rPr>
        <w:t>3) et 10 (par.</w:t>
      </w:r>
      <w:r w:rsidR="00DB7A96">
        <w:rPr>
          <w:lang w:val="fr-FR"/>
        </w:rPr>
        <w:t> </w:t>
      </w:r>
      <w:r>
        <w:rPr>
          <w:lang w:val="fr-FR"/>
        </w:rPr>
        <w:t>2) de la Convention.</w:t>
      </w:r>
    </w:p>
    <w:p w:rsidR="007E2A0F" w:rsidRDefault="007E2A0F" w:rsidP="007E2A0F">
      <w:pPr>
        <w:pStyle w:val="SingleTxtG"/>
        <w:rPr>
          <w:lang w:val="fr-FR"/>
        </w:rPr>
      </w:pPr>
      <w:r>
        <w:rPr>
          <w:lang w:val="fr-FR"/>
        </w:rPr>
        <w:t>8.9</w:t>
      </w:r>
      <w:r>
        <w:rPr>
          <w:lang w:val="fr-FR"/>
        </w:rPr>
        <w:tab/>
        <w:t>Ayant conclu à une violation des articles 3, 9 (par.</w:t>
      </w:r>
      <w:r w:rsidR="00DB7A96">
        <w:rPr>
          <w:lang w:val="fr-FR"/>
        </w:rPr>
        <w:t> </w:t>
      </w:r>
      <w:r>
        <w:rPr>
          <w:lang w:val="fr-FR"/>
        </w:rPr>
        <w:t>3) et 10 (par.</w:t>
      </w:r>
      <w:r w:rsidR="00DB7A96">
        <w:rPr>
          <w:lang w:val="fr-FR"/>
        </w:rPr>
        <w:t> </w:t>
      </w:r>
      <w:r>
        <w:rPr>
          <w:lang w:val="fr-FR"/>
        </w:rPr>
        <w:t>2) de la Convention, le Comité n</w:t>
      </w:r>
      <w:r w:rsidR="008B740A">
        <w:rPr>
          <w:lang w:val="fr-FR"/>
        </w:rPr>
        <w:t>’</w:t>
      </w:r>
      <w:r>
        <w:rPr>
          <w:lang w:val="fr-FR"/>
        </w:rPr>
        <w:t>estime pas nécessaire d</w:t>
      </w:r>
      <w:r w:rsidR="008B740A">
        <w:rPr>
          <w:lang w:val="fr-FR"/>
        </w:rPr>
        <w:t>’</w:t>
      </w:r>
      <w:r>
        <w:rPr>
          <w:lang w:val="fr-FR"/>
        </w:rPr>
        <w:t>examiner la question de savoir si les mêmes faits constituent une violation distincte des articles 4 et 5 de la Convention.</w:t>
      </w:r>
    </w:p>
    <w:p w:rsidR="007E2A0F" w:rsidRDefault="007E2A0F" w:rsidP="007E2A0F">
      <w:pPr>
        <w:pStyle w:val="SingleTxtG"/>
        <w:rPr>
          <w:lang w:val="fr-FR"/>
        </w:rPr>
      </w:pPr>
      <w:r>
        <w:rPr>
          <w:lang w:val="fr-FR"/>
        </w:rPr>
        <w:t>8.10</w:t>
      </w:r>
      <w:r>
        <w:rPr>
          <w:lang w:val="fr-FR"/>
        </w:rPr>
        <w:tab/>
      </w:r>
      <w:r w:rsidRPr="00D93EA1">
        <w:rPr>
          <w:lang w:val="fr-FR"/>
        </w:rPr>
        <w:t>Le Comité</w:t>
      </w:r>
      <w:r>
        <w:rPr>
          <w:lang w:val="fr-FR"/>
        </w:rPr>
        <w:t xml:space="preserve"> des droits de l</w:t>
      </w:r>
      <w:r w:rsidR="008B740A">
        <w:rPr>
          <w:lang w:val="fr-FR"/>
        </w:rPr>
        <w:t>’</w:t>
      </w:r>
      <w:r>
        <w:rPr>
          <w:lang w:val="fr-FR"/>
        </w:rPr>
        <w:t>enfant</w:t>
      </w:r>
      <w:r w:rsidRPr="00D93EA1">
        <w:rPr>
          <w:lang w:val="fr-FR"/>
        </w:rPr>
        <w:t>, agissant en vertu l</w:t>
      </w:r>
      <w:r w:rsidR="008B740A">
        <w:rPr>
          <w:lang w:val="fr-FR"/>
        </w:rPr>
        <w:t>’</w:t>
      </w:r>
      <w:r w:rsidRPr="00D93EA1">
        <w:rPr>
          <w:lang w:val="fr-FR"/>
        </w:rPr>
        <w:t xml:space="preserve">article 10 </w:t>
      </w:r>
      <w:r>
        <w:rPr>
          <w:lang w:val="fr-FR"/>
        </w:rPr>
        <w:t>(par.</w:t>
      </w:r>
      <w:r w:rsidR="00DB7A96">
        <w:rPr>
          <w:lang w:val="fr-FR"/>
        </w:rPr>
        <w:t> </w:t>
      </w:r>
      <w:r w:rsidRPr="00D93EA1">
        <w:rPr>
          <w:lang w:val="fr-FR"/>
        </w:rPr>
        <w:t>5</w:t>
      </w:r>
      <w:r>
        <w:rPr>
          <w:lang w:val="fr-FR"/>
        </w:rPr>
        <w:t>)</w:t>
      </w:r>
      <w:r w:rsidRPr="00D93EA1">
        <w:rPr>
          <w:lang w:val="fr-FR"/>
        </w:rPr>
        <w:t xml:space="preserve"> du Protocole facultatif à la Convention relative aux droits de l</w:t>
      </w:r>
      <w:r w:rsidR="008B740A">
        <w:rPr>
          <w:lang w:val="fr-FR"/>
        </w:rPr>
        <w:t>’</w:t>
      </w:r>
      <w:r w:rsidRPr="00D93EA1">
        <w:rPr>
          <w:lang w:val="fr-FR"/>
        </w:rPr>
        <w:t xml:space="preserve">enfant établissant une procédure de présentation de communications, constate que les faits dont il est saisi font apparaître une violation des </w:t>
      </w:r>
      <w:r>
        <w:rPr>
          <w:lang w:val="fr-FR"/>
        </w:rPr>
        <w:t>articles 3, 9 (par.</w:t>
      </w:r>
      <w:r w:rsidR="00DB7A96">
        <w:rPr>
          <w:lang w:val="fr-FR"/>
        </w:rPr>
        <w:t> </w:t>
      </w:r>
      <w:r>
        <w:rPr>
          <w:lang w:val="fr-FR"/>
        </w:rPr>
        <w:t>3) et 10 (par.</w:t>
      </w:r>
      <w:r w:rsidR="00DB7A96">
        <w:rPr>
          <w:lang w:val="fr-FR"/>
        </w:rPr>
        <w:t> </w:t>
      </w:r>
      <w:r>
        <w:rPr>
          <w:lang w:val="fr-FR"/>
        </w:rPr>
        <w:t>2) de la Convention</w:t>
      </w:r>
      <w:r w:rsidRPr="00D93EA1">
        <w:rPr>
          <w:lang w:val="fr-FR"/>
        </w:rPr>
        <w:t>.</w:t>
      </w:r>
    </w:p>
    <w:p w:rsidR="007E2A0F" w:rsidRDefault="007E2A0F" w:rsidP="007E2A0F">
      <w:pPr>
        <w:pStyle w:val="SingleTxtG"/>
        <w:rPr>
          <w:lang w:val="fr-FR"/>
        </w:rPr>
      </w:pPr>
      <w:r>
        <w:rPr>
          <w:lang w:val="fr-FR"/>
        </w:rPr>
        <w:t>9.</w:t>
      </w:r>
      <w:r>
        <w:rPr>
          <w:lang w:val="fr-FR"/>
        </w:rPr>
        <w:tab/>
        <w:t>En conséquence, l</w:t>
      </w:r>
      <w:r w:rsidR="008B740A">
        <w:rPr>
          <w:lang w:val="fr-FR"/>
        </w:rPr>
        <w:t>’</w:t>
      </w:r>
      <w:r>
        <w:rPr>
          <w:lang w:val="fr-FR"/>
        </w:rPr>
        <w:t>État partie devrait accorder à la fille de l</w:t>
      </w:r>
      <w:r w:rsidR="008B740A">
        <w:rPr>
          <w:lang w:val="fr-FR"/>
        </w:rPr>
        <w:t>’</w:t>
      </w:r>
      <w:r>
        <w:rPr>
          <w:lang w:val="fr-FR"/>
        </w:rPr>
        <w:t>auteur une réparation effective pour les violations subies, et en particulier veiller à l</w:t>
      </w:r>
      <w:r w:rsidR="008B740A">
        <w:rPr>
          <w:lang w:val="fr-FR"/>
        </w:rPr>
        <w:t>’</w:t>
      </w:r>
      <w:r>
        <w:rPr>
          <w:lang w:val="fr-FR"/>
        </w:rPr>
        <w:t>adoption de mesures efficaces pour garantir l</w:t>
      </w:r>
      <w:r w:rsidR="008B740A">
        <w:rPr>
          <w:lang w:val="fr-FR"/>
        </w:rPr>
        <w:t>’</w:t>
      </w:r>
      <w:r>
        <w:rPr>
          <w:lang w:val="fr-FR"/>
        </w:rPr>
        <w:t xml:space="preserve">exécution du jugement définitif </w:t>
      </w:r>
      <w:r w:rsidR="00DB7A96" w:rsidRPr="00DB7A96">
        <w:rPr>
          <w:rFonts w:eastAsia="MS Mincho"/>
          <w:szCs w:val="22"/>
          <w:lang w:val="fr-FR"/>
        </w:rPr>
        <w:t>n</w:t>
      </w:r>
      <w:r w:rsidR="00DB7A96" w:rsidRPr="00DB7A96">
        <w:rPr>
          <w:rFonts w:eastAsia="MS Mincho"/>
          <w:szCs w:val="22"/>
          <w:vertAlign w:val="superscript"/>
          <w:lang w:val="fr-FR"/>
        </w:rPr>
        <w:t>o</w:t>
      </w:r>
      <w:r w:rsidR="00DB7A96">
        <w:rPr>
          <w:lang w:val="fr-FR"/>
        </w:rPr>
        <w:t> </w:t>
      </w:r>
      <w:r>
        <w:rPr>
          <w:lang w:val="fr-FR"/>
        </w:rPr>
        <w:t>139 du 30</w:t>
      </w:r>
      <w:r w:rsidR="00DB7A96">
        <w:rPr>
          <w:lang w:val="fr-FR"/>
        </w:rPr>
        <w:t> </w:t>
      </w:r>
      <w:r>
        <w:rPr>
          <w:lang w:val="fr-FR"/>
        </w:rPr>
        <w:t>avril 2015 établissant le régime de visites entre l</w:t>
      </w:r>
      <w:r w:rsidR="008B740A">
        <w:rPr>
          <w:lang w:val="fr-FR"/>
        </w:rPr>
        <w:t>’</w:t>
      </w:r>
      <w:r>
        <w:rPr>
          <w:lang w:val="fr-FR"/>
        </w:rPr>
        <w:t>auteur et sa fille, y compris des mesures d</w:t>
      </w:r>
      <w:r w:rsidR="008B740A">
        <w:rPr>
          <w:lang w:val="fr-FR"/>
        </w:rPr>
        <w:t>’</w:t>
      </w:r>
      <w:r>
        <w:rPr>
          <w:lang w:val="fr-FR"/>
        </w:rPr>
        <w:t>accompagnement et la fourniture d</w:t>
      </w:r>
      <w:r w:rsidR="008B740A">
        <w:rPr>
          <w:lang w:val="fr-FR"/>
        </w:rPr>
        <w:t>’</w:t>
      </w:r>
      <w:r>
        <w:rPr>
          <w:lang w:val="fr-FR"/>
        </w:rPr>
        <w:t>autres services d</w:t>
      </w:r>
      <w:r w:rsidR="008B740A">
        <w:rPr>
          <w:lang w:val="fr-FR"/>
        </w:rPr>
        <w:t>’</w:t>
      </w:r>
      <w:r>
        <w:rPr>
          <w:lang w:val="fr-FR"/>
        </w:rPr>
        <w:t>appui adaptés et proactifs visant à reconstruire la relation entre la fille et son père, sur la base d</w:t>
      </w:r>
      <w:r w:rsidR="008B740A">
        <w:rPr>
          <w:lang w:val="fr-FR"/>
        </w:rPr>
        <w:t>’</w:t>
      </w:r>
      <w:r>
        <w:rPr>
          <w:lang w:val="fr-FR"/>
        </w:rPr>
        <w:t>une évaluation de l</w:t>
      </w:r>
      <w:r w:rsidR="008B740A">
        <w:rPr>
          <w:lang w:val="fr-FR"/>
        </w:rPr>
        <w:t>’</w:t>
      </w:r>
      <w:r>
        <w:rPr>
          <w:lang w:val="fr-FR"/>
        </w:rPr>
        <w:t>intérêt supérieur de l</w:t>
      </w:r>
      <w:r w:rsidR="008B740A">
        <w:rPr>
          <w:lang w:val="fr-FR"/>
        </w:rPr>
        <w:t>’</w:t>
      </w:r>
      <w:r>
        <w:rPr>
          <w:lang w:val="fr-FR"/>
        </w:rPr>
        <w:t>enfant à l</w:t>
      </w:r>
      <w:r w:rsidR="008B740A">
        <w:rPr>
          <w:lang w:val="fr-FR"/>
        </w:rPr>
        <w:t>’</w:t>
      </w:r>
      <w:r>
        <w:rPr>
          <w:lang w:val="fr-FR"/>
        </w:rPr>
        <w:t>heure actuelle. L</w:t>
      </w:r>
      <w:r w:rsidR="008B740A">
        <w:rPr>
          <w:lang w:val="fr-FR"/>
        </w:rPr>
        <w:t>’</w:t>
      </w:r>
      <w:r>
        <w:rPr>
          <w:lang w:val="fr-FR"/>
        </w:rPr>
        <w:t>État partie a également l</w:t>
      </w:r>
      <w:r w:rsidR="008B740A">
        <w:rPr>
          <w:lang w:val="fr-FR"/>
        </w:rPr>
        <w:t>’</w:t>
      </w:r>
      <w:r>
        <w:rPr>
          <w:lang w:val="fr-FR"/>
        </w:rPr>
        <w:t xml:space="preserve">obligation de veiller à ce que de telles violations ne se reproduisent pas. </w:t>
      </w:r>
      <w:r w:rsidRPr="00EC142A">
        <w:rPr>
          <w:caps/>
          <w:lang w:val="fr-FR"/>
        </w:rPr>
        <w:t>à</w:t>
      </w:r>
      <w:r>
        <w:rPr>
          <w:lang w:val="fr-FR"/>
        </w:rPr>
        <w:t xml:space="preserve"> cet égard, le Comité lui recommande :</w:t>
      </w:r>
    </w:p>
    <w:p w:rsidR="007E2A0F" w:rsidRDefault="007E2A0F" w:rsidP="00DB7A96">
      <w:pPr>
        <w:pStyle w:val="SingleTxtG"/>
        <w:ind w:firstLine="567"/>
        <w:rPr>
          <w:lang w:val="fr-FR"/>
        </w:rPr>
      </w:pPr>
      <w:r>
        <w:rPr>
          <w:lang w:val="fr-FR"/>
        </w:rPr>
        <w:t>a)</w:t>
      </w:r>
      <w:r>
        <w:rPr>
          <w:lang w:val="fr-FR"/>
        </w:rPr>
        <w:tab/>
        <w:t>D</w:t>
      </w:r>
      <w:r w:rsidR="008B740A">
        <w:rPr>
          <w:lang w:val="fr-FR"/>
        </w:rPr>
        <w:t>’</w:t>
      </w:r>
      <w:r>
        <w:rPr>
          <w:lang w:val="fr-FR"/>
        </w:rPr>
        <w:t>adopter les mesures nécessaires pour que les décisions de justice soient immédiatement et effectivement appliquées, d</w:t>
      </w:r>
      <w:r w:rsidR="008B740A">
        <w:rPr>
          <w:lang w:val="fr-FR"/>
        </w:rPr>
        <w:t>’</w:t>
      </w:r>
      <w:r>
        <w:rPr>
          <w:lang w:val="fr-FR"/>
        </w:rPr>
        <w:t>une manière adaptée aux besoins des enfants, afin de rétablir et de maintenir le contact entre l</w:t>
      </w:r>
      <w:r w:rsidR="008B740A">
        <w:rPr>
          <w:lang w:val="fr-FR"/>
        </w:rPr>
        <w:t>’</w:t>
      </w:r>
      <w:r>
        <w:rPr>
          <w:lang w:val="fr-FR"/>
        </w:rPr>
        <w:t xml:space="preserve">enfant et ses parents ; </w:t>
      </w:r>
    </w:p>
    <w:p w:rsidR="007E2A0F" w:rsidRDefault="007E2A0F" w:rsidP="00DB7A96">
      <w:pPr>
        <w:pStyle w:val="SingleTxtG"/>
        <w:ind w:firstLine="567"/>
        <w:rPr>
          <w:lang w:val="fr-FR"/>
        </w:rPr>
      </w:pPr>
      <w:r>
        <w:rPr>
          <w:lang w:val="fr-FR"/>
        </w:rPr>
        <w:t>b)</w:t>
      </w:r>
      <w:r>
        <w:rPr>
          <w:lang w:val="fr-FR"/>
        </w:rPr>
        <w:tab/>
        <w:t xml:space="preserve">De dispenser une formation aux juges, aux membres du </w:t>
      </w:r>
      <w:r w:rsidRPr="00711EE7">
        <w:rPr>
          <w:lang w:val="fr-FR"/>
        </w:rPr>
        <w:t>Secrétariat national de l</w:t>
      </w:r>
      <w:r w:rsidR="008B740A">
        <w:rPr>
          <w:lang w:val="fr-FR"/>
        </w:rPr>
        <w:t>’</w:t>
      </w:r>
      <w:r w:rsidRPr="00711EE7">
        <w:rPr>
          <w:lang w:val="fr-FR"/>
        </w:rPr>
        <w:t>enfance et de l</w:t>
      </w:r>
      <w:r w:rsidR="008B740A">
        <w:rPr>
          <w:lang w:val="fr-FR"/>
        </w:rPr>
        <w:t>’</w:t>
      </w:r>
      <w:r w:rsidRPr="00711EE7">
        <w:rPr>
          <w:lang w:val="fr-FR"/>
        </w:rPr>
        <w:t>adolescence</w:t>
      </w:r>
      <w:r>
        <w:rPr>
          <w:lang w:val="fr-FR"/>
        </w:rPr>
        <w:t xml:space="preserve"> et aux autres professionnels compétents sur le droit de l</w:t>
      </w:r>
      <w:r w:rsidR="008B740A">
        <w:rPr>
          <w:lang w:val="fr-FR"/>
        </w:rPr>
        <w:t>’</w:t>
      </w:r>
      <w:r>
        <w:rPr>
          <w:lang w:val="fr-FR"/>
        </w:rPr>
        <w:t>enfant d</w:t>
      </w:r>
      <w:r w:rsidR="008B740A">
        <w:rPr>
          <w:lang w:val="fr-FR"/>
        </w:rPr>
        <w:t>’</w:t>
      </w:r>
      <w:r>
        <w:rPr>
          <w:lang w:val="fr-FR"/>
        </w:rPr>
        <w:t xml:space="preserve">entretenir régulièrement des relations personnelles et des contacts directs avec ses deux parents et, en particulier, sur son observation générale </w:t>
      </w:r>
      <w:r w:rsidR="00DB7A96" w:rsidRPr="00DB7A96">
        <w:rPr>
          <w:rFonts w:eastAsia="MS Mincho"/>
          <w:szCs w:val="22"/>
          <w:lang w:val="fr-FR"/>
        </w:rPr>
        <w:t>n</w:t>
      </w:r>
      <w:r w:rsidR="00DB7A96" w:rsidRPr="00DB7A96">
        <w:rPr>
          <w:rFonts w:eastAsia="MS Mincho"/>
          <w:szCs w:val="22"/>
          <w:vertAlign w:val="superscript"/>
          <w:lang w:val="fr-FR"/>
        </w:rPr>
        <w:t>o</w:t>
      </w:r>
      <w:r w:rsidR="00DB7A96">
        <w:rPr>
          <w:lang w:val="fr-FR"/>
        </w:rPr>
        <w:t> 14</w:t>
      </w:r>
      <w:r>
        <w:rPr>
          <w:lang w:val="fr-FR"/>
        </w:rPr>
        <w:t xml:space="preserve">. </w:t>
      </w:r>
    </w:p>
    <w:p w:rsidR="007E2A0F" w:rsidRPr="00711EE7" w:rsidRDefault="007E2A0F" w:rsidP="007E2A0F">
      <w:pPr>
        <w:pStyle w:val="SingleTxtG"/>
        <w:rPr>
          <w:lang w:val="fr-FR"/>
        </w:rPr>
      </w:pPr>
      <w:r>
        <w:rPr>
          <w:lang w:val="fr-FR"/>
        </w:rPr>
        <w:t>10.</w:t>
      </w:r>
      <w:r>
        <w:rPr>
          <w:lang w:val="fr-FR"/>
        </w:rPr>
        <w:tab/>
      </w:r>
      <w:r w:rsidRPr="00CB1AD3">
        <w:rPr>
          <w:lang w:val="fr-FR"/>
        </w:rPr>
        <w:t>Conformément à l</w:t>
      </w:r>
      <w:r w:rsidR="008B740A">
        <w:rPr>
          <w:lang w:val="fr-FR"/>
        </w:rPr>
        <w:t>’</w:t>
      </w:r>
      <w:r w:rsidRPr="00CB1AD3">
        <w:rPr>
          <w:lang w:val="fr-FR"/>
        </w:rPr>
        <w:t>article 11 du Protocole facultatif établissant une procédure de présentation de communications, le Comité souhaite recevoir de l</w:t>
      </w:r>
      <w:r w:rsidR="008B740A">
        <w:rPr>
          <w:lang w:val="fr-FR"/>
        </w:rPr>
        <w:t>’</w:t>
      </w:r>
      <w:r w:rsidRPr="00CB1AD3">
        <w:rPr>
          <w:lang w:val="fr-FR"/>
        </w:rPr>
        <w:t xml:space="preserve">État partie, </w:t>
      </w:r>
      <w:r>
        <w:rPr>
          <w:lang w:val="fr-FR"/>
        </w:rPr>
        <w:t xml:space="preserve">dès que possible et </w:t>
      </w:r>
      <w:r w:rsidRPr="00CB1AD3">
        <w:rPr>
          <w:lang w:val="fr-FR"/>
        </w:rPr>
        <w:t>dans un délai de cent quatre-vingts jours, des renseignements sur les mesures prises pour donner effet aux présentes constatations.</w:t>
      </w:r>
      <w:r w:rsidRPr="00065B74">
        <w:t xml:space="preserve"> </w:t>
      </w:r>
      <w:r w:rsidRPr="00065B74">
        <w:rPr>
          <w:lang w:val="fr-FR"/>
        </w:rPr>
        <w:t>L</w:t>
      </w:r>
      <w:r w:rsidR="008B740A">
        <w:rPr>
          <w:lang w:val="fr-FR"/>
        </w:rPr>
        <w:t>’</w:t>
      </w:r>
      <w:r w:rsidRPr="00065B74">
        <w:rPr>
          <w:lang w:val="fr-FR"/>
        </w:rPr>
        <w:t>État partie est aussi invité à faire figurer des renseignements sur ces mesures dans les rapports qu</w:t>
      </w:r>
      <w:r w:rsidR="008B740A">
        <w:rPr>
          <w:lang w:val="fr-FR"/>
        </w:rPr>
        <w:t>’</w:t>
      </w:r>
      <w:r w:rsidRPr="00065B74">
        <w:rPr>
          <w:lang w:val="fr-FR"/>
        </w:rPr>
        <w:t>il soumettra au Comité au titre de l</w:t>
      </w:r>
      <w:r w:rsidR="008B740A">
        <w:rPr>
          <w:lang w:val="fr-FR"/>
        </w:rPr>
        <w:t>’</w:t>
      </w:r>
      <w:r w:rsidRPr="00065B74">
        <w:rPr>
          <w:lang w:val="fr-FR"/>
        </w:rPr>
        <w:t>article 44 de la Convention.</w:t>
      </w:r>
      <w:r w:rsidRPr="000C70C4">
        <w:t xml:space="preserve"> </w:t>
      </w:r>
      <w:r w:rsidRPr="000C70C4">
        <w:rPr>
          <w:lang w:val="fr-FR"/>
        </w:rPr>
        <w:t xml:space="preserve">Enfin, </w:t>
      </w:r>
      <w:r>
        <w:rPr>
          <w:lang w:val="fr-FR"/>
        </w:rPr>
        <w:t>il</w:t>
      </w:r>
      <w:r w:rsidRPr="000C70C4">
        <w:rPr>
          <w:lang w:val="fr-FR"/>
        </w:rPr>
        <w:t xml:space="preserve"> est invité à rendre publiques les présentes constatations et à les diffuser largement.</w:t>
      </w:r>
      <w:bookmarkStart w:id="3" w:name="_Hlk14244157"/>
    </w:p>
    <w:bookmarkEnd w:id="3"/>
    <w:p w:rsidR="007341B7" w:rsidRPr="007E2A0F" w:rsidRDefault="007E2A0F" w:rsidP="007E2A0F">
      <w:pPr>
        <w:pStyle w:val="SingleTxtG"/>
        <w:spacing w:before="240" w:after="0"/>
        <w:jc w:val="center"/>
        <w:rPr>
          <w:u w:val="single"/>
        </w:rPr>
      </w:pPr>
      <w:r>
        <w:rPr>
          <w:u w:val="single"/>
          <w:lang w:val="fr-FR"/>
        </w:rPr>
        <w:tab/>
      </w:r>
      <w:r>
        <w:rPr>
          <w:u w:val="single"/>
          <w:lang w:val="fr-FR"/>
        </w:rPr>
        <w:tab/>
      </w:r>
      <w:r>
        <w:rPr>
          <w:u w:val="single"/>
          <w:lang w:val="fr-FR"/>
        </w:rPr>
        <w:tab/>
      </w:r>
    </w:p>
    <w:sectPr w:rsidR="007341B7" w:rsidRPr="007E2A0F" w:rsidSect="007E2A0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40A" w:rsidRDefault="008B740A" w:rsidP="00F95C08">
      <w:pPr>
        <w:spacing w:line="240" w:lineRule="auto"/>
      </w:pPr>
    </w:p>
  </w:endnote>
  <w:endnote w:type="continuationSeparator" w:id="0">
    <w:p w:rsidR="008B740A" w:rsidRPr="00AC3823" w:rsidRDefault="008B740A" w:rsidP="00AC3823">
      <w:pPr>
        <w:pStyle w:val="Pieddepage"/>
      </w:pPr>
    </w:p>
  </w:endnote>
  <w:endnote w:type="continuationNotice" w:id="1">
    <w:p w:rsidR="008B740A" w:rsidRDefault="008B74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40A" w:rsidRPr="007E2A0F" w:rsidRDefault="008B740A" w:rsidP="007E2A0F">
    <w:pPr>
      <w:pStyle w:val="Pieddepage"/>
      <w:tabs>
        <w:tab w:val="right" w:pos="9638"/>
      </w:tabs>
    </w:pPr>
    <w:r w:rsidRPr="007E2A0F">
      <w:rPr>
        <w:b/>
        <w:sz w:val="18"/>
      </w:rPr>
      <w:fldChar w:fldCharType="begin"/>
    </w:r>
    <w:r w:rsidRPr="007E2A0F">
      <w:rPr>
        <w:b/>
        <w:sz w:val="18"/>
      </w:rPr>
      <w:instrText xml:space="preserve"> PAGE  \* MERGEFORMAT </w:instrText>
    </w:r>
    <w:r w:rsidRPr="007E2A0F">
      <w:rPr>
        <w:b/>
        <w:sz w:val="18"/>
      </w:rPr>
      <w:fldChar w:fldCharType="separate"/>
    </w:r>
    <w:r w:rsidRPr="007E2A0F">
      <w:rPr>
        <w:b/>
        <w:noProof/>
        <w:sz w:val="18"/>
      </w:rPr>
      <w:t>2</w:t>
    </w:r>
    <w:r w:rsidRPr="007E2A0F">
      <w:rPr>
        <w:b/>
        <w:sz w:val="18"/>
      </w:rPr>
      <w:fldChar w:fldCharType="end"/>
    </w:r>
    <w:r>
      <w:rPr>
        <w:b/>
        <w:sz w:val="18"/>
      </w:rPr>
      <w:tab/>
    </w:r>
    <w:r>
      <w:t>GE.20-03925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40A" w:rsidRPr="007E2A0F" w:rsidRDefault="008B740A" w:rsidP="007E2A0F">
    <w:pPr>
      <w:pStyle w:val="Pieddepage"/>
      <w:tabs>
        <w:tab w:val="right" w:pos="9638"/>
      </w:tabs>
      <w:rPr>
        <w:b/>
        <w:sz w:val="18"/>
      </w:rPr>
    </w:pPr>
    <w:r>
      <w:t>GE.20-03925</w:t>
    </w:r>
    <w:r>
      <w:tab/>
    </w:r>
    <w:r w:rsidRPr="007E2A0F">
      <w:rPr>
        <w:b/>
        <w:sz w:val="18"/>
      </w:rPr>
      <w:fldChar w:fldCharType="begin"/>
    </w:r>
    <w:r w:rsidRPr="007E2A0F">
      <w:rPr>
        <w:b/>
        <w:sz w:val="18"/>
      </w:rPr>
      <w:instrText xml:space="preserve"> PAGE  \* MERGEFORMAT </w:instrText>
    </w:r>
    <w:r w:rsidRPr="007E2A0F">
      <w:rPr>
        <w:b/>
        <w:sz w:val="18"/>
      </w:rPr>
      <w:fldChar w:fldCharType="separate"/>
    </w:r>
    <w:r w:rsidRPr="007E2A0F">
      <w:rPr>
        <w:b/>
        <w:noProof/>
        <w:sz w:val="18"/>
      </w:rPr>
      <w:t>3</w:t>
    </w:r>
    <w:r w:rsidRPr="007E2A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40A" w:rsidRPr="007E2A0F" w:rsidRDefault="008B740A" w:rsidP="007E2A0F">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20-03925  (F)    111120    1</w:t>
    </w:r>
    <w:r w:rsidR="00F53DD3">
      <w:rPr>
        <w:sz w:val="20"/>
      </w:rPr>
      <w:t>2</w:t>
    </w:r>
    <w:r>
      <w:rPr>
        <w:sz w:val="20"/>
      </w:rPr>
      <w:t>1120</w:t>
    </w:r>
    <w:r>
      <w:rPr>
        <w:sz w:val="20"/>
      </w:rPr>
      <w:br/>
    </w:r>
    <w:r w:rsidRPr="007E2A0F">
      <w:rPr>
        <w:rFonts w:ascii="C39T30Lfz" w:hAnsi="C39T30Lfz"/>
        <w:sz w:val="56"/>
      </w:rPr>
      <w:t>*2003925*</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40A" w:rsidRPr="00AC3823" w:rsidRDefault="008B740A" w:rsidP="00AC3823">
      <w:pPr>
        <w:pStyle w:val="Pieddepage"/>
        <w:tabs>
          <w:tab w:val="right" w:pos="2155"/>
        </w:tabs>
        <w:spacing w:after="80" w:line="240" w:lineRule="atLeast"/>
        <w:ind w:left="680"/>
        <w:rPr>
          <w:u w:val="single"/>
        </w:rPr>
      </w:pPr>
      <w:r>
        <w:rPr>
          <w:u w:val="single"/>
        </w:rPr>
        <w:tab/>
      </w:r>
    </w:p>
  </w:footnote>
  <w:footnote w:type="continuationSeparator" w:id="0">
    <w:p w:rsidR="008B740A" w:rsidRPr="00AC3823" w:rsidRDefault="008B740A" w:rsidP="00AC3823">
      <w:pPr>
        <w:pStyle w:val="Pieddepage"/>
        <w:tabs>
          <w:tab w:val="right" w:pos="2155"/>
        </w:tabs>
        <w:spacing w:after="80" w:line="240" w:lineRule="atLeast"/>
        <w:ind w:left="680"/>
        <w:rPr>
          <w:u w:val="single"/>
        </w:rPr>
      </w:pPr>
      <w:r>
        <w:rPr>
          <w:u w:val="single"/>
        </w:rPr>
        <w:tab/>
      </w:r>
    </w:p>
  </w:footnote>
  <w:footnote w:type="continuationNotice" w:id="1">
    <w:p w:rsidR="008B740A" w:rsidRPr="00AC3823" w:rsidRDefault="008B740A">
      <w:pPr>
        <w:spacing w:line="240" w:lineRule="auto"/>
        <w:rPr>
          <w:sz w:val="2"/>
          <w:szCs w:val="2"/>
        </w:rPr>
      </w:pPr>
    </w:p>
  </w:footnote>
  <w:footnote w:id="2">
    <w:p w:rsidR="008B740A" w:rsidRPr="00EC142A" w:rsidRDefault="008B740A" w:rsidP="007E2A0F">
      <w:pPr>
        <w:pStyle w:val="Notedebasdepage"/>
        <w:rPr>
          <w:lang w:val="fr-FR"/>
        </w:rPr>
      </w:pPr>
      <w:r w:rsidRPr="007E2A0F">
        <w:rPr>
          <w:rStyle w:val="Appelnotedebasdep"/>
          <w:sz w:val="20"/>
          <w:vertAlign w:val="baseline"/>
        </w:rPr>
        <w:tab/>
        <w:t>*</w:t>
      </w:r>
      <w:r w:rsidRPr="007E2A0F">
        <w:rPr>
          <w:rStyle w:val="Appelnotedebasdep"/>
          <w:sz w:val="20"/>
          <w:vertAlign w:val="baseline"/>
        </w:rPr>
        <w:tab/>
      </w:r>
      <w:r>
        <w:t>Adoptées par le Comité à sa quatre-vingt-troisième session (20 janvier-7 février 2020).</w:t>
      </w:r>
    </w:p>
  </w:footnote>
  <w:footnote w:id="3">
    <w:p w:rsidR="008B740A" w:rsidRPr="00EC142A" w:rsidRDefault="008B740A" w:rsidP="007E2A0F">
      <w:pPr>
        <w:pStyle w:val="Notedebasdepage"/>
        <w:rPr>
          <w:lang w:val="fr-FR"/>
        </w:rPr>
      </w:pPr>
      <w:r w:rsidRPr="007E2A0F">
        <w:rPr>
          <w:rStyle w:val="Appelnotedebasdep"/>
          <w:sz w:val="20"/>
          <w:vertAlign w:val="baseline"/>
        </w:rPr>
        <w:tab/>
        <w:t>**</w:t>
      </w:r>
      <w:r w:rsidRPr="007E2A0F">
        <w:rPr>
          <w:rStyle w:val="Appelnotedebasdep"/>
          <w:sz w:val="20"/>
          <w:vertAlign w:val="baseline"/>
        </w:rPr>
        <w:tab/>
      </w:r>
      <w:r>
        <w:t>Les membres du Comité dont le nom suit ont participé à l’examen de la communication :</w:t>
      </w:r>
      <w:r w:rsidRPr="00EC142A">
        <w:rPr>
          <w:lang w:val="fr-FR"/>
        </w:rPr>
        <w:t xml:space="preserve"> </w:t>
      </w:r>
      <w:r w:rsidRPr="00131DB3">
        <w:t xml:space="preserve">Suzanne Aho </w:t>
      </w:r>
      <w:proofErr w:type="spellStart"/>
      <w:r w:rsidRPr="00131DB3">
        <w:t>Assouma</w:t>
      </w:r>
      <w:proofErr w:type="spellEnd"/>
      <w:r w:rsidRPr="00131DB3">
        <w:t xml:space="preserve">, Amal Salman </w:t>
      </w:r>
      <w:proofErr w:type="spellStart"/>
      <w:r w:rsidRPr="00131DB3">
        <w:t>Aldoseri</w:t>
      </w:r>
      <w:proofErr w:type="spellEnd"/>
      <w:r w:rsidRPr="00131DB3">
        <w:t xml:space="preserve">, Hynd </w:t>
      </w:r>
      <w:proofErr w:type="spellStart"/>
      <w:r w:rsidRPr="00131DB3">
        <w:t>Ayoubi</w:t>
      </w:r>
      <w:proofErr w:type="spellEnd"/>
      <w:r w:rsidRPr="00131DB3">
        <w:t xml:space="preserve"> Idrissi, Bragi </w:t>
      </w:r>
      <w:proofErr w:type="spellStart"/>
      <w:r w:rsidRPr="00131DB3">
        <w:t>Gudbrandsson</w:t>
      </w:r>
      <w:proofErr w:type="spellEnd"/>
      <w:r w:rsidRPr="00131DB3">
        <w:t>, Philip Jaff</w:t>
      </w:r>
      <w:r>
        <w:t>é</w:t>
      </w:r>
      <w:r w:rsidRPr="00131DB3">
        <w:t xml:space="preserve">, Olga A. </w:t>
      </w:r>
      <w:proofErr w:type="spellStart"/>
      <w:r w:rsidRPr="00131DB3">
        <w:t>Khazova</w:t>
      </w:r>
      <w:proofErr w:type="spellEnd"/>
      <w:r w:rsidRPr="00131DB3">
        <w:t xml:space="preserve">, </w:t>
      </w:r>
      <w:proofErr w:type="spellStart"/>
      <w:r w:rsidRPr="00131DB3">
        <w:t>Cephas</w:t>
      </w:r>
      <w:proofErr w:type="spellEnd"/>
      <w:r w:rsidRPr="00131DB3">
        <w:t xml:space="preserve"> </w:t>
      </w:r>
      <w:proofErr w:type="spellStart"/>
      <w:r w:rsidRPr="00131DB3">
        <w:t>Lumina</w:t>
      </w:r>
      <w:proofErr w:type="spellEnd"/>
      <w:r w:rsidRPr="00131DB3">
        <w:t xml:space="preserve">, </w:t>
      </w:r>
      <w:proofErr w:type="spellStart"/>
      <w:r w:rsidRPr="00131DB3">
        <w:t>Gehad</w:t>
      </w:r>
      <w:proofErr w:type="spellEnd"/>
      <w:r w:rsidRPr="00131DB3">
        <w:t xml:space="preserve"> Madi, Faith Marshall-Harris, </w:t>
      </w:r>
      <w:proofErr w:type="spellStart"/>
      <w:r w:rsidRPr="00131DB3">
        <w:t>Benyam</w:t>
      </w:r>
      <w:proofErr w:type="spellEnd"/>
      <w:r w:rsidRPr="00131DB3">
        <w:t xml:space="preserve"> </w:t>
      </w:r>
      <w:proofErr w:type="spellStart"/>
      <w:r w:rsidRPr="00131DB3">
        <w:t>Dawit</w:t>
      </w:r>
      <w:proofErr w:type="spellEnd"/>
      <w:r w:rsidRPr="00131DB3">
        <w:t xml:space="preserve"> </w:t>
      </w:r>
      <w:proofErr w:type="spellStart"/>
      <w:r w:rsidRPr="00131DB3">
        <w:t>Mezmur</w:t>
      </w:r>
      <w:proofErr w:type="spellEnd"/>
      <w:r w:rsidRPr="00131DB3">
        <w:t xml:space="preserve">, </w:t>
      </w:r>
      <w:r>
        <w:t xml:space="preserve">Clarence Nelson, </w:t>
      </w:r>
      <w:proofErr w:type="spellStart"/>
      <w:r w:rsidRPr="00131DB3">
        <w:t>Otani</w:t>
      </w:r>
      <w:proofErr w:type="spellEnd"/>
      <w:r>
        <w:t xml:space="preserve"> </w:t>
      </w:r>
      <w:proofErr w:type="spellStart"/>
      <w:r w:rsidRPr="00131DB3">
        <w:t>Mikiko</w:t>
      </w:r>
      <w:proofErr w:type="spellEnd"/>
      <w:r w:rsidRPr="00131DB3">
        <w:t xml:space="preserve">, Luis Ernesto </w:t>
      </w:r>
      <w:proofErr w:type="spellStart"/>
      <w:r w:rsidRPr="00131DB3">
        <w:t>Pedernera</w:t>
      </w:r>
      <w:proofErr w:type="spellEnd"/>
      <w:r w:rsidRPr="00131DB3">
        <w:t xml:space="preserve"> </w:t>
      </w:r>
      <w:proofErr w:type="spellStart"/>
      <w:r w:rsidRPr="00131DB3">
        <w:t>Reyna</w:t>
      </w:r>
      <w:proofErr w:type="spellEnd"/>
      <w:r w:rsidRPr="00131DB3">
        <w:t xml:space="preserve">, José </w:t>
      </w:r>
      <w:proofErr w:type="spellStart"/>
      <w:r w:rsidRPr="00131DB3">
        <w:t>Ángel</w:t>
      </w:r>
      <w:proofErr w:type="spellEnd"/>
      <w:r w:rsidRPr="00131DB3">
        <w:t xml:space="preserve"> </w:t>
      </w:r>
      <w:proofErr w:type="spellStart"/>
      <w:r w:rsidRPr="00131DB3">
        <w:t>Rodríguez</w:t>
      </w:r>
      <w:proofErr w:type="spellEnd"/>
      <w:r w:rsidRPr="00131DB3">
        <w:t xml:space="preserve"> Reyes, A</w:t>
      </w:r>
      <w:r>
        <w:t>ï</w:t>
      </w:r>
      <w:r w:rsidRPr="00131DB3">
        <w:t xml:space="preserve">ssatou Alassane </w:t>
      </w:r>
      <w:r>
        <w:t xml:space="preserve">Moulaye </w:t>
      </w:r>
      <w:proofErr w:type="spellStart"/>
      <w:r w:rsidRPr="00131DB3">
        <w:t>Sidikou</w:t>
      </w:r>
      <w:proofErr w:type="spellEnd"/>
      <w:r w:rsidRPr="00131DB3">
        <w:t xml:space="preserve">, Ann Marie Skelton, Velina </w:t>
      </w:r>
      <w:proofErr w:type="spellStart"/>
      <w:r w:rsidRPr="00131DB3">
        <w:t>Todorova</w:t>
      </w:r>
      <w:proofErr w:type="spellEnd"/>
      <w:r w:rsidRPr="00131DB3">
        <w:t xml:space="preserve"> </w:t>
      </w:r>
      <w:r>
        <w:t>et</w:t>
      </w:r>
      <w:r w:rsidRPr="00131DB3">
        <w:t xml:space="preserve"> Renate Winter</w:t>
      </w:r>
      <w:r>
        <w:t>.</w:t>
      </w:r>
    </w:p>
  </w:footnote>
  <w:footnote w:id="4">
    <w:p w:rsidR="008B740A" w:rsidRPr="002B2CD7" w:rsidRDefault="008B740A" w:rsidP="007E2A0F">
      <w:pPr>
        <w:pStyle w:val="Notedebasdepage"/>
        <w:rPr>
          <w:lang w:val="fr-FR"/>
        </w:rPr>
      </w:pPr>
      <w:r w:rsidRPr="002B2CD7">
        <w:rPr>
          <w:lang w:val="fr-FR"/>
        </w:rPr>
        <w:tab/>
      </w:r>
      <w:r w:rsidRPr="00A122C5">
        <w:rPr>
          <w:rStyle w:val="Appelnotedebasdep"/>
        </w:rPr>
        <w:footnoteRef/>
      </w:r>
      <w:r w:rsidRPr="002B2CD7">
        <w:rPr>
          <w:lang w:val="fr-FR"/>
        </w:rPr>
        <w:tab/>
        <w:t>L</w:t>
      </w:r>
      <w:r>
        <w:rPr>
          <w:lang w:val="fr-FR"/>
        </w:rPr>
        <w:t>’</w:t>
      </w:r>
      <w:r w:rsidRPr="002B2CD7">
        <w:rPr>
          <w:lang w:val="fr-FR"/>
        </w:rPr>
        <w:t xml:space="preserve">auteur fournit copie de la demande présentée au </w:t>
      </w:r>
      <w:r>
        <w:rPr>
          <w:lang w:val="fr-FR"/>
        </w:rPr>
        <w:t>Tribunal</w:t>
      </w:r>
      <w:r w:rsidRPr="002B2CD7">
        <w:rPr>
          <w:lang w:val="fr-FR"/>
        </w:rPr>
        <w:t xml:space="preserve"> pour enfants et adolescents d</w:t>
      </w:r>
      <w:r>
        <w:rPr>
          <w:lang w:val="fr-FR"/>
        </w:rPr>
        <w:t>’</w:t>
      </w:r>
      <w:r w:rsidRPr="002B2CD7">
        <w:rPr>
          <w:lang w:val="fr-FR"/>
        </w:rPr>
        <w:t xml:space="preserve">Asunción, en date du 16 février 2015. </w:t>
      </w:r>
    </w:p>
  </w:footnote>
  <w:footnote w:id="5">
    <w:p w:rsidR="008B740A" w:rsidRPr="006B7753" w:rsidRDefault="008B740A" w:rsidP="007E2A0F">
      <w:pPr>
        <w:pStyle w:val="Notedebasdepage"/>
        <w:rPr>
          <w:lang w:val="fr-FR"/>
        </w:rPr>
      </w:pPr>
      <w:r w:rsidRPr="002B2CD7">
        <w:rPr>
          <w:lang w:val="fr-FR"/>
        </w:rPr>
        <w:tab/>
      </w:r>
      <w:r w:rsidRPr="00A122C5">
        <w:rPr>
          <w:rStyle w:val="Appelnotedebasdep"/>
        </w:rPr>
        <w:footnoteRef/>
      </w:r>
      <w:r w:rsidRPr="002B2CD7">
        <w:rPr>
          <w:lang w:val="fr-FR"/>
        </w:rPr>
        <w:tab/>
        <w:t>L</w:t>
      </w:r>
      <w:r>
        <w:rPr>
          <w:lang w:val="fr-FR"/>
        </w:rPr>
        <w:t>’</w:t>
      </w:r>
      <w:r w:rsidRPr="002B2CD7">
        <w:rPr>
          <w:lang w:val="fr-FR"/>
        </w:rPr>
        <w:t xml:space="preserve">auteur </w:t>
      </w:r>
      <w:r w:rsidRPr="006B7753">
        <w:rPr>
          <w:lang w:val="fr-FR"/>
        </w:rPr>
        <w:t>fournit copie du jugement</w:t>
      </w:r>
      <w:r>
        <w:rPr>
          <w:lang w:val="fr-FR"/>
        </w:rPr>
        <w:t xml:space="preserve"> </w:t>
      </w:r>
      <w:r w:rsidRPr="006B7753">
        <w:rPr>
          <w:lang w:val="fr-FR"/>
        </w:rPr>
        <w:t>SD</w:t>
      </w:r>
      <w:r>
        <w:rPr>
          <w:lang w:val="fr-FR"/>
        </w:rPr>
        <w:t xml:space="preserve"> </w:t>
      </w:r>
      <w:r w:rsidRPr="00440C4E">
        <w:rPr>
          <w:rFonts w:eastAsia="MS Mincho"/>
          <w:lang w:val="fr-FR"/>
        </w:rPr>
        <w:t>n</w:t>
      </w:r>
      <w:r w:rsidRPr="00440C4E">
        <w:rPr>
          <w:rFonts w:eastAsia="MS Mincho"/>
          <w:vertAlign w:val="superscript"/>
          <w:lang w:val="fr-FR"/>
        </w:rPr>
        <w:t>o</w:t>
      </w:r>
      <w:r>
        <w:rPr>
          <w:lang w:val="fr-FR"/>
        </w:rPr>
        <w:t> </w:t>
      </w:r>
      <w:r w:rsidRPr="006B7753">
        <w:rPr>
          <w:lang w:val="fr-FR"/>
        </w:rPr>
        <w:t xml:space="preserve">139 du </w:t>
      </w:r>
      <w:r>
        <w:rPr>
          <w:lang w:val="fr-FR"/>
        </w:rPr>
        <w:t>T</w:t>
      </w:r>
      <w:r w:rsidRPr="006B7753">
        <w:rPr>
          <w:lang w:val="fr-FR"/>
        </w:rPr>
        <w:t>ribunal pour enfants et adolescents en date du 30 avril 2015.</w:t>
      </w:r>
    </w:p>
  </w:footnote>
  <w:footnote w:id="6">
    <w:p w:rsidR="008B740A" w:rsidRPr="006B7753" w:rsidRDefault="008B740A" w:rsidP="007E2A0F">
      <w:pPr>
        <w:pStyle w:val="Notedebasdepage"/>
        <w:rPr>
          <w:lang w:val="fr-FR"/>
        </w:rPr>
      </w:pPr>
      <w:r w:rsidRPr="006B7753">
        <w:rPr>
          <w:lang w:val="fr-FR"/>
        </w:rPr>
        <w:tab/>
      </w:r>
      <w:r w:rsidRPr="00A122C5">
        <w:rPr>
          <w:rStyle w:val="Appelnotedebasdep"/>
        </w:rPr>
        <w:footnoteRef/>
      </w:r>
      <w:r w:rsidRPr="006B7753">
        <w:rPr>
          <w:lang w:val="fr-FR"/>
        </w:rPr>
        <w:tab/>
        <w:t>Code de l</w:t>
      </w:r>
      <w:r>
        <w:rPr>
          <w:lang w:val="fr-FR"/>
        </w:rPr>
        <w:t>’</w:t>
      </w:r>
      <w:r w:rsidRPr="006B7753">
        <w:rPr>
          <w:lang w:val="fr-FR"/>
        </w:rPr>
        <w:t>enfance et de l</w:t>
      </w:r>
      <w:r>
        <w:rPr>
          <w:lang w:val="fr-FR"/>
        </w:rPr>
        <w:t>’</w:t>
      </w:r>
      <w:r w:rsidRPr="006B7753">
        <w:rPr>
          <w:lang w:val="fr-FR"/>
        </w:rPr>
        <w:t>adolescence, loi n</w:t>
      </w:r>
      <w:r w:rsidRPr="006B7753">
        <w:rPr>
          <w:vertAlign w:val="superscript"/>
          <w:lang w:val="fr-FR"/>
        </w:rPr>
        <w:t>o</w:t>
      </w:r>
      <w:r w:rsidRPr="006B7753">
        <w:rPr>
          <w:lang w:val="fr-FR"/>
        </w:rPr>
        <w:t> 1680/01</w:t>
      </w:r>
      <w:r>
        <w:rPr>
          <w:lang w:val="fr-FR"/>
        </w:rPr>
        <w:t>.</w:t>
      </w:r>
      <w:r w:rsidRPr="006B7753">
        <w:rPr>
          <w:lang w:val="fr-FR"/>
        </w:rPr>
        <w:t xml:space="preserve"> </w:t>
      </w:r>
      <w:r>
        <w:rPr>
          <w:lang w:val="fr-FR"/>
        </w:rPr>
        <w:t>« </w:t>
      </w:r>
      <w:r w:rsidRPr="006B7753">
        <w:rPr>
          <w:lang w:val="fr-FR"/>
        </w:rPr>
        <w:t>Art</w:t>
      </w:r>
      <w:r>
        <w:rPr>
          <w:lang w:val="fr-FR"/>
        </w:rPr>
        <w:t>icle</w:t>
      </w:r>
      <w:r w:rsidRPr="006B7753">
        <w:rPr>
          <w:lang w:val="fr-FR"/>
        </w:rPr>
        <w:t> 96</w:t>
      </w:r>
      <w:r>
        <w:rPr>
          <w:lang w:val="fr-FR"/>
        </w:rPr>
        <w:t>.</w:t>
      </w:r>
      <w:r w:rsidRPr="006B7753">
        <w:rPr>
          <w:lang w:val="fr-FR"/>
        </w:rPr>
        <w:t xml:space="preserve"> De la non-exécution du régime de maintien des relations</w:t>
      </w:r>
      <w:r>
        <w:rPr>
          <w:lang w:val="fr-FR"/>
        </w:rPr>
        <w:t>.</w:t>
      </w:r>
      <w:r w:rsidRPr="00B13A56">
        <w:rPr>
          <w:lang w:val="fr-FR"/>
        </w:rPr>
        <w:t xml:space="preserve"> </w:t>
      </w:r>
      <w:r>
        <w:rPr>
          <w:lang w:val="fr-FR"/>
        </w:rPr>
        <w:t>L</w:t>
      </w:r>
      <w:r w:rsidRPr="00B13A56">
        <w:rPr>
          <w:lang w:val="fr-FR"/>
        </w:rPr>
        <w:t>a non-exécution réitérée du régime de maintien des relations établi par voie judiciaire peut donner lieu à une modification ou à la suspension du régime de visite.</w:t>
      </w:r>
      <w:r>
        <w:rPr>
          <w:lang w:val="fr-FR"/>
        </w:rPr>
        <w:t> ».</w:t>
      </w:r>
    </w:p>
  </w:footnote>
  <w:footnote w:id="7">
    <w:p w:rsidR="008B740A" w:rsidRPr="002B2CD7" w:rsidRDefault="008B740A" w:rsidP="007E2A0F">
      <w:pPr>
        <w:pStyle w:val="Notedebasdepage"/>
        <w:rPr>
          <w:lang w:val="fr-FR"/>
        </w:rPr>
      </w:pPr>
      <w:r w:rsidRPr="00C376EA">
        <w:rPr>
          <w:lang w:val="fr-FR"/>
        </w:rPr>
        <w:tab/>
      </w:r>
      <w:r w:rsidRPr="00A122C5">
        <w:rPr>
          <w:rStyle w:val="Appelnotedebasdep"/>
        </w:rPr>
        <w:footnoteRef/>
      </w:r>
      <w:r w:rsidRPr="006B7753">
        <w:rPr>
          <w:lang w:val="fr-FR"/>
        </w:rPr>
        <w:tab/>
        <w:t xml:space="preserve">Loi </w:t>
      </w:r>
      <w:r w:rsidRPr="0060574D">
        <w:rPr>
          <w:rFonts w:eastAsia="MS Mincho"/>
          <w:lang w:val="fr-FR"/>
        </w:rPr>
        <w:t>n</w:t>
      </w:r>
      <w:r w:rsidRPr="0060574D">
        <w:rPr>
          <w:rFonts w:eastAsia="MS Mincho"/>
          <w:vertAlign w:val="superscript"/>
          <w:lang w:val="fr-FR"/>
        </w:rPr>
        <w:t>o</w:t>
      </w:r>
      <w:r>
        <w:rPr>
          <w:lang w:val="fr-FR"/>
        </w:rPr>
        <w:t> </w:t>
      </w:r>
      <w:r w:rsidRPr="006B7753">
        <w:rPr>
          <w:lang w:val="fr-FR"/>
        </w:rPr>
        <w:t xml:space="preserve">4711, </w:t>
      </w:r>
      <w:r>
        <w:rPr>
          <w:lang w:val="fr-FR"/>
        </w:rPr>
        <w:t>q</w:t>
      </w:r>
      <w:r w:rsidRPr="006B7753">
        <w:rPr>
          <w:lang w:val="fr-FR"/>
        </w:rPr>
        <w:t xml:space="preserve">ui punit </w:t>
      </w:r>
      <w:r>
        <w:rPr>
          <w:lang w:val="fr-FR"/>
        </w:rPr>
        <w:t xml:space="preserve">l’inobservation d’une ordonnance du tribunal, promulguée le </w:t>
      </w:r>
      <w:r w:rsidRPr="002B2CD7">
        <w:rPr>
          <w:lang w:val="fr-FR"/>
        </w:rPr>
        <w:t>13</w:t>
      </w:r>
      <w:r>
        <w:rPr>
          <w:lang w:val="fr-FR"/>
        </w:rPr>
        <w:t> décembre</w:t>
      </w:r>
      <w:r w:rsidRPr="002B2CD7">
        <w:rPr>
          <w:lang w:val="fr-FR"/>
        </w:rPr>
        <w:t xml:space="preserve"> 2012.</w:t>
      </w:r>
    </w:p>
  </w:footnote>
  <w:footnote w:id="8">
    <w:p w:rsidR="008B740A" w:rsidRPr="002B2CD7" w:rsidRDefault="008B740A" w:rsidP="007E2A0F">
      <w:pPr>
        <w:pStyle w:val="Notedebasdepage"/>
        <w:rPr>
          <w:lang w:val="fr-FR"/>
        </w:rPr>
      </w:pPr>
      <w:r w:rsidRPr="002B2CD7">
        <w:rPr>
          <w:lang w:val="fr-FR"/>
        </w:rPr>
        <w:tab/>
      </w:r>
      <w:r w:rsidRPr="00A122C5">
        <w:rPr>
          <w:rStyle w:val="Appelnotedebasdep"/>
        </w:rPr>
        <w:footnoteRef/>
      </w:r>
      <w:r w:rsidRPr="002B2CD7">
        <w:rPr>
          <w:lang w:val="fr-FR"/>
        </w:rPr>
        <w:tab/>
        <w:t>L</w:t>
      </w:r>
      <w:r>
        <w:rPr>
          <w:lang w:val="fr-FR"/>
        </w:rPr>
        <w:t>’</w:t>
      </w:r>
      <w:r w:rsidRPr="002B2CD7">
        <w:rPr>
          <w:lang w:val="fr-FR"/>
        </w:rPr>
        <w:t>auteur joint copie de la décision du Tribunal d</w:t>
      </w:r>
      <w:r>
        <w:rPr>
          <w:lang w:val="fr-FR"/>
        </w:rPr>
        <w:t>’</w:t>
      </w:r>
      <w:r w:rsidRPr="002B2CD7">
        <w:rPr>
          <w:lang w:val="fr-FR"/>
        </w:rPr>
        <w:t>appel pour enfants et adolescents, jugement n</w:t>
      </w:r>
      <w:r w:rsidRPr="002B2CD7">
        <w:rPr>
          <w:vertAlign w:val="superscript"/>
          <w:lang w:val="fr-FR"/>
        </w:rPr>
        <w:t>o</w:t>
      </w:r>
      <w:r w:rsidRPr="002B2CD7">
        <w:rPr>
          <w:lang w:val="fr-FR"/>
        </w:rPr>
        <w:t xml:space="preserve"> 77, 11 août 2016. </w:t>
      </w:r>
    </w:p>
  </w:footnote>
  <w:footnote w:id="9">
    <w:p w:rsidR="008B740A" w:rsidRPr="002B2CD7" w:rsidRDefault="008B740A" w:rsidP="007E2A0F">
      <w:pPr>
        <w:pStyle w:val="Notedebasdepage"/>
        <w:rPr>
          <w:lang w:val="fr-FR"/>
        </w:rPr>
      </w:pPr>
      <w:r w:rsidRPr="002B2CD7">
        <w:rPr>
          <w:lang w:val="fr-FR"/>
        </w:rPr>
        <w:tab/>
      </w:r>
      <w:r w:rsidRPr="00A122C5">
        <w:rPr>
          <w:rStyle w:val="Appelnotedebasdep"/>
        </w:rPr>
        <w:footnoteRef/>
      </w:r>
      <w:r w:rsidRPr="002B2CD7">
        <w:rPr>
          <w:lang w:val="fr-FR"/>
        </w:rPr>
        <w:tab/>
      </w:r>
      <w:r w:rsidRPr="006B7753">
        <w:rPr>
          <w:lang w:val="fr-FR"/>
        </w:rPr>
        <w:t>Code de l</w:t>
      </w:r>
      <w:r>
        <w:rPr>
          <w:lang w:val="fr-FR"/>
        </w:rPr>
        <w:t>’</w:t>
      </w:r>
      <w:r w:rsidRPr="006B7753">
        <w:rPr>
          <w:lang w:val="fr-FR"/>
        </w:rPr>
        <w:t>organisation judiciaire</w:t>
      </w:r>
      <w:r>
        <w:rPr>
          <w:lang w:val="fr-FR"/>
        </w:rPr>
        <w:t>, adopté le 10 décembre 2001. « A</w:t>
      </w:r>
      <w:r w:rsidRPr="002B2CD7">
        <w:rPr>
          <w:lang w:val="fr-FR"/>
        </w:rPr>
        <w:t>rticle 236</w:t>
      </w:r>
      <w:r>
        <w:rPr>
          <w:lang w:val="fr-FR"/>
        </w:rPr>
        <w:t>. Les cours et tribunaux pourront sanctionner par des admonestations, des amendes ou l’arrestation tout manquement de la part des parties, de leurs avocats ou représentants contre leur autorité ou le décorum de l’audience, dans les écritures, dans l’exécution de leur mandat ou de leurs ordres et en n’importe quelle autre circonstance liée à l’exécution de leurs fonctions. ».</w:t>
      </w:r>
    </w:p>
  </w:footnote>
  <w:footnote w:id="10">
    <w:p w:rsidR="008B740A" w:rsidRPr="002B2CD7" w:rsidRDefault="008B740A" w:rsidP="007E2A0F">
      <w:pPr>
        <w:pStyle w:val="Notedebasdepage"/>
        <w:rPr>
          <w:lang w:val="fr-FR"/>
        </w:rPr>
      </w:pPr>
      <w:r w:rsidRPr="002B2CD7">
        <w:rPr>
          <w:lang w:val="fr-FR"/>
        </w:rPr>
        <w:tab/>
      </w:r>
      <w:r w:rsidRPr="00A122C5">
        <w:rPr>
          <w:rStyle w:val="Appelnotedebasdep"/>
        </w:rPr>
        <w:footnoteRef/>
      </w:r>
      <w:r w:rsidRPr="002B2CD7">
        <w:rPr>
          <w:lang w:val="fr-FR"/>
        </w:rPr>
        <w:tab/>
        <w:t>L</w:t>
      </w:r>
      <w:r>
        <w:rPr>
          <w:lang w:val="fr-FR"/>
        </w:rPr>
        <w:t>’</w:t>
      </w:r>
      <w:r w:rsidRPr="002B2CD7">
        <w:rPr>
          <w:lang w:val="fr-FR"/>
        </w:rPr>
        <w:t>auteur fournit copie des plaintes déposées pour retard dans l</w:t>
      </w:r>
      <w:r>
        <w:rPr>
          <w:lang w:val="fr-FR"/>
        </w:rPr>
        <w:t>’</w:t>
      </w:r>
      <w:r w:rsidRPr="002B2CD7">
        <w:rPr>
          <w:lang w:val="fr-FR"/>
        </w:rPr>
        <w:t xml:space="preserve">administration de la justice devant le </w:t>
      </w:r>
      <w:r>
        <w:rPr>
          <w:lang w:val="fr-FR"/>
        </w:rPr>
        <w:t>T</w:t>
      </w:r>
      <w:r w:rsidRPr="002B2CD7">
        <w:rPr>
          <w:lang w:val="fr-FR"/>
        </w:rPr>
        <w:t xml:space="preserve">ribunal pour enfants et adolescents </w:t>
      </w:r>
      <w:r>
        <w:rPr>
          <w:lang w:val="fr-FR"/>
        </w:rPr>
        <w:t>les</w:t>
      </w:r>
      <w:r w:rsidRPr="002B2CD7">
        <w:rPr>
          <w:lang w:val="fr-FR"/>
        </w:rPr>
        <w:t xml:space="preserve"> 29</w:t>
      </w:r>
      <w:r>
        <w:rPr>
          <w:lang w:val="fr-FR"/>
        </w:rPr>
        <w:t> </w:t>
      </w:r>
      <w:r w:rsidRPr="002B2CD7">
        <w:rPr>
          <w:lang w:val="fr-FR"/>
        </w:rPr>
        <w:t>avril 2015 et 14</w:t>
      </w:r>
      <w:r>
        <w:rPr>
          <w:lang w:val="fr-FR"/>
        </w:rPr>
        <w:t> </w:t>
      </w:r>
      <w:r w:rsidRPr="002B2CD7">
        <w:rPr>
          <w:lang w:val="fr-FR"/>
        </w:rPr>
        <w:t xml:space="preserve">décembre 2015. </w:t>
      </w:r>
    </w:p>
  </w:footnote>
  <w:footnote w:id="11">
    <w:p w:rsidR="008B740A" w:rsidRPr="002B2CD7" w:rsidRDefault="008B740A" w:rsidP="007E2A0F">
      <w:pPr>
        <w:pStyle w:val="Notedebasdepage"/>
        <w:rPr>
          <w:lang w:val="fr-FR"/>
        </w:rPr>
      </w:pPr>
      <w:r w:rsidRPr="002B2CD7">
        <w:rPr>
          <w:lang w:val="fr-FR"/>
        </w:rPr>
        <w:tab/>
      </w:r>
      <w:r w:rsidRPr="00A122C5">
        <w:rPr>
          <w:rStyle w:val="Appelnotedebasdep"/>
        </w:rPr>
        <w:footnoteRef/>
      </w:r>
      <w:r w:rsidRPr="002B2CD7">
        <w:rPr>
          <w:lang w:val="fr-FR"/>
        </w:rPr>
        <w:tab/>
        <w:t>L</w:t>
      </w:r>
      <w:r>
        <w:rPr>
          <w:lang w:val="fr-FR"/>
        </w:rPr>
        <w:t>’</w:t>
      </w:r>
      <w:r w:rsidRPr="002B2CD7">
        <w:rPr>
          <w:lang w:val="fr-FR"/>
        </w:rPr>
        <w:t>auteur fournit copie des demandes d</w:t>
      </w:r>
      <w:r>
        <w:rPr>
          <w:lang w:val="fr-FR"/>
        </w:rPr>
        <w:t>’</w:t>
      </w:r>
      <w:r w:rsidRPr="002B2CD7">
        <w:rPr>
          <w:lang w:val="fr-FR"/>
        </w:rPr>
        <w:t>adoption de mesures provisoires qu</w:t>
      </w:r>
      <w:r>
        <w:rPr>
          <w:lang w:val="fr-FR"/>
        </w:rPr>
        <w:t>’</w:t>
      </w:r>
      <w:r w:rsidRPr="002B2CD7">
        <w:rPr>
          <w:lang w:val="fr-FR"/>
        </w:rPr>
        <w:t xml:space="preserve">il a adressées au </w:t>
      </w:r>
      <w:r>
        <w:rPr>
          <w:lang w:val="fr-FR"/>
        </w:rPr>
        <w:t>T</w:t>
      </w:r>
      <w:r w:rsidRPr="002B2CD7">
        <w:rPr>
          <w:lang w:val="fr-FR"/>
        </w:rPr>
        <w:t xml:space="preserve">ribunal pour enfants et adolescents </w:t>
      </w:r>
      <w:r>
        <w:rPr>
          <w:lang w:val="fr-FR"/>
        </w:rPr>
        <w:t>le</w:t>
      </w:r>
      <w:r w:rsidRPr="002B2CD7">
        <w:rPr>
          <w:lang w:val="fr-FR"/>
        </w:rPr>
        <w:t xml:space="preserve"> 22</w:t>
      </w:r>
      <w:r>
        <w:rPr>
          <w:lang w:val="fr-FR"/>
        </w:rPr>
        <w:t> </w:t>
      </w:r>
      <w:r w:rsidRPr="002B2CD7">
        <w:rPr>
          <w:lang w:val="fr-FR"/>
        </w:rPr>
        <w:t xml:space="preserve">avril 2015. </w:t>
      </w:r>
    </w:p>
  </w:footnote>
  <w:footnote w:id="12">
    <w:p w:rsidR="008B740A" w:rsidRPr="002B2CD7" w:rsidRDefault="008B740A" w:rsidP="007E2A0F">
      <w:pPr>
        <w:pStyle w:val="Notedebasdepage"/>
        <w:rPr>
          <w:lang w:val="fr-FR"/>
        </w:rPr>
      </w:pPr>
      <w:r w:rsidRPr="008466C6">
        <w:rPr>
          <w:lang w:val="fr-FR"/>
        </w:rPr>
        <w:tab/>
      </w:r>
      <w:r w:rsidRPr="00A122C5">
        <w:rPr>
          <w:rStyle w:val="Appelnotedebasdep"/>
        </w:rPr>
        <w:footnoteRef/>
      </w:r>
      <w:r w:rsidRPr="008466C6">
        <w:rPr>
          <w:lang w:val="fr-FR"/>
        </w:rPr>
        <w:tab/>
        <w:t>L</w:t>
      </w:r>
      <w:r>
        <w:rPr>
          <w:lang w:val="fr-FR"/>
        </w:rPr>
        <w:t>’</w:t>
      </w:r>
      <w:r w:rsidRPr="008466C6">
        <w:rPr>
          <w:lang w:val="fr-FR"/>
        </w:rPr>
        <w:t xml:space="preserve">auteur fournit copie des plaintes déposées devant </w:t>
      </w:r>
      <w:r w:rsidRPr="002B2CD7">
        <w:rPr>
          <w:lang w:val="fr-FR"/>
        </w:rPr>
        <w:t xml:space="preserve">le Tribunal pour enfants et adolescents </w:t>
      </w:r>
      <w:r>
        <w:rPr>
          <w:lang w:val="fr-FR"/>
        </w:rPr>
        <w:t xml:space="preserve">les </w:t>
      </w:r>
      <w:r w:rsidRPr="002B2CD7">
        <w:rPr>
          <w:lang w:val="fr-FR"/>
        </w:rPr>
        <w:t>8 juillet, 2 </w:t>
      </w:r>
      <w:r>
        <w:rPr>
          <w:lang w:val="fr-FR"/>
        </w:rPr>
        <w:t xml:space="preserve">et </w:t>
      </w:r>
      <w:r w:rsidRPr="002B2CD7">
        <w:rPr>
          <w:lang w:val="fr-FR"/>
        </w:rPr>
        <w:t>24 août, 3 novembre</w:t>
      </w:r>
      <w:r>
        <w:rPr>
          <w:lang w:val="fr-FR"/>
        </w:rPr>
        <w:t xml:space="preserve"> et</w:t>
      </w:r>
      <w:r w:rsidRPr="002B2CD7">
        <w:rPr>
          <w:lang w:val="fr-FR"/>
        </w:rPr>
        <w:t xml:space="preserve"> 7 et 26 décembre 2016.</w:t>
      </w:r>
    </w:p>
  </w:footnote>
  <w:footnote w:id="13">
    <w:p w:rsidR="008B740A" w:rsidRPr="002B2CD7" w:rsidRDefault="008B740A" w:rsidP="007E2A0F">
      <w:pPr>
        <w:pStyle w:val="Notedebasdepage"/>
        <w:rPr>
          <w:lang w:val="fr-FR"/>
        </w:rPr>
      </w:pPr>
      <w:r w:rsidRPr="002B2CD7">
        <w:rPr>
          <w:lang w:val="fr-FR"/>
        </w:rPr>
        <w:tab/>
      </w:r>
      <w:r w:rsidRPr="00A122C5">
        <w:rPr>
          <w:rStyle w:val="Appelnotedebasdep"/>
        </w:rPr>
        <w:footnoteRef/>
      </w:r>
      <w:r w:rsidRPr="002B2CD7">
        <w:rPr>
          <w:lang w:val="fr-FR"/>
        </w:rPr>
        <w:tab/>
        <w:t>L</w:t>
      </w:r>
      <w:r>
        <w:rPr>
          <w:lang w:val="fr-FR"/>
        </w:rPr>
        <w:t>’</w:t>
      </w:r>
      <w:r w:rsidRPr="002B2CD7">
        <w:rPr>
          <w:lang w:val="fr-FR"/>
        </w:rPr>
        <w:t>auteur joint copie de la décision interlocutoire AI</w:t>
      </w:r>
      <w:r>
        <w:rPr>
          <w:lang w:val="fr-FR"/>
        </w:rPr>
        <w:t xml:space="preserve"> </w:t>
      </w:r>
      <w:r w:rsidRPr="00B06B16">
        <w:rPr>
          <w:rFonts w:eastAsia="MS Mincho"/>
          <w:lang w:val="fr-FR"/>
        </w:rPr>
        <w:t>n</w:t>
      </w:r>
      <w:r w:rsidRPr="00B06B16">
        <w:rPr>
          <w:rFonts w:eastAsia="MS Mincho"/>
          <w:vertAlign w:val="superscript"/>
          <w:lang w:val="fr-FR"/>
        </w:rPr>
        <w:t>o</w:t>
      </w:r>
      <w:r>
        <w:rPr>
          <w:lang w:val="fr-FR"/>
        </w:rPr>
        <w:t> </w:t>
      </w:r>
      <w:r w:rsidRPr="002B2CD7">
        <w:rPr>
          <w:lang w:val="fr-FR"/>
        </w:rPr>
        <w:t>60 du Tribunal d</w:t>
      </w:r>
      <w:r>
        <w:rPr>
          <w:lang w:val="fr-FR"/>
        </w:rPr>
        <w:t>’</w:t>
      </w:r>
      <w:r w:rsidRPr="002B2CD7">
        <w:rPr>
          <w:lang w:val="fr-FR"/>
        </w:rPr>
        <w:t>appel en date du 25</w:t>
      </w:r>
      <w:r>
        <w:rPr>
          <w:lang w:val="fr-FR"/>
        </w:rPr>
        <w:t> </w:t>
      </w:r>
      <w:r w:rsidRPr="002B2CD7">
        <w:rPr>
          <w:lang w:val="fr-FR"/>
        </w:rPr>
        <w:t xml:space="preserve">avril 2017. </w:t>
      </w:r>
    </w:p>
  </w:footnote>
  <w:footnote w:id="14">
    <w:p w:rsidR="008B740A" w:rsidRPr="00EC142A" w:rsidRDefault="008B740A" w:rsidP="007E2A0F">
      <w:pPr>
        <w:pStyle w:val="Notedebasdepage"/>
        <w:rPr>
          <w:lang w:val="es-ES"/>
        </w:rPr>
      </w:pPr>
      <w:r w:rsidRPr="004E033C">
        <w:rPr>
          <w:lang w:val="fr-FR"/>
        </w:rPr>
        <w:tab/>
      </w:r>
      <w:r w:rsidRPr="00A122C5">
        <w:rPr>
          <w:rStyle w:val="Appelnotedebasdep"/>
        </w:rPr>
        <w:footnoteRef/>
      </w:r>
      <w:r w:rsidRPr="004E033C">
        <w:rPr>
          <w:lang w:val="fr-FR"/>
        </w:rPr>
        <w:tab/>
        <w:t>L</w:t>
      </w:r>
      <w:r>
        <w:rPr>
          <w:lang w:val="fr-FR"/>
        </w:rPr>
        <w:t>’</w:t>
      </w:r>
      <w:r w:rsidRPr="004E033C">
        <w:rPr>
          <w:lang w:val="fr-FR"/>
        </w:rPr>
        <w:t>auteur renvoie à</w:t>
      </w:r>
      <w:r>
        <w:rPr>
          <w:lang w:val="fr-FR"/>
        </w:rPr>
        <w:t> une décision du Tribunal civil national, Chambre</w:t>
      </w:r>
      <w:r w:rsidRPr="004E033C">
        <w:rPr>
          <w:lang w:val="it-IT"/>
        </w:rPr>
        <w:t xml:space="preserve"> I</w:t>
      </w:r>
      <w:r>
        <w:rPr>
          <w:lang w:val="it-IT"/>
        </w:rPr>
        <w:t xml:space="preserve">, </w:t>
      </w:r>
      <w:r w:rsidRPr="004E033C">
        <w:rPr>
          <w:lang w:val="it-IT"/>
        </w:rPr>
        <w:t>26</w:t>
      </w:r>
      <w:r>
        <w:rPr>
          <w:lang w:val="it-IT"/>
        </w:rPr>
        <w:t> déembre</w:t>
      </w:r>
      <w:r w:rsidRPr="004E033C">
        <w:rPr>
          <w:lang w:val="it-IT"/>
        </w:rPr>
        <w:t>1997, LL-1998, D</w:t>
      </w:r>
      <w:r>
        <w:rPr>
          <w:lang w:val="it-IT"/>
        </w:rPr>
        <w:noBreakHyphen/>
      </w:r>
      <w:r w:rsidRPr="004E033C">
        <w:rPr>
          <w:lang w:val="it-IT"/>
        </w:rPr>
        <w:t>144</w:t>
      </w:r>
      <w:r>
        <w:rPr>
          <w:lang w:val="it-IT"/>
        </w:rPr>
        <w:t>,</w:t>
      </w:r>
      <w:r w:rsidRPr="004E033C">
        <w:rPr>
          <w:lang w:val="it-IT"/>
        </w:rPr>
        <w:t xml:space="preserve"> </w:t>
      </w:r>
      <w:r>
        <w:rPr>
          <w:lang w:val="it-IT"/>
        </w:rPr>
        <w:t>mentionnée</w:t>
      </w:r>
      <w:r w:rsidRPr="004E033C">
        <w:rPr>
          <w:lang w:val="it-IT"/>
        </w:rPr>
        <w:t xml:space="preserve"> dans </w:t>
      </w:r>
      <w:r w:rsidRPr="00EC142A">
        <w:rPr>
          <w:lang w:val="it-IT"/>
        </w:rPr>
        <w:t>Belluscio, Claudio</w:t>
      </w:r>
      <w:r>
        <w:rPr>
          <w:lang w:val="it-IT"/>
        </w:rPr>
        <w:t>,</w:t>
      </w:r>
      <w:r w:rsidRPr="00097E44">
        <w:rPr>
          <w:i/>
          <w:iCs/>
          <w:lang w:val="it-IT"/>
        </w:rPr>
        <w:t xml:space="preserve"> El derecho a visitar a los hijos. </w:t>
      </w:r>
      <w:r w:rsidRPr="00EC142A">
        <w:rPr>
          <w:i/>
          <w:iCs/>
          <w:lang w:val="es-ES"/>
        </w:rPr>
        <w:t xml:space="preserve">Tratado teórico y práctico, </w:t>
      </w:r>
      <w:r w:rsidRPr="00EC142A">
        <w:rPr>
          <w:lang w:val="es-ES"/>
        </w:rPr>
        <w:t xml:space="preserve">Ed. Tribunales, 2012. </w:t>
      </w:r>
    </w:p>
  </w:footnote>
  <w:footnote w:id="15">
    <w:p w:rsidR="008B740A" w:rsidRPr="00B8032C" w:rsidRDefault="008B740A" w:rsidP="007E2A0F">
      <w:pPr>
        <w:pStyle w:val="Notedebasdepage"/>
        <w:rPr>
          <w:lang w:val="fr-FR"/>
        </w:rPr>
      </w:pPr>
      <w:r w:rsidRPr="00EC142A">
        <w:rPr>
          <w:lang w:val="es-ES"/>
        </w:rPr>
        <w:tab/>
      </w:r>
      <w:r w:rsidRPr="00A122C5">
        <w:rPr>
          <w:rStyle w:val="Appelnotedebasdep"/>
        </w:rPr>
        <w:footnoteRef/>
      </w:r>
      <w:r w:rsidRPr="00B8032C">
        <w:rPr>
          <w:lang w:val="fr-FR"/>
        </w:rPr>
        <w:tab/>
        <w:t xml:space="preserve">Requête </w:t>
      </w:r>
      <w:r w:rsidRPr="00B8032C">
        <w:rPr>
          <w:rFonts w:eastAsia="MS Mincho"/>
          <w:lang w:val="fr-FR"/>
        </w:rPr>
        <w:t>n</w:t>
      </w:r>
      <w:r w:rsidRPr="00B8032C">
        <w:rPr>
          <w:rFonts w:eastAsia="MS Mincho"/>
          <w:vertAlign w:val="superscript"/>
          <w:lang w:val="fr-FR"/>
        </w:rPr>
        <w:t>o</w:t>
      </w:r>
      <w:r w:rsidRPr="00B8032C">
        <w:rPr>
          <w:lang w:val="fr-FR"/>
        </w:rPr>
        <w:t> 53377/13, 23</w:t>
      </w:r>
      <w:r>
        <w:rPr>
          <w:lang w:val="fr-FR"/>
        </w:rPr>
        <w:t> </w:t>
      </w:r>
      <w:r w:rsidRPr="00B8032C">
        <w:rPr>
          <w:lang w:val="fr-FR"/>
        </w:rPr>
        <w:t xml:space="preserve">juin 2016. </w:t>
      </w:r>
    </w:p>
  </w:footnote>
  <w:footnote w:id="16">
    <w:p w:rsidR="008B740A" w:rsidRPr="004E033C" w:rsidRDefault="008B740A" w:rsidP="007E2A0F">
      <w:pPr>
        <w:pStyle w:val="Notedebasdepage"/>
        <w:rPr>
          <w:lang w:val="fr-FR"/>
        </w:rPr>
      </w:pPr>
      <w:r w:rsidRPr="00B8032C">
        <w:rPr>
          <w:lang w:val="fr-FR"/>
        </w:rPr>
        <w:tab/>
      </w:r>
      <w:r w:rsidRPr="00A122C5">
        <w:rPr>
          <w:rStyle w:val="Appelnotedebasdep"/>
        </w:rPr>
        <w:footnoteRef/>
      </w:r>
      <w:r w:rsidRPr="004E033C">
        <w:rPr>
          <w:lang w:val="fr-FR"/>
        </w:rPr>
        <w:tab/>
      </w:r>
      <w:r w:rsidRPr="00C30445">
        <w:rPr>
          <w:lang w:val="fr-FR"/>
        </w:rPr>
        <w:t>Requête</w:t>
      </w:r>
      <w:r>
        <w:rPr>
          <w:lang w:val="fr-FR"/>
        </w:rPr>
        <w:t xml:space="preserve"> </w:t>
      </w:r>
      <w:r w:rsidRPr="00440C4E">
        <w:rPr>
          <w:rFonts w:eastAsia="MS Mincho"/>
          <w:lang w:val="fr-FR"/>
        </w:rPr>
        <w:t>n</w:t>
      </w:r>
      <w:r w:rsidRPr="00440C4E">
        <w:rPr>
          <w:rFonts w:eastAsia="MS Mincho"/>
          <w:vertAlign w:val="superscript"/>
          <w:lang w:val="fr-FR"/>
        </w:rPr>
        <w:t>o</w:t>
      </w:r>
      <w:r>
        <w:rPr>
          <w:lang w:val="fr-FR"/>
        </w:rPr>
        <w:t> </w:t>
      </w:r>
      <w:r w:rsidRPr="004E033C">
        <w:rPr>
          <w:lang w:val="fr-FR"/>
        </w:rPr>
        <w:t xml:space="preserve">43299/12, 15 septembre 2016. </w:t>
      </w:r>
    </w:p>
  </w:footnote>
  <w:footnote w:id="17">
    <w:p w:rsidR="008B740A" w:rsidRPr="005F3DD8" w:rsidRDefault="008B740A" w:rsidP="007E2A0F">
      <w:pPr>
        <w:pStyle w:val="Notedebasdepage"/>
        <w:rPr>
          <w:lang w:val="fr-CA"/>
        </w:rPr>
      </w:pPr>
      <w:r w:rsidRPr="002B2CD7">
        <w:rPr>
          <w:lang w:val="fr-FR"/>
        </w:rPr>
        <w:tab/>
      </w:r>
      <w:r w:rsidRPr="00A122C5">
        <w:rPr>
          <w:rStyle w:val="Appelnotedebasdep"/>
        </w:rPr>
        <w:footnoteRef/>
      </w:r>
      <w:r w:rsidRPr="002B2CD7">
        <w:rPr>
          <w:lang w:val="fr-FR"/>
        </w:rPr>
        <w:tab/>
      </w:r>
      <w:r>
        <w:rPr>
          <w:lang w:val="fr-FR"/>
        </w:rPr>
        <w:t xml:space="preserve">Code de procédure civile </w:t>
      </w:r>
      <w:r w:rsidRPr="005F3DD8">
        <w:rPr>
          <w:lang w:val="fr-FR"/>
        </w:rPr>
        <w:t>du Paraguay</w:t>
      </w:r>
      <w:r w:rsidRPr="0064534C">
        <w:rPr>
          <w:lang w:val="fr-FR"/>
        </w:rPr>
        <w:t xml:space="preserve"> </w:t>
      </w:r>
      <w:r>
        <w:rPr>
          <w:lang w:val="fr-FR"/>
        </w:rPr>
        <w:t xml:space="preserve">(loi </w:t>
      </w:r>
      <w:r w:rsidRPr="00440C4E">
        <w:rPr>
          <w:rFonts w:eastAsia="MS Mincho"/>
          <w:lang w:val="fr-FR"/>
        </w:rPr>
        <w:t>n</w:t>
      </w:r>
      <w:r w:rsidRPr="00440C4E">
        <w:rPr>
          <w:rFonts w:eastAsia="MS Mincho"/>
          <w:vertAlign w:val="superscript"/>
          <w:lang w:val="fr-FR"/>
        </w:rPr>
        <w:t>o</w:t>
      </w:r>
      <w:r>
        <w:rPr>
          <w:lang w:val="fr-FR"/>
        </w:rPr>
        <w:t> </w:t>
      </w:r>
      <w:r w:rsidRPr="002B2CD7">
        <w:rPr>
          <w:lang w:val="fr-FR"/>
        </w:rPr>
        <w:t>1337/88</w:t>
      </w:r>
      <w:r>
        <w:rPr>
          <w:lang w:val="fr-FR"/>
        </w:rPr>
        <w:t>)</w:t>
      </w:r>
      <w:r w:rsidRPr="002B2CD7">
        <w:rPr>
          <w:lang w:val="fr-FR"/>
        </w:rPr>
        <w:t xml:space="preserve">. </w:t>
      </w:r>
      <w:r>
        <w:rPr>
          <w:lang w:val="fr-FR"/>
        </w:rPr>
        <w:t>« </w:t>
      </w:r>
      <w:r w:rsidRPr="002B2CD7">
        <w:rPr>
          <w:lang w:val="fr-FR"/>
        </w:rPr>
        <w:t>Art</w:t>
      </w:r>
      <w:r>
        <w:rPr>
          <w:lang w:val="fr-FR"/>
        </w:rPr>
        <w:t>icle </w:t>
      </w:r>
      <w:r w:rsidRPr="002B2CD7">
        <w:rPr>
          <w:lang w:val="fr-FR"/>
        </w:rPr>
        <w:t>412</w:t>
      </w:r>
      <w:r>
        <w:rPr>
          <w:lang w:val="fr-FR"/>
        </w:rPr>
        <w:t>.</w:t>
      </w:r>
      <w:r w:rsidRPr="002B2CD7">
        <w:rPr>
          <w:lang w:val="fr-FR"/>
        </w:rPr>
        <w:t xml:space="preserve"> </w:t>
      </w:r>
      <w:r>
        <w:rPr>
          <w:lang w:val="fr-FR"/>
        </w:rPr>
        <w:t>Exigences préalables et devoir de diligence. Lorsque le délai légal prévu pour rendre une décision a expiré, le juge ou le tribunal qui aurait omis de la rendre peut être mis en cause par chacune des parties au procès.[…]</w:t>
      </w:r>
      <w:r w:rsidRPr="002B2CD7">
        <w:rPr>
          <w:lang w:val="fr-FR"/>
        </w:rPr>
        <w:t xml:space="preserve"> </w:t>
      </w:r>
      <w:r w:rsidRPr="00DE3141">
        <w:rPr>
          <w:lang w:val="fr-CA"/>
        </w:rPr>
        <w:t>Art</w:t>
      </w:r>
      <w:r>
        <w:rPr>
          <w:lang w:val="fr-CA"/>
        </w:rPr>
        <w:t>icle</w:t>
      </w:r>
      <w:r w:rsidRPr="00DE3141">
        <w:rPr>
          <w:lang w:val="fr-CA"/>
        </w:rPr>
        <w:t> 414</w:t>
      </w:r>
      <w:r>
        <w:rPr>
          <w:lang w:val="fr-CA"/>
        </w:rPr>
        <w:t>.</w:t>
      </w:r>
      <w:r w:rsidRPr="00DE3141">
        <w:rPr>
          <w:lang w:val="fr-CA"/>
        </w:rPr>
        <w:t xml:space="preserve"> Demande d</w:t>
      </w:r>
      <w:r>
        <w:rPr>
          <w:lang w:val="fr-CA"/>
        </w:rPr>
        <w:t>’</w:t>
      </w:r>
      <w:r w:rsidRPr="00DE3141">
        <w:rPr>
          <w:lang w:val="fr-CA"/>
        </w:rPr>
        <w:t>information. Une fois la plainte présentée, le supérieur dem</w:t>
      </w:r>
      <w:r>
        <w:rPr>
          <w:lang w:val="fr-CA"/>
        </w:rPr>
        <w:t>andera rapport à l’inférieur, qui devra le produire dans les vingt-quatre heures, en indiquant la cause qui l’empêche de rendre sa décision.</w:t>
      </w:r>
    </w:p>
  </w:footnote>
  <w:footnote w:id="18">
    <w:p w:rsidR="008B740A" w:rsidRPr="002B2CD7" w:rsidRDefault="008B740A" w:rsidP="007E2A0F">
      <w:pPr>
        <w:pStyle w:val="Notedebasdepage"/>
        <w:rPr>
          <w:lang w:val="fr-FR"/>
        </w:rPr>
      </w:pPr>
      <w:r w:rsidRPr="00F17A1C">
        <w:rPr>
          <w:lang w:val="fr-CA"/>
        </w:rPr>
        <w:tab/>
      </w:r>
      <w:r w:rsidRPr="00A122C5">
        <w:rPr>
          <w:rStyle w:val="Appelnotedebasdep"/>
        </w:rPr>
        <w:footnoteRef/>
      </w:r>
      <w:r w:rsidRPr="002B2CD7">
        <w:rPr>
          <w:lang w:val="fr-FR"/>
        </w:rPr>
        <w:tab/>
      </w:r>
      <w:r>
        <w:rPr>
          <w:lang w:val="fr-FR"/>
        </w:rPr>
        <w:t xml:space="preserve">L’auteur joint à ses observations la liste des appels </w:t>
      </w:r>
      <w:r w:rsidRPr="0064534C">
        <w:rPr>
          <w:lang w:val="fr-FR"/>
        </w:rPr>
        <w:t xml:space="preserve">téléphoniques </w:t>
      </w:r>
      <w:r w:rsidRPr="002033A7">
        <w:rPr>
          <w:lang w:val="fr-FR"/>
        </w:rPr>
        <w:t>qu</w:t>
      </w:r>
      <w:r>
        <w:rPr>
          <w:lang w:val="fr-FR"/>
        </w:rPr>
        <w:t>’</w:t>
      </w:r>
      <w:r w:rsidRPr="002033A7">
        <w:rPr>
          <w:lang w:val="fr-FR"/>
        </w:rPr>
        <w:t xml:space="preserve">il a </w:t>
      </w:r>
      <w:r w:rsidRPr="005F3DD8">
        <w:rPr>
          <w:lang w:val="fr-FR"/>
        </w:rPr>
        <w:t xml:space="preserve">adressés </w:t>
      </w:r>
      <w:r w:rsidRPr="0064534C">
        <w:rPr>
          <w:lang w:val="fr-FR"/>
        </w:rPr>
        <w:t xml:space="preserve">à la mère </w:t>
      </w:r>
      <w:r>
        <w:rPr>
          <w:lang w:val="fr-FR"/>
        </w:rPr>
        <w:t>de sa fille.</w:t>
      </w:r>
      <w:r w:rsidRPr="002B2CD7">
        <w:rPr>
          <w:lang w:val="fr-FR"/>
        </w:rPr>
        <w:t xml:space="preserve"> </w:t>
      </w:r>
    </w:p>
  </w:footnote>
  <w:footnote w:id="19">
    <w:p w:rsidR="008B740A" w:rsidRPr="006457DA" w:rsidRDefault="008B740A" w:rsidP="007E2A0F">
      <w:pPr>
        <w:pStyle w:val="Notedebasdepage"/>
        <w:rPr>
          <w:lang w:val="fr-FR"/>
        </w:rPr>
      </w:pPr>
      <w:r w:rsidRPr="002B2CD7">
        <w:rPr>
          <w:lang w:val="fr-FR"/>
        </w:rPr>
        <w:tab/>
      </w:r>
      <w:r w:rsidRPr="00A122C5">
        <w:rPr>
          <w:rStyle w:val="Appelnotedebasdep"/>
        </w:rPr>
        <w:footnoteRef/>
      </w:r>
      <w:r w:rsidRPr="002B2CD7">
        <w:rPr>
          <w:lang w:val="fr-FR"/>
        </w:rPr>
        <w:tab/>
      </w:r>
      <w:r>
        <w:rPr>
          <w:lang w:val="fr-FR"/>
        </w:rPr>
        <w:t>« Article </w:t>
      </w:r>
      <w:r w:rsidRPr="002B2CD7">
        <w:rPr>
          <w:lang w:val="fr-FR"/>
        </w:rPr>
        <w:t>179</w:t>
      </w:r>
      <w:r>
        <w:rPr>
          <w:lang w:val="fr-FR"/>
        </w:rPr>
        <w:t>.</w:t>
      </w:r>
      <w:r w:rsidRPr="002B2CD7">
        <w:rPr>
          <w:lang w:val="fr-FR"/>
        </w:rPr>
        <w:t xml:space="preserve"> </w:t>
      </w:r>
      <w:r w:rsidRPr="006457DA">
        <w:rPr>
          <w:lang w:val="fr-FR"/>
        </w:rPr>
        <w:t>Du jugement</w:t>
      </w:r>
      <w:r>
        <w:rPr>
          <w:lang w:val="fr-FR"/>
        </w:rPr>
        <w:t>.</w:t>
      </w:r>
      <w:r w:rsidRPr="006457DA">
        <w:rPr>
          <w:lang w:val="fr-FR"/>
        </w:rPr>
        <w:t xml:space="preserve"> </w:t>
      </w:r>
      <w:r>
        <w:rPr>
          <w:lang w:val="fr-FR"/>
        </w:rPr>
        <w:t>L</w:t>
      </w:r>
      <w:r w:rsidRPr="006457DA">
        <w:rPr>
          <w:lang w:val="fr-FR"/>
        </w:rPr>
        <w:t>e juge fixe la tenue de l</w:t>
      </w:r>
      <w:r>
        <w:rPr>
          <w:lang w:val="fr-FR"/>
        </w:rPr>
        <w:t>’</w:t>
      </w:r>
      <w:r w:rsidRPr="006457DA">
        <w:rPr>
          <w:lang w:val="fr-FR"/>
        </w:rPr>
        <w:t xml:space="preserve">audience dans les six jours suivant la clôture du dépôt des pièces, </w:t>
      </w:r>
      <w:r>
        <w:rPr>
          <w:lang w:val="fr-FR"/>
        </w:rPr>
        <w:t>audience au cours</w:t>
      </w:r>
      <w:r w:rsidRPr="006457DA">
        <w:rPr>
          <w:lang w:val="fr-FR"/>
        </w:rPr>
        <w:t xml:space="preserve"> de laquelle il donnera lecture de son jugement.</w:t>
      </w:r>
      <w:r>
        <w:rPr>
          <w:lang w:val="fr-FR"/>
        </w:rPr>
        <w:t> »</w:t>
      </w:r>
      <w:r w:rsidRPr="006457DA">
        <w:rPr>
          <w:lang w:val="fr-FR"/>
        </w:rPr>
        <w:t xml:space="preserve"> </w:t>
      </w:r>
    </w:p>
  </w:footnote>
  <w:footnote w:id="20">
    <w:p w:rsidR="008B740A" w:rsidRPr="006457DA" w:rsidRDefault="008B740A" w:rsidP="007E2A0F">
      <w:pPr>
        <w:pStyle w:val="Notedebasdepage"/>
        <w:rPr>
          <w:lang w:val="fr-FR"/>
        </w:rPr>
      </w:pPr>
      <w:r w:rsidRPr="006457DA">
        <w:rPr>
          <w:lang w:val="fr-FR"/>
        </w:rPr>
        <w:tab/>
      </w:r>
      <w:r w:rsidRPr="00A122C5">
        <w:rPr>
          <w:rStyle w:val="Appelnotedebasdep"/>
        </w:rPr>
        <w:footnoteRef/>
      </w:r>
      <w:r w:rsidRPr="006457DA">
        <w:rPr>
          <w:lang w:val="fr-FR"/>
        </w:rPr>
        <w:tab/>
      </w:r>
      <w:r>
        <w:rPr>
          <w:lang w:val="fr-FR"/>
        </w:rPr>
        <w:t>« </w:t>
      </w:r>
      <w:r w:rsidRPr="00346600">
        <w:rPr>
          <w:lang w:val="fr-FR"/>
        </w:rPr>
        <w:t>Art</w:t>
      </w:r>
      <w:r>
        <w:rPr>
          <w:lang w:val="fr-FR"/>
        </w:rPr>
        <w:t>icle </w:t>
      </w:r>
      <w:r w:rsidRPr="00346600">
        <w:rPr>
          <w:lang w:val="fr-FR"/>
        </w:rPr>
        <w:t>181</w:t>
      </w:r>
      <w:r w:rsidRPr="00983504">
        <w:rPr>
          <w:iCs/>
          <w:lang w:val="fr-FR"/>
        </w:rPr>
        <w:t>.</w:t>
      </w:r>
      <w:r w:rsidRPr="00346600">
        <w:rPr>
          <w:lang w:val="fr-FR"/>
        </w:rPr>
        <w:t xml:space="preserve"> De la procédure en deuxième instance</w:t>
      </w:r>
      <w:r>
        <w:rPr>
          <w:lang w:val="fr-FR"/>
        </w:rPr>
        <w:t>.</w:t>
      </w:r>
      <w:r w:rsidRPr="00346600">
        <w:rPr>
          <w:lang w:val="fr-FR"/>
        </w:rPr>
        <w:t xml:space="preserve"> Une fois saisi du dossier, le Tribunal d</w:t>
      </w:r>
      <w:r>
        <w:rPr>
          <w:lang w:val="fr-FR"/>
        </w:rPr>
        <w:t>’</w:t>
      </w:r>
      <w:r w:rsidRPr="00346600">
        <w:rPr>
          <w:lang w:val="fr-FR"/>
        </w:rPr>
        <w:t xml:space="preserve">appel pour enfants et adolescents </w:t>
      </w:r>
      <w:r>
        <w:rPr>
          <w:lang w:val="fr-FR"/>
        </w:rPr>
        <w:t>notifie l’autre partie de l’appel</w:t>
      </w:r>
      <w:r w:rsidRPr="00346600">
        <w:rPr>
          <w:lang w:val="fr-FR"/>
        </w:rPr>
        <w:t xml:space="preserve"> dans un délai de trois jours </w:t>
      </w:r>
      <w:r w:rsidRPr="00346600">
        <w:t>[…].</w:t>
      </w:r>
      <w:r>
        <w:rPr>
          <w:lang w:val="fr-FR"/>
        </w:rPr>
        <w:t xml:space="preserve"> </w:t>
      </w:r>
      <w:r w:rsidRPr="00222F98">
        <w:rPr>
          <w:lang w:val="fr-FR"/>
        </w:rPr>
        <w:t xml:space="preserve">Une fois l'audience terminée, </w:t>
      </w:r>
      <w:r>
        <w:rPr>
          <w:lang w:val="fr-FR"/>
        </w:rPr>
        <w:t>le Tribunal</w:t>
      </w:r>
      <w:r w:rsidRPr="00222F98">
        <w:rPr>
          <w:lang w:val="fr-FR"/>
        </w:rPr>
        <w:t xml:space="preserve"> met fin à la procédure et rend son jugement dans un délai de dix jours</w:t>
      </w:r>
      <w:r>
        <w:rPr>
          <w:lang w:val="fr-FR"/>
        </w:rPr>
        <w:t>. »</w:t>
      </w:r>
    </w:p>
  </w:footnote>
  <w:footnote w:id="21">
    <w:p w:rsidR="008B740A" w:rsidRPr="00B7005A" w:rsidRDefault="008B740A" w:rsidP="007E2A0F">
      <w:pPr>
        <w:pStyle w:val="Notedebasdepage"/>
        <w:rPr>
          <w:lang w:val="fr-CA"/>
        </w:rPr>
      </w:pPr>
      <w:r w:rsidRPr="006457DA">
        <w:rPr>
          <w:lang w:val="fr-FR"/>
        </w:rPr>
        <w:tab/>
      </w:r>
      <w:r w:rsidRPr="00A122C5">
        <w:rPr>
          <w:rStyle w:val="Appelnotedebasdep"/>
        </w:rPr>
        <w:footnoteRef/>
      </w:r>
      <w:r w:rsidRPr="006457DA">
        <w:rPr>
          <w:lang w:val="fr-FR"/>
        </w:rPr>
        <w:tab/>
        <w:t>L</w:t>
      </w:r>
      <w:r>
        <w:rPr>
          <w:lang w:val="fr-FR"/>
        </w:rPr>
        <w:t>’</w:t>
      </w:r>
      <w:r w:rsidRPr="006457DA">
        <w:rPr>
          <w:lang w:val="fr-FR"/>
        </w:rPr>
        <w:t>auteur ne précise pas de quel appel il s</w:t>
      </w:r>
      <w:r>
        <w:rPr>
          <w:lang w:val="fr-FR"/>
        </w:rPr>
        <w:t>’</w:t>
      </w:r>
      <w:r w:rsidRPr="006457DA">
        <w:rPr>
          <w:lang w:val="fr-FR"/>
        </w:rPr>
        <w:t xml:space="preserve">agit, ni de </w:t>
      </w:r>
      <w:r>
        <w:rPr>
          <w:lang w:val="fr-FR"/>
        </w:rPr>
        <w:t xml:space="preserve">la date à laquelle il </w:t>
      </w:r>
      <w:r w:rsidRPr="00575AFD">
        <w:rPr>
          <w:lang w:val="fr-FR"/>
        </w:rPr>
        <w:t>a été interjeté.</w:t>
      </w:r>
    </w:p>
  </w:footnote>
  <w:footnote w:id="22">
    <w:p w:rsidR="008B740A" w:rsidRPr="006457DA" w:rsidRDefault="008B740A" w:rsidP="007E2A0F">
      <w:pPr>
        <w:pStyle w:val="Notedebasdepage"/>
        <w:rPr>
          <w:lang w:val="fr-FR"/>
        </w:rPr>
      </w:pPr>
      <w:r w:rsidRPr="00B7005A">
        <w:rPr>
          <w:lang w:val="fr-CA"/>
        </w:rPr>
        <w:tab/>
      </w:r>
      <w:r w:rsidRPr="00A122C5">
        <w:rPr>
          <w:rStyle w:val="Appelnotedebasdep"/>
        </w:rPr>
        <w:footnoteRef/>
      </w:r>
      <w:r w:rsidRPr="002B2CD7">
        <w:rPr>
          <w:lang w:val="fr-FR"/>
        </w:rPr>
        <w:tab/>
      </w:r>
      <w:r>
        <w:rPr>
          <w:lang w:val="fr-FR"/>
        </w:rPr>
        <w:t>« Article </w:t>
      </w:r>
      <w:r w:rsidRPr="002B2CD7">
        <w:rPr>
          <w:lang w:val="fr-FR"/>
        </w:rPr>
        <w:t>28</w:t>
      </w:r>
      <w:r>
        <w:rPr>
          <w:lang w:val="fr-FR"/>
        </w:rPr>
        <w:t xml:space="preserve">. </w:t>
      </w:r>
      <w:r>
        <w:rPr>
          <w:lang w:val="fr-CA"/>
        </w:rPr>
        <w:t>La Cour suprême de justice</w:t>
      </w:r>
      <w:r w:rsidRPr="009056E0">
        <w:rPr>
          <w:lang w:val="fr-CA"/>
        </w:rPr>
        <w:t xml:space="preserve"> </w:t>
      </w:r>
      <w:r>
        <w:rPr>
          <w:lang w:val="fr-CA"/>
        </w:rPr>
        <w:t>connaît :</w:t>
      </w:r>
      <w:r w:rsidRPr="009056E0">
        <w:rPr>
          <w:lang w:val="fr-CA"/>
        </w:rPr>
        <w:t xml:space="preserve"> </w:t>
      </w:r>
      <w:r>
        <w:rPr>
          <w:lang w:val="fr-CA"/>
        </w:rPr>
        <w:t xml:space="preserve">[…] </w:t>
      </w:r>
      <w:r w:rsidRPr="009056E0">
        <w:rPr>
          <w:lang w:val="fr-CA"/>
        </w:rPr>
        <w:t xml:space="preserve">2. </w:t>
      </w:r>
      <w:r>
        <w:rPr>
          <w:lang w:val="fr-CA"/>
        </w:rPr>
        <w:t xml:space="preserve">Des recours en appel et en nullité : </w:t>
      </w:r>
      <w:r w:rsidRPr="002B2CD7">
        <w:rPr>
          <w:lang w:val="fr-FR"/>
        </w:rPr>
        <w:t>a)</w:t>
      </w:r>
      <w:r>
        <w:rPr>
          <w:lang w:val="fr-FR"/>
        </w:rPr>
        <w:t xml:space="preserve"> des jugements définitifs rendus </w:t>
      </w:r>
      <w:r w:rsidRPr="00230743">
        <w:rPr>
          <w:lang w:val="fr-FR"/>
        </w:rPr>
        <w:t>par la Cour des comptes et par les tribunaux d</w:t>
      </w:r>
      <w:r>
        <w:rPr>
          <w:lang w:val="fr-FR"/>
        </w:rPr>
        <w:t>’</w:t>
      </w:r>
      <w:r w:rsidRPr="00230743">
        <w:rPr>
          <w:lang w:val="fr-FR"/>
        </w:rPr>
        <w:t>appel qui modifient ou annulent les décisions prises en première instance</w:t>
      </w:r>
      <w:r>
        <w:rPr>
          <w:lang w:val="fr-FR"/>
        </w:rPr>
        <w:t> ;</w:t>
      </w:r>
      <w:r w:rsidRPr="00230743">
        <w:rPr>
          <w:lang w:val="fr-FR"/>
        </w:rPr>
        <w:t xml:space="preserve"> conformément aux dispositions des Codes </w:t>
      </w:r>
      <w:r>
        <w:rPr>
          <w:lang w:val="fr-FR"/>
        </w:rPr>
        <w:t>de procédure et aux lois applicables ;</w:t>
      </w:r>
      <w:r w:rsidRPr="002B2CD7">
        <w:rPr>
          <w:lang w:val="fr-FR"/>
        </w:rPr>
        <w:t xml:space="preserve"> b)</w:t>
      </w:r>
      <w:r>
        <w:rPr>
          <w:lang w:val="fr-FR"/>
        </w:rPr>
        <w:t> </w:t>
      </w:r>
      <w:r w:rsidRPr="002B2CD7">
        <w:rPr>
          <w:lang w:val="fr-FR"/>
        </w:rPr>
        <w:t>de</w:t>
      </w:r>
      <w:r>
        <w:rPr>
          <w:lang w:val="fr-FR"/>
        </w:rPr>
        <w:t xml:space="preserve">s </w:t>
      </w:r>
      <w:r w:rsidRPr="006457DA">
        <w:rPr>
          <w:lang w:val="fr-FR"/>
        </w:rPr>
        <w:t>décisions rendues par les tribunaux d</w:t>
      </w:r>
      <w:r>
        <w:rPr>
          <w:lang w:val="fr-FR"/>
        </w:rPr>
        <w:t>’</w:t>
      </w:r>
      <w:r w:rsidRPr="006457DA">
        <w:rPr>
          <w:lang w:val="fr-FR"/>
        </w:rPr>
        <w:t>appel, en matière civile, commerciale, pénale ou comptable</w:t>
      </w:r>
      <w:r>
        <w:rPr>
          <w:lang w:val="fr-FR"/>
        </w:rPr>
        <w:t> ;</w:t>
      </w:r>
      <w:r w:rsidRPr="006457DA">
        <w:rPr>
          <w:lang w:val="fr-FR"/>
        </w:rPr>
        <w:t xml:space="preserve"> c) les arrêts des tribunaux d</w:t>
      </w:r>
      <w:r>
        <w:rPr>
          <w:lang w:val="fr-FR"/>
        </w:rPr>
        <w:t>’</w:t>
      </w:r>
      <w:r w:rsidRPr="006457DA">
        <w:rPr>
          <w:lang w:val="fr-FR"/>
        </w:rPr>
        <w:t>appel qui imposent la peine de mort ou des peines de prison allant de quinze à trente ans, qui ne deviendront exécutoires qu</w:t>
      </w:r>
      <w:r>
        <w:rPr>
          <w:lang w:val="fr-FR"/>
        </w:rPr>
        <w:t>’</w:t>
      </w:r>
      <w:r w:rsidRPr="006457DA">
        <w:rPr>
          <w:lang w:val="fr-FR"/>
        </w:rPr>
        <w:t>après que la Cour suprême de justice s</w:t>
      </w:r>
      <w:r>
        <w:rPr>
          <w:lang w:val="fr-FR"/>
        </w:rPr>
        <w:t>’</w:t>
      </w:r>
      <w:r w:rsidRPr="006457DA">
        <w:rPr>
          <w:lang w:val="fr-FR"/>
        </w:rPr>
        <w:t>est prononcée. Contre de telles décisions</w:t>
      </w:r>
      <w:r>
        <w:rPr>
          <w:lang w:val="fr-FR"/>
        </w:rPr>
        <w:t>,</w:t>
      </w:r>
      <w:r w:rsidRPr="006457DA">
        <w:rPr>
          <w:lang w:val="fr-FR"/>
        </w:rPr>
        <w:t xml:space="preserve"> des appels et recours en nullité sont toujours formés, pour autant que les parties y consentent.</w:t>
      </w:r>
      <w:r>
        <w:rPr>
          <w:lang w:val="fr-FR"/>
        </w:rPr>
        <w:t> ».</w:t>
      </w:r>
    </w:p>
  </w:footnote>
  <w:footnote w:id="23">
    <w:p w:rsidR="008B740A" w:rsidRPr="006457DA" w:rsidRDefault="008B740A" w:rsidP="007E2A0F">
      <w:pPr>
        <w:pStyle w:val="Notedebasdepage"/>
        <w:rPr>
          <w:lang w:val="fr-CA"/>
        </w:rPr>
      </w:pPr>
      <w:r w:rsidRPr="006457DA">
        <w:rPr>
          <w:lang w:val="fr-FR"/>
        </w:rPr>
        <w:tab/>
      </w:r>
      <w:r w:rsidRPr="00A122C5">
        <w:rPr>
          <w:rStyle w:val="Appelnotedebasdep"/>
        </w:rPr>
        <w:footnoteRef/>
      </w:r>
      <w:r w:rsidRPr="006457DA">
        <w:rPr>
          <w:lang w:val="fr-CA"/>
        </w:rPr>
        <w:tab/>
      </w:r>
      <w:r>
        <w:rPr>
          <w:lang w:val="fr-CA"/>
        </w:rPr>
        <w:t>P</w:t>
      </w:r>
      <w:r w:rsidRPr="006457DA">
        <w:rPr>
          <w:lang w:val="fr-CA"/>
        </w:rPr>
        <w:t>romulguée le 23</w:t>
      </w:r>
      <w:r>
        <w:rPr>
          <w:lang w:val="fr-CA"/>
        </w:rPr>
        <w:t> </w:t>
      </w:r>
      <w:r w:rsidRPr="006457DA">
        <w:rPr>
          <w:lang w:val="fr-CA"/>
        </w:rPr>
        <w:t>juin 2005.</w:t>
      </w:r>
    </w:p>
  </w:footnote>
  <w:footnote w:id="24">
    <w:p w:rsidR="008B740A" w:rsidRPr="001615A9" w:rsidRDefault="008B740A" w:rsidP="007E2A0F">
      <w:pPr>
        <w:pStyle w:val="Notedebasdepage"/>
        <w:rPr>
          <w:lang w:val="fr-FR"/>
        </w:rPr>
      </w:pPr>
      <w:r w:rsidRPr="006457DA">
        <w:rPr>
          <w:lang w:val="fr-CA"/>
        </w:rPr>
        <w:tab/>
      </w:r>
      <w:r w:rsidRPr="00A122C5">
        <w:rPr>
          <w:rStyle w:val="Appelnotedebasdep"/>
        </w:rPr>
        <w:footnoteRef/>
      </w:r>
      <w:r w:rsidRPr="006457DA">
        <w:rPr>
          <w:lang w:val="fr-CA"/>
        </w:rPr>
        <w:tab/>
      </w:r>
      <w:r>
        <w:rPr>
          <w:lang w:val="fr-CA"/>
        </w:rPr>
        <w:t>« </w:t>
      </w:r>
      <w:r w:rsidRPr="006457DA">
        <w:rPr>
          <w:lang w:val="fr-CA"/>
        </w:rPr>
        <w:t>Art</w:t>
      </w:r>
      <w:r>
        <w:rPr>
          <w:lang w:val="fr-CA"/>
        </w:rPr>
        <w:t>icle </w:t>
      </w:r>
      <w:r w:rsidRPr="006457DA">
        <w:rPr>
          <w:lang w:val="fr-CA"/>
        </w:rPr>
        <w:t>403</w:t>
      </w:r>
      <w:r>
        <w:rPr>
          <w:lang w:val="fr-CA"/>
        </w:rPr>
        <w:t>.</w:t>
      </w:r>
      <w:r w:rsidRPr="006457DA">
        <w:rPr>
          <w:lang w:val="fr-CA"/>
        </w:rPr>
        <w:t xml:space="preserve"> </w:t>
      </w:r>
      <w:r w:rsidRPr="006457DA">
        <w:rPr>
          <w:lang w:val="fr-FR"/>
        </w:rPr>
        <w:t>Procédure de recours devant la Cour. Le recours devant la Cour suprême de justice est possible pour contester toute décision définitive du Tribunal d</w:t>
      </w:r>
      <w:r>
        <w:rPr>
          <w:lang w:val="fr-FR"/>
        </w:rPr>
        <w:t>’</w:t>
      </w:r>
      <w:r w:rsidRPr="006457DA">
        <w:rPr>
          <w:lang w:val="fr-FR"/>
        </w:rPr>
        <w:t>appel qui annule ou modifie la décision prise en première instance. Dans ce dernier cas, ne pourra faire l</w:t>
      </w:r>
      <w:r>
        <w:rPr>
          <w:lang w:val="fr-FR"/>
        </w:rPr>
        <w:t>’</w:t>
      </w:r>
      <w:r w:rsidRPr="006457DA">
        <w:rPr>
          <w:lang w:val="fr-FR"/>
        </w:rPr>
        <w:t>objet d</w:t>
      </w:r>
      <w:r>
        <w:rPr>
          <w:lang w:val="fr-FR"/>
        </w:rPr>
        <w:t>’</w:t>
      </w:r>
      <w:r w:rsidRPr="006457DA">
        <w:rPr>
          <w:lang w:val="fr-FR"/>
        </w:rPr>
        <w:t>un recours que ce qui a fait l</w:t>
      </w:r>
      <w:r>
        <w:rPr>
          <w:lang w:val="fr-FR"/>
        </w:rPr>
        <w:t>’</w:t>
      </w:r>
      <w:r w:rsidRPr="006457DA">
        <w:rPr>
          <w:lang w:val="fr-FR"/>
        </w:rPr>
        <w:t>objet de modification</w:t>
      </w:r>
      <w:r>
        <w:rPr>
          <w:lang w:val="fr-FR"/>
        </w:rPr>
        <w:t>s</w:t>
      </w:r>
      <w:r w:rsidRPr="006457DA">
        <w:rPr>
          <w:lang w:val="fr-FR"/>
        </w:rPr>
        <w:t xml:space="preserve"> et dans les limites de ce qui a été modifié. En ce qui concerne les décisions prises dans le cadre de procédures d</w:t>
      </w:r>
      <w:r>
        <w:rPr>
          <w:lang w:val="fr-FR"/>
        </w:rPr>
        <w:t>’</w:t>
      </w:r>
      <w:r w:rsidRPr="006457DA">
        <w:rPr>
          <w:lang w:val="fr-FR"/>
        </w:rPr>
        <w:t xml:space="preserve">exécution, de reprise de biens et, en général, dans celles qui autorisent </w:t>
      </w:r>
      <w:r w:rsidRPr="001615A9">
        <w:rPr>
          <w:lang w:val="fr-FR"/>
        </w:rPr>
        <w:t>un jugement ultérieur, un tel recours n</w:t>
      </w:r>
      <w:r>
        <w:rPr>
          <w:lang w:val="fr-FR"/>
        </w:rPr>
        <w:t>’</w:t>
      </w:r>
      <w:r w:rsidRPr="001615A9">
        <w:rPr>
          <w:lang w:val="fr-FR"/>
        </w:rPr>
        <w:t>est pas possible. La Cour statuera aussi contre les arrêts du tribunal d</w:t>
      </w:r>
      <w:r>
        <w:rPr>
          <w:lang w:val="fr-FR"/>
        </w:rPr>
        <w:t>’</w:t>
      </w:r>
      <w:r w:rsidRPr="001615A9">
        <w:rPr>
          <w:lang w:val="fr-FR"/>
        </w:rPr>
        <w:t>appel susceptibles de causer un préjudice irréparable ou de donner lieu à une procédure incidente.</w:t>
      </w:r>
      <w:r>
        <w:rPr>
          <w:lang w:val="fr-FR"/>
        </w:rPr>
        <w:t> ».</w:t>
      </w:r>
    </w:p>
  </w:footnote>
  <w:footnote w:id="25">
    <w:p w:rsidR="008B740A" w:rsidRPr="00A122C5" w:rsidRDefault="008B740A" w:rsidP="007E2A0F">
      <w:pPr>
        <w:pStyle w:val="Notedebasdepage"/>
        <w:rPr>
          <w:lang w:val="es-ES"/>
        </w:rPr>
      </w:pPr>
      <w:r w:rsidRPr="002B2CD7">
        <w:rPr>
          <w:lang w:val="fr-FR"/>
        </w:rPr>
        <w:tab/>
      </w:r>
      <w:r w:rsidRPr="00A122C5">
        <w:rPr>
          <w:rStyle w:val="Appelnotedebasdep"/>
        </w:rPr>
        <w:footnoteRef/>
      </w:r>
      <w:r w:rsidRPr="00A122C5">
        <w:rPr>
          <w:lang w:val="es-ES"/>
        </w:rPr>
        <w:tab/>
      </w:r>
      <w:r w:rsidRPr="00A122C5">
        <w:rPr>
          <w:i/>
          <w:iCs/>
          <w:lang w:val="es-ES"/>
        </w:rPr>
        <w:t>Asensi Martínez</w:t>
      </w:r>
      <w:r w:rsidRPr="00A122C5">
        <w:rPr>
          <w:lang w:val="es-ES"/>
        </w:rPr>
        <w:t xml:space="preserve"> </w:t>
      </w:r>
      <w:r w:rsidRPr="00E42944">
        <w:rPr>
          <w:i/>
          <w:iCs/>
          <w:lang w:val="es-ES"/>
        </w:rPr>
        <w:t>c.</w:t>
      </w:r>
      <w:r w:rsidRPr="00A122C5">
        <w:rPr>
          <w:lang w:val="es-ES"/>
        </w:rPr>
        <w:t xml:space="preserve"> </w:t>
      </w:r>
      <w:r w:rsidRPr="00A122C5">
        <w:rPr>
          <w:i/>
          <w:iCs/>
          <w:lang w:val="es-ES"/>
        </w:rPr>
        <w:t>Paraguay</w:t>
      </w:r>
      <w:r w:rsidRPr="00A122C5">
        <w:rPr>
          <w:lang w:val="es-ES"/>
        </w:rPr>
        <w:t xml:space="preserve"> (CCPR/C/95/D/1407/2005), par.</w:t>
      </w:r>
      <w:r>
        <w:rPr>
          <w:lang w:val="es-ES"/>
        </w:rPr>
        <w:t> </w:t>
      </w:r>
      <w:r w:rsidRPr="00A122C5">
        <w:rPr>
          <w:lang w:val="es-ES"/>
        </w:rPr>
        <w:t>7.4.</w:t>
      </w:r>
    </w:p>
  </w:footnote>
  <w:footnote w:id="26">
    <w:p w:rsidR="008B740A" w:rsidRPr="00EC142A" w:rsidRDefault="008B740A" w:rsidP="007E2A0F">
      <w:pPr>
        <w:pStyle w:val="Notedebasdepage"/>
        <w:jc w:val="both"/>
        <w:rPr>
          <w:rFonts w:eastAsia="Times New Roman"/>
          <w:lang w:val="fr-FR" w:eastAsia="es-ES"/>
        </w:rPr>
      </w:pPr>
      <w:r w:rsidRPr="00A122C5">
        <w:rPr>
          <w:lang w:val="es-ES"/>
        </w:rPr>
        <w:tab/>
      </w:r>
      <w:r w:rsidRPr="00A122C5">
        <w:rPr>
          <w:rStyle w:val="Appelnotedebasdep"/>
        </w:rPr>
        <w:footnoteRef/>
      </w:r>
      <w:r w:rsidRPr="002B2CD7">
        <w:rPr>
          <w:lang w:val="fr-FR"/>
        </w:rPr>
        <w:tab/>
      </w:r>
      <w:r>
        <w:rPr>
          <w:lang w:val="fr-FR"/>
        </w:rPr>
        <w:t xml:space="preserve">L’auteur renvoie à </w:t>
      </w:r>
      <w:proofErr w:type="spellStart"/>
      <w:r w:rsidRPr="00851B55">
        <w:rPr>
          <w:i/>
          <w:iCs/>
          <w:lang w:val="fr-FR"/>
        </w:rPr>
        <w:t>Muñoz</w:t>
      </w:r>
      <w:proofErr w:type="spellEnd"/>
      <w:r w:rsidRPr="00851B55">
        <w:rPr>
          <w:i/>
          <w:iCs/>
          <w:lang w:val="fr-FR"/>
        </w:rPr>
        <w:t xml:space="preserve"> </w:t>
      </w:r>
      <w:proofErr w:type="spellStart"/>
      <w:r w:rsidRPr="00851B55">
        <w:rPr>
          <w:i/>
          <w:iCs/>
          <w:lang w:val="fr-FR"/>
        </w:rPr>
        <w:t>Hermoza</w:t>
      </w:r>
      <w:proofErr w:type="spellEnd"/>
      <w:r w:rsidRPr="00851B55">
        <w:rPr>
          <w:i/>
          <w:iCs/>
          <w:lang w:val="fr-FR"/>
        </w:rPr>
        <w:t xml:space="preserve"> </w:t>
      </w:r>
      <w:r w:rsidRPr="00E42944">
        <w:rPr>
          <w:i/>
          <w:iCs/>
          <w:lang w:val="fr-FR"/>
        </w:rPr>
        <w:t>c.</w:t>
      </w:r>
      <w:r w:rsidRPr="002B2CD7">
        <w:rPr>
          <w:lang w:val="fr-FR"/>
        </w:rPr>
        <w:t xml:space="preserve"> </w:t>
      </w:r>
      <w:r w:rsidRPr="00851B55">
        <w:rPr>
          <w:i/>
          <w:iCs/>
          <w:lang w:val="fr-FR"/>
        </w:rPr>
        <w:t>Pérou</w:t>
      </w:r>
      <w:r>
        <w:rPr>
          <w:i/>
          <w:iCs/>
          <w:lang w:val="fr-FR"/>
        </w:rPr>
        <w:t xml:space="preserve"> </w:t>
      </w:r>
      <w:r w:rsidRPr="00EC142A">
        <w:rPr>
          <w:rFonts w:eastAsia="Times New Roman"/>
          <w:lang w:val="fr-FR" w:eastAsia="es-ES"/>
        </w:rPr>
        <w:t>(CCPR/C/34/D/203/1986)</w:t>
      </w:r>
      <w:r w:rsidRPr="002B2CD7">
        <w:rPr>
          <w:lang w:val="fr-FR"/>
        </w:rPr>
        <w:t>, p</w:t>
      </w:r>
      <w:r>
        <w:rPr>
          <w:lang w:val="fr-FR"/>
        </w:rPr>
        <w:t>ar. </w:t>
      </w:r>
      <w:r w:rsidRPr="002B2CD7">
        <w:rPr>
          <w:lang w:val="fr-FR"/>
        </w:rPr>
        <w:t>11.3</w:t>
      </w:r>
      <w:r>
        <w:rPr>
          <w:lang w:val="fr-FR"/>
        </w:rPr>
        <w:t> ;</w:t>
      </w:r>
      <w:r w:rsidRPr="002B2CD7">
        <w:rPr>
          <w:lang w:val="fr-FR"/>
        </w:rPr>
        <w:t xml:space="preserve"> </w:t>
      </w:r>
      <w:r w:rsidRPr="009056E0">
        <w:rPr>
          <w:i/>
          <w:iCs/>
          <w:lang w:val="fr-FR"/>
        </w:rPr>
        <w:t>González Rio</w:t>
      </w:r>
      <w:r w:rsidRPr="002B2CD7">
        <w:rPr>
          <w:lang w:val="fr-FR"/>
        </w:rPr>
        <w:t xml:space="preserve"> </w:t>
      </w:r>
      <w:r w:rsidRPr="00E42944">
        <w:rPr>
          <w:i/>
          <w:iCs/>
          <w:lang w:val="fr-FR"/>
        </w:rPr>
        <w:t>c.</w:t>
      </w:r>
      <w:r w:rsidRPr="002B2CD7">
        <w:rPr>
          <w:lang w:val="fr-FR"/>
        </w:rPr>
        <w:t xml:space="preserve"> </w:t>
      </w:r>
      <w:r w:rsidRPr="0017576F">
        <w:rPr>
          <w:i/>
          <w:iCs/>
          <w:lang w:val="fr-FR"/>
        </w:rPr>
        <w:t>Pérou</w:t>
      </w:r>
      <w:r w:rsidRPr="002B2CD7">
        <w:rPr>
          <w:lang w:val="fr-FR"/>
        </w:rPr>
        <w:t xml:space="preserve"> </w:t>
      </w:r>
      <w:r w:rsidRPr="007233E7">
        <w:rPr>
          <w:rFonts w:eastAsia="Times New Roman"/>
          <w:lang w:val="fr-FR" w:eastAsia="es-ES"/>
        </w:rPr>
        <w:t>(CCPR/C/46/D/263/1987)</w:t>
      </w:r>
      <w:r w:rsidRPr="002B2CD7">
        <w:rPr>
          <w:lang w:val="fr-FR"/>
        </w:rPr>
        <w:t xml:space="preserve">, </w:t>
      </w:r>
      <w:r>
        <w:rPr>
          <w:lang w:val="fr-FR"/>
        </w:rPr>
        <w:t>par</w:t>
      </w:r>
      <w:r w:rsidRPr="002B2CD7">
        <w:rPr>
          <w:lang w:val="fr-FR"/>
        </w:rPr>
        <w:t>.</w:t>
      </w:r>
      <w:r>
        <w:rPr>
          <w:lang w:val="fr-FR"/>
        </w:rPr>
        <w:t> </w:t>
      </w:r>
      <w:r w:rsidRPr="002B2CD7">
        <w:rPr>
          <w:lang w:val="fr-FR"/>
        </w:rPr>
        <w:t>5.2</w:t>
      </w:r>
      <w:r>
        <w:rPr>
          <w:lang w:val="fr-FR"/>
        </w:rPr>
        <w:t> ;</w:t>
      </w:r>
      <w:r w:rsidRPr="002B2CD7">
        <w:rPr>
          <w:lang w:val="fr-FR"/>
        </w:rPr>
        <w:t xml:space="preserve"> </w:t>
      </w:r>
      <w:r w:rsidRPr="00851B55">
        <w:rPr>
          <w:i/>
          <w:iCs/>
          <w:lang w:val="fr-FR"/>
        </w:rPr>
        <w:t>Fei</w:t>
      </w:r>
      <w:r w:rsidRPr="002B2CD7">
        <w:rPr>
          <w:lang w:val="fr-FR"/>
        </w:rPr>
        <w:t xml:space="preserve"> </w:t>
      </w:r>
      <w:r w:rsidRPr="00E42944">
        <w:rPr>
          <w:i/>
          <w:iCs/>
          <w:lang w:val="fr-FR"/>
        </w:rPr>
        <w:t>c.</w:t>
      </w:r>
      <w:r>
        <w:rPr>
          <w:lang w:val="fr-FR"/>
        </w:rPr>
        <w:t> </w:t>
      </w:r>
      <w:r w:rsidRPr="00851B55">
        <w:rPr>
          <w:i/>
          <w:iCs/>
          <w:lang w:val="fr-FR"/>
        </w:rPr>
        <w:t>Colombi</w:t>
      </w:r>
      <w:r>
        <w:rPr>
          <w:i/>
          <w:iCs/>
          <w:lang w:val="fr-FR"/>
        </w:rPr>
        <w:t>e</w:t>
      </w:r>
      <w:r w:rsidRPr="00EC142A">
        <w:rPr>
          <w:rFonts w:eastAsia="Times New Roman"/>
          <w:lang w:val="fr-FR" w:eastAsia="es-ES"/>
        </w:rPr>
        <w:t xml:space="preserve"> (CCPR/C/53/D/514/1992)</w:t>
      </w:r>
      <w:r w:rsidRPr="002B2CD7">
        <w:rPr>
          <w:lang w:val="fr-FR"/>
        </w:rPr>
        <w:t>, p</w:t>
      </w:r>
      <w:r>
        <w:rPr>
          <w:lang w:val="fr-FR"/>
        </w:rPr>
        <w:t>ar</w:t>
      </w:r>
      <w:r w:rsidRPr="002B2CD7">
        <w:rPr>
          <w:lang w:val="fr-FR"/>
        </w:rPr>
        <w:t>.</w:t>
      </w:r>
      <w:r>
        <w:rPr>
          <w:lang w:val="fr-FR"/>
        </w:rPr>
        <w:t> </w:t>
      </w:r>
      <w:r w:rsidRPr="002B2CD7">
        <w:rPr>
          <w:lang w:val="fr-FR"/>
        </w:rPr>
        <w:t>8.4.</w:t>
      </w:r>
      <w:r>
        <w:rPr>
          <w:lang w:val="fr-FR"/>
        </w:rPr>
        <w:t> ;</w:t>
      </w:r>
      <w:r w:rsidRPr="002B2CD7">
        <w:rPr>
          <w:lang w:val="fr-FR"/>
        </w:rPr>
        <w:t xml:space="preserve"> </w:t>
      </w:r>
      <w:r>
        <w:rPr>
          <w:lang w:val="fr-FR"/>
        </w:rPr>
        <w:t>et</w:t>
      </w:r>
      <w:r w:rsidRPr="002B2CD7">
        <w:rPr>
          <w:lang w:val="fr-FR"/>
        </w:rPr>
        <w:t xml:space="preserve"> </w:t>
      </w:r>
      <w:r>
        <w:rPr>
          <w:i/>
          <w:iCs/>
          <w:lang w:val="fr-FR"/>
        </w:rPr>
        <w:t xml:space="preserve">Balaguer </w:t>
      </w:r>
      <w:proofErr w:type="spellStart"/>
      <w:r>
        <w:rPr>
          <w:i/>
          <w:iCs/>
          <w:lang w:val="fr-FR"/>
        </w:rPr>
        <w:t>S</w:t>
      </w:r>
      <w:r w:rsidRPr="00851B55">
        <w:rPr>
          <w:i/>
          <w:iCs/>
          <w:lang w:val="fr-FR"/>
        </w:rPr>
        <w:t>antacana</w:t>
      </w:r>
      <w:proofErr w:type="spellEnd"/>
      <w:r w:rsidRPr="002B2CD7">
        <w:rPr>
          <w:lang w:val="fr-FR"/>
        </w:rPr>
        <w:t xml:space="preserve"> </w:t>
      </w:r>
      <w:r w:rsidRPr="00E42944">
        <w:rPr>
          <w:i/>
          <w:iCs/>
          <w:lang w:val="fr-FR"/>
        </w:rPr>
        <w:t>c.</w:t>
      </w:r>
      <w:r>
        <w:rPr>
          <w:lang w:val="fr-FR"/>
        </w:rPr>
        <w:t> </w:t>
      </w:r>
      <w:r>
        <w:rPr>
          <w:i/>
          <w:iCs/>
          <w:lang w:val="fr-FR"/>
        </w:rPr>
        <w:t>Espagne</w:t>
      </w:r>
      <w:r w:rsidRPr="002B2CD7">
        <w:rPr>
          <w:lang w:val="fr-FR"/>
        </w:rPr>
        <w:t xml:space="preserve"> </w:t>
      </w:r>
      <w:r w:rsidRPr="00EC142A">
        <w:rPr>
          <w:rFonts w:eastAsia="Times New Roman"/>
          <w:lang w:val="fr-FR" w:eastAsia="es-ES"/>
        </w:rPr>
        <w:t>(CCPR/C/51/D/417/1990), p</w:t>
      </w:r>
      <w:r>
        <w:rPr>
          <w:rFonts w:eastAsia="Times New Roman"/>
          <w:lang w:val="fr-FR" w:eastAsia="es-ES"/>
        </w:rPr>
        <w:t>ar</w:t>
      </w:r>
      <w:r w:rsidRPr="00EC142A">
        <w:rPr>
          <w:rFonts w:eastAsia="Times New Roman"/>
          <w:lang w:val="fr-FR" w:eastAsia="es-ES"/>
        </w:rPr>
        <w:t>.</w:t>
      </w:r>
      <w:r>
        <w:rPr>
          <w:rFonts w:eastAsia="Times New Roman"/>
          <w:lang w:val="fr-FR" w:eastAsia="es-ES"/>
        </w:rPr>
        <w:t> </w:t>
      </w:r>
      <w:r w:rsidRPr="00EC142A">
        <w:rPr>
          <w:rFonts w:eastAsia="Times New Roman"/>
          <w:lang w:val="fr-FR" w:eastAsia="es-ES"/>
        </w:rPr>
        <w:t>6.2.</w:t>
      </w:r>
    </w:p>
    <w:p w:rsidR="008B740A" w:rsidRPr="002B2CD7" w:rsidRDefault="008B740A" w:rsidP="007E2A0F">
      <w:pPr>
        <w:pStyle w:val="Notedebasdepage"/>
        <w:rPr>
          <w:lang w:val="fr-FR"/>
        </w:rPr>
      </w:pPr>
    </w:p>
  </w:footnote>
  <w:footnote w:id="27">
    <w:p w:rsidR="008B740A" w:rsidRPr="005F65C7" w:rsidRDefault="008B740A" w:rsidP="007E2A0F">
      <w:pPr>
        <w:pStyle w:val="Notedebasdepage"/>
        <w:rPr>
          <w:lang w:val="fr-CA"/>
        </w:rPr>
      </w:pPr>
      <w:r w:rsidRPr="008C3EA4">
        <w:rPr>
          <w:lang w:val="fr-CA"/>
        </w:rPr>
        <w:tab/>
      </w:r>
      <w:r w:rsidRPr="00A122C5">
        <w:rPr>
          <w:rStyle w:val="Appelnotedebasdep"/>
        </w:rPr>
        <w:footnoteRef/>
      </w:r>
      <w:r w:rsidRPr="008C3EA4">
        <w:rPr>
          <w:lang w:val="fr-CA"/>
        </w:rPr>
        <w:tab/>
        <w:t>L</w:t>
      </w:r>
      <w:r>
        <w:rPr>
          <w:lang w:val="fr-CA"/>
        </w:rPr>
        <w:t>’</w:t>
      </w:r>
      <w:r w:rsidRPr="008C3EA4">
        <w:rPr>
          <w:lang w:val="fr-CA"/>
        </w:rPr>
        <w:t>auteur ne fournit aucune autre information sur la date ou les circonstances dans lesquelles il a été admonesté pour non-</w:t>
      </w:r>
      <w:r w:rsidRPr="005F65C7">
        <w:rPr>
          <w:lang w:val="fr-CA"/>
        </w:rPr>
        <w:t xml:space="preserve">respect du régime de visite. </w:t>
      </w:r>
    </w:p>
  </w:footnote>
  <w:footnote w:id="28">
    <w:p w:rsidR="008B740A" w:rsidRPr="00B02AEF" w:rsidRDefault="008B740A" w:rsidP="007E2A0F">
      <w:pPr>
        <w:pStyle w:val="Notedebasdepage"/>
        <w:rPr>
          <w:lang w:val="fr-CA"/>
        </w:rPr>
      </w:pPr>
      <w:r w:rsidRPr="002402C6">
        <w:rPr>
          <w:lang w:val="fr-CA"/>
        </w:rPr>
        <w:tab/>
      </w:r>
      <w:r w:rsidRPr="00A122C5">
        <w:rPr>
          <w:rStyle w:val="Appelnotedebasdep"/>
        </w:rPr>
        <w:footnoteRef/>
      </w:r>
      <w:r w:rsidRPr="00B02AEF">
        <w:rPr>
          <w:lang w:val="fr-CA"/>
        </w:rPr>
        <w:tab/>
      </w:r>
      <w:r w:rsidRPr="002B2CD7">
        <w:rPr>
          <w:lang w:val="fr-FR"/>
        </w:rPr>
        <w:t>L</w:t>
      </w:r>
      <w:r>
        <w:rPr>
          <w:lang w:val="fr-FR"/>
        </w:rPr>
        <w:t>’</w:t>
      </w:r>
      <w:r w:rsidRPr="002B2CD7">
        <w:rPr>
          <w:lang w:val="fr-FR"/>
        </w:rPr>
        <w:t>auteur ne donne pas d</w:t>
      </w:r>
      <w:r>
        <w:rPr>
          <w:lang w:val="fr-FR"/>
        </w:rPr>
        <w:t>’</w:t>
      </w:r>
      <w:r w:rsidRPr="002B2CD7">
        <w:rPr>
          <w:lang w:val="fr-FR"/>
        </w:rPr>
        <w:t xml:space="preserve">autre information </w:t>
      </w:r>
      <w:r>
        <w:rPr>
          <w:lang w:val="fr-FR"/>
        </w:rPr>
        <w:t>à ce sujet</w:t>
      </w:r>
      <w:r w:rsidRPr="00B02AEF">
        <w:rPr>
          <w:lang w:val="fr-CA"/>
        </w:rPr>
        <w:t>.</w:t>
      </w:r>
    </w:p>
  </w:footnote>
  <w:footnote w:id="29">
    <w:p w:rsidR="008B740A" w:rsidRPr="00B02AEF" w:rsidRDefault="008B740A" w:rsidP="007E2A0F">
      <w:pPr>
        <w:pStyle w:val="Notedebasdepage"/>
        <w:rPr>
          <w:lang w:val="fr-CA"/>
        </w:rPr>
      </w:pPr>
      <w:r w:rsidRPr="00B02AEF">
        <w:rPr>
          <w:lang w:val="fr-CA"/>
        </w:rPr>
        <w:tab/>
      </w:r>
      <w:r w:rsidRPr="00A122C5">
        <w:rPr>
          <w:rStyle w:val="Appelnotedebasdep"/>
        </w:rPr>
        <w:footnoteRef/>
      </w:r>
      <w:r w:rsidRPr="00B02AEF">
        <w:rPr>
          <w:lang w:val="fr-CA"/>
        </w:rPr>
        <w:tab/>
        <w:t>L</w:t>
      </w:r>
      <w:r>
        <w:rPr>
          <w:lang w:val="fr-CA"/>
        </w:rPr>
        <w:t>’</w:t>
      </w:r>
      <w:r w:rsidRPr="00B02AEF">
        <w:rPr>
          <w:lang w:val="fr-CA"/>
        </w:rPr>
        <w:t xml:space="preserve">auteur joint </w:t>
      </w:r>
      <w:r>
        <w:rPr>
          <w:lang w:val="fr-CA"/>
        </w:rPr>
        <w:t xml:space="preserve">la </w:t>
      </w:r>
      <w:r w:rsidRPr="00B02AEF">
        <w:rPr>
          <w:lang w:val="fr-CA"/>
        </w:rPr>
        <w:t>copie de la décision interlocutoire AI</w:t>
      </w:r>
      <w:r>
        <w:rPr>
          <w:lang w:val="fr-CA"/>
        </w:rPr>
        <w:t xml:space="preserve"> </w:t>
      </w:r>
      <w:r w:rsidRPr="00440C4E">
        <w:rPr>
          <w:rFonts w:eastAsia="MS Mincho"/>
          <w:lang w:val="fr-FR"/>
        </w:rPr>
        <w:t>n</w:t>
      </w:r>
      <w:r w:rsidRPr="00440C4E">
        <w:rPr>
          <w:rFonts w:eastAsia="MS Mincho"/>
          <w:vertAlign w:val="superscript"/>
          <w:lang w:val="fr-FR"/>
        </w:rPr>
        <w:t>o</w:t>
      </w:r>
      <w:r>
        <w:rPr>
          <w:lang w:val="fr-FR"/>
        </w:rPr>
        <w:t> </w:t>
      </w:r>
      <w:r w:rsidRPr="00B02AEF">
        <w:rPr>
          <w:lang w:val="fr-CA"/>
        </w:rPr>
        <w:t>107 du 30</w:t>
      </w:r>
      <w:r>
        <w:rPr>
          <w:lang w:val="fr-CA"/>
        </w:rPr>
        <w:t> </w:t>
      </w:r>
      <w:r w:rsidRPr="00B02AEF">
        <w:rPr>
          <w:lang w:val="fr-CA"/>
        </w:rPr>
        <w:t xml:space="preserve">avril 2019, </w:t>
      </w:r>
      <w:r>
        <w:rPr>
          <w:lang w:val="fr-CA"/>
        </w:rPr>
        <w:t xml:space="preserve">rendue par le </w:t>
      </w:r>
      <w:r w:rsidRPr="00B02AEF">
        <w:rPr>
          <w:lang w:val="fr-CA"/>
        </w:rPr>
        <w:t>Tribunal d</w:t>
      </w:r>
      <w:r>
        <w:rPr>
          <w:lang w:val="fr-CA"/>
        </w:rPr>
        <w:t>’</w:t>
      </w:r>
      <w:r w:rsidRPr="00B02AEF">
        <w:rPr>
          <w:lang w:val="fr-CA"/>
        </w:rPr>
        <w:t>appel de l</w:t>
      </w:r>
      <w:r>
        <w:rPr>
          <w:lang w:val="fr-CA"/>
        </w:rPr>
        <w:t>’</w:t>
      </w:r>
      <w:r w:rsidRPr="00B02AEF">
        <w:rPr>
          <w:lang w:val="fr-CA"/>
        </w:rPr>
        <w:t xml:space="preserve">enfance. </w:t>
      </w:r>
    </w:p>
  </w:footnote>
  <w:footnote w:id="30">
    <w:p w:rsidR="008B740A" w:rsidRPr="00EC142A" w:rsidRDefault="008B740A" w:rsidP="007E2A0F">
      <w:pPr>
        <w:pStyle w:val="Notedebasdepage"/>
        <w:rPr>
          <w:lang w:val="fr-FR"/>
        </w:rPr>
      </w:pPr>
      <w:r>
        <w:tab/>
      </w:r>
      <w:r>
        <w:rPr>
          <w:rStyle w:val="Appelnotedebasdep"/>
        </w:rPr>
        <w:footnoteRef/>
      </w:r>
      <w:r>
        <w:tab/>
        <w:t>Observation générale</w:t>
      </w:r>
      <w:r w:rsidRPr="00AC0D5B">
        <w:t xml:space="preserve"> </w:t>
      </w:r>
      <w:r w:rsidR="00DB7A96" w:rsidRPr="002D76F4">
        <w:rPr>
          <w:rFonts w:eastAsia="MS Mincho"/>
          <w:szCs w:val="22"/>
        </w:rPr>
        <w:t>n</w:t>
      </w:r>
      <w:r w:rsidR="00DB7A96" w:rsidRPr="002D76F4">
        <w:rPr>
          <w:rFonts w:eastAsia="MS Mincho"/>
          <w:szCs w:val="22"/>
          <w:vertAlign w:val="superscript"/>
        </w:rPr>
        <w:t>o</w:t>
      </w:r>
      <w:r w:rsidR="00DB7A96">
        <w:t> </w:t>
      </w:r>
      <w:r>
        <w:t>14 (2013) sur le droit de l’enfant à ce que son intérêt supérieur</w:t>
      </w:r>
      <w:r w:rsidR="00DB7A96">
        <w:t xml:space="preserve"> </w:t>
      </w:r>
      <w:r>
        <w:t>soit une considération primordiale, par.</w:t>
      </w:r>
      <w:r w:rsidR="00DB7A96">
        <w:t> </w:t>
      </w:r>
      <w:r>
        <w:t>70.</w:t>
      </w:r>
    </w:p>
  </w:footnote>
  <w:footnote w:id="31">
    <w:p w:rsidR="008B740A" w:rsidRPr="00EC142A" w:rsidRDefault="008B740A" w:rsidP="007E2A0F">
      <w:pPr>
        <w:pStyle w:val="Notedebasdepage"/>
        <w:rPr>
          <w:lang w:val="fr-FR"/>
        </w:rPr>
      </w:pPr>
      <w:r>
        <w:tab/>
      </w:r>
      <w:r>
        <w:rPr>
          <w:rStyle w:val="Appelnotedebasdep"/>
        </w:rPr>
        <w:footnoteRef/>
      </w:r>
      <w:r w:rsidRPr="00EC142A">
        <w:rPr>
          <w:lang w:val="fr-FR"/>
        </w:rPr>
        <w:tab/>
      </w:r>
      <w:r w:rsidRPr="00EC142A">
        <w:rPr>
          <w:i/>
          <w:lang w:val="fr-FR"/>
        </w:rPr>
        <w:t>L.</w:t>
      </w:r>
      <w:r w:rsidR="00DB7A96">
        <w:rPr>
          <w:i/>
          <w:lang w:val="fr-FR"/>
        </w:rPr>
        <w:t> </w:t>
      </w:r>
      <w:r w:rsidRPr="00EC142A">
        <w:rPr>
          <w:i/>
          <w:lang w:val="fr-FR"/>
        </w:rPr>
        <w:t>H.</w:t>
      </w:r>
      <w:r w:rsidR="00DB7A96">
        <w:rPr>
          <w:i/>
          <w:lang w:val="fr-FR"/>
        </w:rPr>
        <w:t> </w:t>
      </w:r>
      <w:r w:rsidRPr="00EC142A">
        <w:rPr>
          <w:i/>
          <w:lang w:val="fr-FR"/>
        </w:rPr>
        <w:t>L. et A.</w:t>
      </w:r>
      <w:r w:rsidR="00DB7A96">
        <w:rPr>
          <w:i/>
          <w:lang w:val="fr-FR"/>
        </w:rPr>
        <w:t> </w:t>
      </w:r>
      <w:r w:rsidRPr="00EC142A">
        <w:rPr>
          <w:i/>
          <w:lang w:val="fr-FR"/>
        </w:rPr>
        <w:t>H.</w:t>
      </w:r>
      <w:r w:rsidR="00DB7A96">
        <w:rPr>
          <w:i/>
          <w:lang w:val="fr-FR"/>
        </w:rPr>
        <w:t> </w:t>
      </w:r>
      <w:r w:rsidRPr="00EC142A">
        <w:rPr>
          <w:i/>
          <w:lang w:val="fr-FR"/>
        </w:rPr>
        <w:t>L. c. Espagne</w:t>
      </w:r>
      <w:r w:rsidRPr="00EC142A">
        <w:rPr>
          <w:lang w:val="fr-FR"/>
        </w:rPr>
        <w:t xml:space="preserve"> (CRC/C/81/D/13/2017), </w:t>
      </w:r>
      <w:r>
        <w:rPr>
          <w:lang w:val="fr-FR"/>
        </w:rPr>
        <w:t>par</w:t>
      </w:r>
      <w:r w:rsidRPr="00EC142A">
        <w:rPr>
          <w:lang w:val="fr-FR"/>
        </w:rPr>
        <w:t>.</w:t>
      </w:r>
      <w:r w:rsidR="00DB7A96">
        <w:rPr>
          <w:lang w:val="fr-FR"/>
        </w:rPr>
        <w:t> </w:t>
      </w:r>
      <w:r w:rsidRPr="00F61622">
        <w:t>9.5.</w:t>
      </w:r>
    </w:p>
  </w:footnote>
  <w:footnote w:id="32">
    <w:p w:rsidR="008B740A" w:rsidRPr="00EC142A" w:rsidRDefault="008B740A" w:rsidP="007E2A0F">
      <w:pPr>
        <w:pStyle w:val="Notedebasdepage"/>
        <w:rPr>
          <w:lang w:val="fr-FR"/>
        </w:rPr>
      </w:pPr>
      <w:r>
        <w:tab/>
      </w:r>
      <w:r>
        <w:rPr>
          <w:rStyle w:val="Appelnotedebasdep"/>
        </w:rPr>
        <w:footnoteRef/>
      </w:r>
      <w:r w:rsidRPr="00EC142A">
        <w:rPr>
          <w:lang w:val="es-ES"/>
        </w:rPr>
        <w:tab/>
      </w:r>
      <w:r w:rsidRPr="00EC142A">
        <w:rPr>
          <w:i/>
          <w:lang w:val="es-ES"/>
        </w:rPr>
        <w:t>Asensi Martínez c. Paraguay</w:t>
      </w:r>
      <w:r w:rsidRPr="00EC142A">
        <w:rPr>
          <w:lang w:val="es-ES"/>
        </w:rPr>
        <w:t xml:space="preserve"> (CCPR/C/95/D/1407/2005), p</w:t>
      </w:r>
      <w:r>
        <w:rPr>
          <w:lang w:val="es-ES"/>
        </w:rPr>
        <w:t>ar</w:t>
      </w:r>
      <w:r w:rsidRPr="00EC142A">
        <w:rPr>
          <w:lang w:val="es-ES"/>
        </w:rPr>
        <w:t>.</w:t>
      </w:r>
      <w:r w:rsidR="00DB7A96">
        <w:rPr>
          <w:lang w:val="es-ES"/>
        </w:rPr>
        <w:t> </w:t>
      </w:r>
      <w:r w:rsidRPr="00DD4ED8">
        <w:t>7.4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40A" w:rsidRPr="007E2A0F" w:rsidRDefault="008B740A">
    <w:pPr>
      <w:pStyle w:val="En-tte"/>
    </w:pPr>
    <w:fldSimple w:instr=" TITLE  \* MERGEFORMAT ">
      <w:r>
        <w:t>CRC/C/83/D/30/2017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40A" w:rsidRPr="007E2A0F" w:rsidRDefault="008B740A" w:rsidP="007E2A0F">
    <w:pPr>
      <w:pStyle w:val="En-tte"/>
      <w:jc w:val="right"/>
    </w:pPr>
    <w:fldSimple w:instr=" TITLE  \* MERGEFORMAT ">
      <w:r>
        <w:t>CRC/C/83/D/30/2017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23C75"/>
    <w:multiLevelType w:val="hybridMultilevel"/>
    <w:tmpl w:val="6F2C7AF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DA06B0A"/>
    <w:multiLevelType w:val="hybridMultilevel"/>
    <w:tmpl w:val="D10E8382"/>
    <w:lvl w:ilvl="0" w:tplc="E224088A">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FD356C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F780CD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EB928C9"/>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C92C19"/>
    <w:multiLevelType w:val="hybridMultilevel"/>
    <w:tmpl w:val="74822892"/>
    <w:lvl w:ilvl="0" w:tplc="0809000F">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9"/>
  </w:num>
  <w:num w:numId="21">
    <w:abstractNumId w:val="14"/>
  </w:num>
  <w:num w:numId="22">
    <w:abstractNumId w:val="16"/>
  </w:num>
  <w:num w:numId="23">
    <w:abstractNumId w:val="13"/>
  </w:num>
  <w:num w:numId="24">
    <w:abstractNumId w:val="17"/>
  </w:num>
  <w:num w:numId="25">
    <w:abstractNumId w:val="12"/>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6F0D"/>
    <w:rsid w:val="00017F94"/>
    <w:rsid w:val="00023842"/>
    <w:rsid w:val="000334F9"/>
    <w:rsid w:val="000354E9"/>
    <w:rsid w:val="0007796D"/>
    <w:rsid w:val="000B7790"/>
    <w:rsid w:val="00111F2F"/>
    <w:rsid w:val="0014365E"/>
    <w:rsid w:val="00176178"/>
    <w:rsid w:val="001E6B5A"/>
    <w:rsid w:val="001F525A"/>
    <w:rsid w:val="00223272"/>
    <w:rsid w:val="0024779E"/>
    <w:rsid w:val="002D14A3"/>
    <w:rsid w:val="002D4F36"/>
    <w:rsid w:val="00311E81"/>
    <w:rsid w:val="00340ED0"/>
    <w:rsid w:val="00446FE5"/>
    <w:rsid w:val="00452396"/>
    <w:rsid w:val="00485B35"/>
    <w:rsid w:val="004D7A2C"/>
    <w:rsid w:val="004E00E4"/>
    <w:rsid w:val="004E2B7B"/>
    <w:rsid w:val="004F1B3E"/>
    <w:rsid w:val="005505B7"/>
    <w:rsid w:val="00573BE5"/>
    <w:rsid w:val="00586ED3"/>
    <w:rsid w:val="00596AA9"/>
    <w:rsid w:val="005A6F0D"/>
    <w:rsid w:val="0071601D"/>
    <w:rsid w:val="007341B7"/>
    <w:rsid w:val="00760CBC"/>
    <w:rsid w:val="007A62E6"/>
    <w:rsid w:val="007E2A0F"/>
    <w:rsid w:val="0080684C"/>
    <w:rsid w:val="00840413"/>
    <w:rsid w:val="00871C75"/>
    <w:rsid w:val="008776DC"/>
    <w:rsid w:val="008B740A"/>
    <w:rsid w:val="008C54BD"/>
    <w:rsid w:val="008F3CA0"/>
    <w:rsid w:val="00917E2B"/>
    <w:rsid w:val="009705C8"/>
    <w:rsid w:val="00975522"/>
    <w:rsid w:val="00A30353"/>
    <w:rsid w:val="00AB4BCB"/>
    <w:rsid w:val="00AC3823"/>
    <w:rsid w:val="00AE323C"/>
    <w:rsid w:val="00B00181"/>
    <w:rsid w:val="00B24A9B"/>
    <w:rsid w:val="00B765F7"/>
    <w:rsid w:val="00BA0CA9"/>
    <w:rsid w:val="00BE3F07"/>
    <w:rsid w:val="00C02897"/>
    <w:rsid w:val="00C05AE1"/>
    <w:rsid w:val="00D3439C"/>
    <w:rsid w:val="00DB1831"/>
    <w:rsid w:val="00DB7A96"/>
    <w:rsid w:val="00DD3BFD"/>
    <w:rsid w:val="00DF6678"/>
    <w:rsid w:val="00F535A2"/>
    <w:rsid w:val="00F53DD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F62DE"/>
  <w15:docId w15:val="{E88DB6D9-1E9E-4CCF-B0C8-5D01B925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311E81"/>
    <w:pPr>
      <w:spacing w:after="120"/>
      <w:ind w:left="1134" w:right="1134"/>
      <w:jc w:val="both"/>
    </w:pPr>
  </w:style>
  <w:style w:type="character" w:customStyle="1" w:styleId="SingleTxtGChar">
    <w:name w:val="_ Single Txt_G Char"/>
    <w:link w:val="SingleTxtG"/>
    <w:locked/>
    <w:rsid w:val="007E2A0F"/>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uiPriority w:val="99"/>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uiPriority w:val="99"/>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paragraph" w:styleId="Textedebulles">
    <w:name w:val="Balloon Text"/>
    <w:basedOn w:val="Normal"/>
    <w:link w:val="TextedebullesCar"/>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354E9"/>
    <w:rPr>
      <w:rFonts w:ascii="Tahoma" w:hAnsi="Tahoma" w:cs="Tahoma"/>
      <w:sz w:val="16"/>
      <w:szCs w:val="16"/>
      <w:lang w:eastAsia="en-US"/>
    </w:rPr>
  </w:style>
  <w:style w:type="character" w:customStyle="1" w:styleId="TitredenoteCar">
    <w:name w:val="Titre de note Car"/>
    <w:basedOn w:val="Policepardfaut"/>
    <w:link w:val="Titredenote"/>
    <w:semiHidden/>
    <w:rsid w:val="007E2A0F"/>
    <w:rPr>
      <w:rFonts w:ascii="Times New Roman" w:eastAsiaTheme="minorHAnsi" w:hAnsi="Times New Roman" w:cs="Times New Roman"/>
      <w:sz w:val="20"/>
      <w:szCs w:val="20"/>
      <w:lang w:eastAsia="en-US"/>
    </w:rPr>
  </w:style>
  <w:style w:type="paragraph" w:styleId="Titredenote">
    <w:name w:val="Note Heading"/>
    <w:basedOn w:val="Normal"/>
    <w:next w:val="Normal"/>
    <w:link w:val="TitredenoteCar"/>
    <w:semiHidden/>
    <w:rsid w:val="007E2A0F"/>
  </w:style>
  <w:style w:type="character" w:customStyle="1" w:styleId="SignatureCar">
    <w:name w:val="Signature Car"/>
    <w:basedOn w:val="Policepardfaut"/>
    <w:link w:val="Signature"/>
    <w:semiHidden/>
    <w:rsid w:val="007E2A0F"/>
    <w:rPr>
      <w:rFonts w:ascii="Times New Roman" w:eastAsiaTheme="minorHAnsi" w:hAnsi="Times New Roman" w:cs="Times New Roman"/>
      <w:sz w:val="20"/>
      <w:szCs w:val="20"/>
      <w:lang w:eastAsia="en-US"/>
    </w:rPr>
  </w:style>
  <w:style w:type="paragraph" w:styleId="Signature">
    <w:name w:val="Signature"/>
    <w:basedOn w:val="Normal"/>
    <w:link w:val="SignatureCar"/>
    <w:semiHidden/>
    <w:rsid w:val="007E2A0F"/>
    <w:pPr>
      <w:ind w:left="4252"/>
    </w:pPr>
  </w:style>
  <w:style w:type="character" w:customStyle="1" w:styleId="SignaturelectroniqueCar">
    <w:name w:val="Signature électronique Car"/>
    <w:basedOn w:val="Policepardfaut"/>
    <w:link w:val="Signaturelectronique"/>
    <w:semiHidden/>
    <w:rsid w:val="007E2A0F"/>
    <w:rPr>
      <w:rFonts w:ascii="Times New Roman" w:eastAsiaTheme="minorHAnsi" w:hAnsi="Times New Roman" w:cs="Times New Roman"/>
      <w:sz w:val="20"/>
      <w:szCs w:val="20"/>
      <w:lang w:eastAsia="en-US"/>
    </w:rPr>
  </w:style>
  <w:style w:type="paragraph" w:styleId="Signaturelectronique">
    <w:name w:val="E-mail Signature"/>
    <w:basedOn w:val="Normal"/>
    <w:link w:val="SignaturelectroniqueCar"/>
    <w:semiHidden/>
    <w:rsid w:val="007E2A0F"/>
  </w:style>
  <w:style w:type="character" w:customStyle="1" w:styleId="PrformatHTMLCar">
    <w:name w:val="Préformaté HTML Car"/>
    <w:basedOn w:val="Policepardfaut"/>
    <w:link w:val="PrformatHTML"/>
    <w:semiHidden/>
    <w:rsid w:val="007E2A0F"/>
    <w:rPr>
      <w:rFonts w:ascii="Courier New" w:eastAsiaTheme="minorHAnsi" w:hAnsi="Courier New" w:cs="Courier New"/>
      <w:sz w:val="20"/>
      <w:szCs w:val="20"/>
      <w:lang w:eastAsia="en-US"/>
    </w:rPr>
  </w:style>
  <w:style w:type="paragraph" w:styleId="PrformatHTML">
    <w:name w:val="HTML Preformatted"/>
    <w:basedOn w:val="Normal"/>
    <w:link w:val="PrformatHTMLCar"/>
    <w:semiHidden/>
    <w:rsid w:val="007E2A0F"/>
    <w:rPr>
      <w:rFonts w:ascii="Courier New" w:hAnsi="Courier New" w:cs="Courier New"/>
    </w:rPr>
  </w:style>
  <w:style w:type="character" w:customStyle="1" w:styleId="SalutationsCar">
    <w:name w:val="Salutations Car"/>
    <w:basedOn w:val="Policepardfaut"/>
    <w:link w:val="Salutations"/>
    <w:semiHidden/>
    <w:rsid w:val="007E2A0F"/>
    <w:rPr>
      <w:rFonts w:ascii="Times New Roman" w:eastAsiaTheme="minorHAnsi" w:hAnsi="Times New Roman" w:cs="Times New Roman"/>
      <w:sz w:val="20"/>
      <w:szCs w:val="20"/>
      <w:lang w:eastAsia="en-US"/>
    </w:rPr>
  </w:style>
  <w:style w:type="paragraph" w:styleId="Salutations">
    <w:name w:val="Salutation"/>
    <w:basedOn w:val="Normal"/>
    <w:next w:val="Normal"/>
    <w:link w:val="SalutationsCar"/>
    <w:semiHidden/>
    <w:rsid w:val="007E2A0F"/>
  </w:style>
  <w:style w:type="character" w:customStyle="1" w:styleId="Retraitcorpsdetexte2Car">
    <w:name w:val="Retrait corps de texte 2 Car"/>
    <w:basedOn w:val="Policepardfaut"/>
    <w:link w:val="Retraitcorpsdetexte2"/>
    <w:semiHidden/>
    <w:rsid w:val="007E2A0F"/>
    <w:rPr>
      <w:rFonts w:ascii="Times New Roman" w:eastAsiaTheme="minorHAnsi" w:hAnsi="Times New Roman" w:cs="Times New Roman"/>
      <w:sz w:val="20"/>
      <w:szCs w:val="20"/>
      <w:lang w:eastAsia="en-US"/>
    </w:rPr>
  </w:style>
  <w:style w:type="paragraph" w:styleId="Retraitcorpsdetexte2">
    <w:name w:val="Body Text Indent 2"/>
    <w:basedOn w:val="Normal"/>
    <w:link w:val="Retraitcorpsdetexte2Car"/>
    <w:semiHidden/>
    <w:rsid w:val="007E2A0F"/>
    <w:pPr>
      <w:spacing w:after="120" w:line="480" w:lineRule="auto"/>
      <w:ind w:left="283"/>
    </w:pPr>
  </w:style>
  <w:style w:type="character" w:customStyle="1" w:styleId="Retraitcorpsdetexte3Car">
    <w:name w:val="Retrait corps de texte 3 Car"/>
    <w:basedOn w:val="Policepardfaut"/>
    <w:link w:val="Retraitcorpsdetexte3"/>
    <w:semiHidden/>
    <w:rsid w:val="007E2A0F"/>
    <w:rPr>
      <w:rFonts w:ascii="Times New Roman" w:eastAsiaTheme="minorHAnsi" w:hAnsi="Times New Roman" w:cs="Times New Roman"/>
      <w:sz w:val="16"/>
      <w:szCs w:val="16"/>
      <w:lang w:eastAsia="en-US"/>
    </w:rPr>
  </w:style>
  <w:style w:type="paragraph" w:styleId="Retraitcorpsdetexte3">
    <w:name w:val="Body Text Indent 3"/>
    <w:basedOn w:val="Normal"/>
    <w:link w:val="Retraitcorpsdetexte3Car"/>
    <w:semiHidden/>
    <w:rsid w:val="007E2A0F"/>
    <w:pPr>
      <w:spacing w:after="120"/>
      <w:ind w:left="283"/>
    </w:pPr>
    <w:rPr>
      <w:sz w:val="16"/>
      <w:szCs w:val="16"/>
    </w:rPr>
  </w:style>
  <w:style w:type="character" w:customStyle="1" w:styleId="RetraitcorpsdetexteCar">
    <w:name w:val="Retrait corps de texte Car"/>
    <w:basedOn w:val="Policepardfaut"/>
    <w:link w:val="Retraitcorpsdetexte"/>
    <w:semiHidden/>
    <w:rsid w:val="007E2A0F"/>
    <w:rPr>
      <w:rFonts w:ascii="Times New Roman" w:eastAsiaTheme="minorHAnsi" w:hAnsi="Times New Roman" w:cs="Times New Roman"/>
      <w:sz w:val="20"/>
      <w:szCs w:val="20"/>
      <w:lang w:eastAsia="en-US"/>
    </w:rPr>
  </w:style>
  <w:style w:type="paragraph" w:styleId="Retraitcorpsdetexte">
    <w:name w:val="Body Text Indent"/>
    <w:basedOn w:val="Normal"/>
    <w:link w:val="RetraitcorpsdetexteCar"/>
    <w:semiHidden/>
    <w:rsid w:val="007E2A0F"/>
    <w:pPr>
      <w:spacing w:after="120"/>
      <w:ind w:left="283"/>
    </w:pPr>
  </w:style>
  <w:style w:type="character" w:customStyle="1" w:styleId="Sous-titreCar">
    <w:name w:val="Sous-titre Car"/>
    <w:basedOn w:val="Policepardfaut"/>
    <w:link w:val="Sous-titre"/>
    <w:semiHidden/>
    <w:rsid w:val="007E2A0F"/>
    <w:rPr>
      <w:rFonts w:ascii="Arial" w:eastAsiaTheme="minorHAnsi" w:hAnsi="Arial" w:cs="Arial"/>
      <w:sz w:val="24"/>
      <w:szCs w:val="24"/>
      <w:lang w:eastAsia="en-US"/>
    </w:rPr>
  </w:style>
  <w:style w:type="paragraph" w:styleId="Sous-titre">
    <w:name w:val="Subtitle"/>
    <w:basedOn w:val="Normal"/>
    <w:link w:val="Sous-titreCar"/>
    <w:semiHidden/>
    <w:qFormat/>
    <w:rsid w:val="007E2A0F"/>
    <w:pPr>
      <w:spacing w:after="60"/>
      <w:jc w:val="center"/>
      <w:outlineLvl w:val="1"/>
    </w:pPr>
    <w:rPr>
      <w:rFonts w:ascii="Arial" w:hAnsi="Arial" w:cs="Arial"/>
      <w:sz w:val="24"/>
      <w:szCs w:val="24"/>
    </w:rPr>
  </w:style>
  <w:style w:type="character" w:customStyle="1" w:styleId="CorpsdetexteCar">
    <w:name w:val="Corps de texte Car"/>
    <w:basedOn w:val="Policepardfaut"/>
    <w:link w:val="Corpsdetexte"/>
    <w:uiPriority w:val="99"/>
    <w:semiHidden/>
    <w:rsid w:val="007E2A0F"/>
    <w:rPr>
      <w:rFonts w:ascii="Times New Roman" w:eastAsiaTheme="minorHAnsi" w:hAnsi="Times New Roman" w:cs="Times New Roman"/>
      <w:sz w:val="20"/>
      <w:szCs w:val="20"/>
      <w:lang w:eastAsia="en-US"/>
    </w:rPr>
  </w:style>
  <w:style w:type="paragraph" w:styleId="Corpsdetexte">
    <w:name w:val="Body Text"/>
    <w:basedOn w:val="Normal"/>
    <w:link w:val="CorpsdetexteCar"/>
    <w:uiPriority w:val="99"/>
    <w:semiHidden/>
    <w:unhideWhenUsed/>
    <w:rsid w:val="007E2A0F"/>
    <w:pPr>
      <w:spacing w:after="120"/>
    </w:pPr>
  </w:style>
  <w:style w:type="character" w:customStyle="1" w:styleId="Retrait1religneCar">
    <w:name w:val="Retrait 1re ligne Car"/>
    <w:basedOn w:val="CorpsdetexteCar"/>
    <w:link w:val="Retrait1religne"/>
    <w:semiHidden/>
    <w:rsid w:val="007E2A0F"/>
    <w:rPr>
      <w:rFonts w:ascii="Times New Roman" w:eastAsiaTheme="minorHAnsi" w:hAnsi="Times New Roman" w:cs="Times New Roman"/>
      <w:sz w:val="20"/>
      <w:szCs w:val="20"/>
      <w:lang w:eastAsia="en-US"/>
    </w:rPr>
  </w:style>
  <w:style w:type="paragraph" w:styleId="Retrait1religne">
    <w:name w:val="Body Text First Indent"/>
    <w:basedOn w:val="Normal"/>
    <w:link w:val="Retrait1religneCar"/>
    <w:semiHidden/>
    <w:rsid w:val="007E2A0F"/>
    <w:pPr>
      <w:spacing w:after="120"/>
      <w:ind w:firstLine="210"/>
    </w:pPr>
  </w:style>
  <w:style w:type="character" w:customStyle="1" w:styleId="Retraitcorpset1religCar">
    <w:name w:val="Retrait corps et 1re lig. Car"/>
    <w:basedOn w:val="RetraitcorpsdetexteCar"/>
    <w:link w:val="Retraitcorpset1relig"/>
    <w:semiHidden/>
    <w:rsid w:val="007E2A0F"/>
    <w:rPr>
      <w:rFonts w:ascii="Times New Roman" w:eastAsiaTheme="minorHAnsi" w:hAnsi="Times New Roman" w:cs="Times New Roman"/>
      <w:sz w:val="20"/>
      <w:szCs w:val="20"/>
      <w:lang w:eastAsia="en-US"/>
    </w:rPr>
  </w:style>
  <w:style w:type="paragraph" w:styleId="Retraitcorpset1relig">
    <w:name w:val="Body Text First Indent 2"/>
    <w:basedOn w:val="Retraitcorpsdetexte"/>
    <w:link w:val="Retraitcorpset1religCar"/>
    <w:semiHidden/>
    <w:rsid w:val="007E2A0F"/>
    <w:pPr>
      <w:ind w:firstLine="210"/>
    </w:pPr>
  </w:style>
  <w:style w:type="character" w:customStyle="1" w:styleId="TextebrutCar">
    <w:name w:val="Texte brut Car"/>
    <w:basedOn w:val="Policepardfaut"/>
    <w:link w:val="Textebrut"/>
    <w:semiHidden/>
    <w:rsid w:val="007E2A0F"/>
    <w:rPr>
      <w:rFonts w:ascii="Courier New" w:eastAsiaTheme="minorHAnsi" w:hAnsi="Courier New" w:cs="Courier New"/>
      <w:sz w:val="20"/>
      <w:szCs w:val="20"/>
      <w:lang w:eastAsia="en-US"/>
    </w:rPr>
  </w:style>
  <w:style w:type="paragraph" w:styleId="Textebrut">
    <w:name w:val="Plain Text"/>
    <w:basedOn w:val="Normal"/>
    <w:link w:val="TextebrutCar"/>
    <w:semiHidden/>
    <w:rsid w:val="007E2A0F"/>
    <w:rPr>
      <w:rFonts w:ascii="Courier New" w:hAnsi="Courier New" w:cs="Courier New"/>
    </w:rPr>
  </w:style>
  <w:style w:type="character" w:customStyle="1" w:styleId="TitreCar">
    <w:name w:val="Titre Car"/>
    <w:basedOn w:val="Policepardfaut"/>
    <w:link w:val="Titre"/>
    <w:semiHidden/>
    <w:rsid w:val="007E2A0F"/>
    <w:rPr>
      <w:rFonts w:ascii="Arial" w:eastAsiaTheme="minorHAnsi" w:hAnsi="Arial" w:cs="Arial"/>
      <w:b/>
      <w:bCs/>
      <w:kern w:val="28"/>
      <w:sz w:val="32"/>
      <w:szCs w:val="32"/>
      <w:lang w:eastAsia="en-US"/>
    </w:rPr>
  </w:style>
  <w:style w:type="paragraph" w:styleId="Titre">
    <w:name w:val="Title"/>
    <w:basedOn w:val="Normal"/>
    <w:link w:val="TitreCar"/>
    <w:semiHidden/>
    <w:qFormat/>
    <w:rsid w:val="007E2A0F"/>
    <w:pPr>
      <w:spacing w:before="240" w:after="60"/>
      <w:jc w:val="center"/>
      <w:outlineLvl w:val="0"/>
    </w:pPr>
    <w:rPr>
      <w:rFonts w:ascii="Arial" w:hAnsi="Arial" w:cs="Arial"/>
      <w:b/>
      <w:bCs/>
      <w:kern w:val="28"/>
      <w:sz w:val="32"/>
      <w:szCs w:val="32"/>
    </w:rPr>
  </w:style>
  <w:style w:type="character" w:customStyle="1" w:styleId="CommentaireCar">
    <w:name w:val="Commentaire Car"/>
    <w:basedOn w:val="Policepardfaut"/>
    <w:link w:val="Commentaire"/>
    <w:uiPriority w:val="99"/>
    <w:semiHidden/>
    <w:rsid w:val="007E2A0F"/>
    <w:rPr>
      <w:rFonts w:ascii="Times New Roman" w:eastAsiaTheme="minorHAnsi" w:hAnsi="Times New Roman" w:cs="Times New Roman"/>
      <w:sz w:val="20"/>
      <w:szCs w:val="20"/>
      <w:lang w:eastAsia="en-US"/>
    </w:rPr>
  </w:style>
  <w:style w:type="paragraph" w:styleId="Commentaire">
    <w:name w:val="annotation text"/>
    <w:basedOn w:val="Normal"/>
    <w:link w:val="CommentaireCar"/>
    <w:uiPriority w:val="99"/>
    <w:semiHidden/>
    <w:unhideWhenUsed/>
    <w:rsid w:val="007E2A0F"/>
    <w:pPr>
      <w:spacing w:line="240" w:lineRule="auto"/>
    </w:pPr>
  </w:style>
  <w:style w:type="character" w:customStyle="1" w:styleId="ObjetducommentaireCar">
    <w:name w:val="Objet du commentaire Car"/>
    <w:basedOn w:val="CommentaireCar"/>
    <w:link w:val="Objetducommentaire"/>
    <w:semiHidden/>
    <w:rsid w:val="007E2A0F"/>
    <w:rPr>
      <w:rFonts w:ascii="Times New Roman" w:eastAsiaTheme="minorHAnsi" w:hAnsi="Times New Roman" w:cs="Times New Roman"/>
      <w:b/>
      <w:bCs/>
      <w:sz w:val="20"/>
      <w:szCs w:val="20"/>
      <w:lang w:eastAsia="en-US"/>
    </w:rPr>
  </w:style>
  <w:style w:type="paragraph" w:styleId="Objetducommentaire">
    <w:name w:val="annotation subject"/>
    <w:basedOn w:val="Normal"/>
    <w:next w:val="Normal"/>
    <w:link w:val="ObjetducommentaireCar"/>
    <w:semiHidden/>
    <w:unhideWhenUsed/>
    <w:rsid w:val="007E2A0F"/>
    <w:pPr>
      <w:spacing w:line="24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12</Pages>
  <Words>6628</Words>
  <Characters>37780</Characters>
  <Application>Microsoft Office Word</Application>
  <DocSecurity>0</DocSecurity>
  <Lines>314</Lines>
  <Paragraphs>88</Paragraphs>
  <ScaleCrop>false</ScaleCrop>
  <HeadingPairs>
    <vt:vector size="2" baseType="variant">
      <vt:variant>
        <vt:lpstr>Titre</vt:lpstr>
      </vt:variant>
      <vt:variant>
        <vt:i4>1</vt:i4>
      </vt:variant>
    </vt:vector>
  </HeadingPairs>
  <TitlesOfParts>
    <vt:vector size="1" baseType="lpstr">
      <vt:lpstr>CRC/C/83/D/30/2017</vt:lpstr>
    </vt:vector>
  </TitlesOfParts>
  <Company>DCM</Company>
  <LinksUpToDate>false</LinksUpToDate>
  <CharactersWithSpaces>44320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CRC/C/83/D/30/2017</dc:title>
  <dc:subject/>
  <dc:creator>Fabienne CRELIER</dc:creator>
  <cp:keywords/>
  <cp:lastModifiedBy>Fabienne Crelier</cp:lastModifiedBy>
  <cp:revision>2</cp:revision>
  <cp:lastPrinted>2014-05-14T10:59:00Z</cp:lastPrinted>
  <dcterms:created xsi:type="dcterms:W3CDTF">2020-11-12T07:06:00Z</dcterms:created>
  <dcterms:modified xsi:type="dcterms:W3CDTF">2020-11-12T07:06:00Z</dcterms:modified>
</cp:coreProperties>
</file>