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4C70C0" w:rsidRDefault="004C70C0" w:rsidP="00E4712C">
            <w:pPr>
              <w:spacing w:line="240" w:lineRule="atLeast"/>
              <w:jc w:val="right"/>
              <w:rPr>
                <w:sz w:val="20"/>
                <w:szCs w:val="21"/>
              </w:rPr>
            </w:pPr>
            <w:r w:rsidRPr="004C70C0">
              <w:rPr>
                <w:sz w:val="40"/>
                <w:szCs w:val="21"/>
              </w:rPr>
              <w:t>CRC</w:t>
            </w:r>
            <w:r>
              <w:rPr>
                <w:sz w:val="20"/>
                <w:szCs w:val="21"/>
              </w:rPr>
              <w:t>/C/83/D/60/2018</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4C70C0" w:rsidRPr="004C70C0" w:rsidRDefault="001D2C3F" w:rsidP="004C70C0">
            <w:pPr>
              <w:spacing w:before="240" w:line="240" w:lineRule="exact"/>
              <w:rPr>
                <w:sz w:val="20"/>
              </w:rPr>
            </w:pPr>
            <w:r w:rsidRPr="004C70C0">
              <w:rPr>
                <w:sz w:val="20"/>
              </w:rPr>
              <w:t>Distr.:</w:t>
            </w:r>
            <w:r w:rsidR="004C70C0" w:rsidRPr="004C70C0">
              <w:rPr>
                <w:sz w:val="20"/>
              </w:rPr>
              <w:t xml:space="preserve"> General </w:t>
            </w:r>
          </w:p>
          <w:p w:rsidR="001D2C3F" w:rsidRPr="004C70C0" w:rsidRDefault="004C70C0" w:rsidP="004C70C0">
            <w:pPr>
              <w:spacing w:line="240" w:lineRule="atLeast"/>
              <w:rPr>
                <w:sz w:val="20"/>
              </w:rPr>
            </w:pPr>
            <w:r w:rsidRPr="004C70C0">
              <w:rPr>
                <w:sz w:val="20"/>
              </w:rPr>
              <w:t>10 March 2020</w:t>
            </w:r>
          </w:p>
          <w:p w:rsidR="001D2C3F" w:rsidRPr="004C70C0" w:rsidRDefault="001D2C3F" w:rsidP="00E4712C">
            <w:pPr>
              <w:spacing w:line="240" w:lineRule="atLeast"/>
              <w:rPr>
                <w:sz w:val="20"/>
              </w:rPr>
            </w:pPr>
            <w:r w:rsidRPr="004C70C0">
              <w:rPr>
                <w:sz w:val="20"/>
              </w:rPr>
              <w:t>Chinese</w:t>
            </w:r>
          </w:p>
          <w:p w:rsidR="001D2C3F" w:rsidRPr="00F124C6" w:rsidRDefault="001D2C3F" w:rsidP="00E4712C">
            <w:pPr>
              <w:spacing w:line="240" w:lineRule="atLeast"/>
            </w:pPr>
            <w:r w:rsidRPr="004C70C0">
              <w:rPr>
                <w:sz w:val="20"/>
              </w:rPr>
              <w:t>Original: English</w:t>
            </w:r>
          </w:p>
        </w:tc>
      </w:tr>
    </w:tbl>
    <w:p w:rsidR="001D2C3F" w:rsidRDefault="001D2C3F" w:rsidP="004C70C0">
      <w:pPr>
        <w:spacing w:before="120"/>
        <w:rPr>
          <w:rFonts w:eastAsia="黑体"/>
          <w:sz w:val="24"/>
          <w:szCs w:val="24"/>
        </w:rPr>
      </w:pPr>
      <w:r>
        <w:rPr>
          <w:rFonts w:eastAsia="黑体" w:hint="eastAsia"/>
          <w:sz w:val="24"/>
          <w:szCs w:val="24"/>
        </w:rPr>
        <w:t>儿童权利委员会</w:t>
      </w:r>
    </w:p>
    <w:p w:rsidR="004C70C0" w:rsidRPr="004C70C0" w:rsidRDefault="004C70C0" w:rsidP="00161A46">
      <w:pPr>
        <w:pStyle w:val="HChGC"/>
        <w:spacing w:before="600"/>
        <w:jc w:val="both"/>
        <w:rPr>
          <w:rFonts w:asciiTheme="majorBidi" w:hAnsiTheme="majorBidi" w:cstheme="majorBidi"/>
        </w:rPr>
      </w:pPr>
      <w:r w:rsidRPr="00F9242D">
        <w:tab/>
      </w:r>
      <w:r w:rsidRPr="00F9242D">
        <w:tab/>
      </w:r>
      <w:r w:rsidRPr="004C70C0">
        <w:rPr>
          <w:rFonts w:asciiTheme="majorBidi" w:hAnsiTheme="majorBidi" w:cstheme="majorBidi"/>
          <w:spacing w:val="-8"/>
          <w:shd w:val="clear" w:color="auto" w:fill="FCFCFC"/>
        </w:rPr>
        <w:t>委员会根据《儿童权利公约关于设定来文程序</w:t>
      </w:r>
      <w:r w:rsidRPr="004C70C0">
        <w:rPr>
          <w:rFonts w:asciiTheme="majorBidi" w:hAnsiTheme="majorBidi" w:cstheme="majorBidi"/>
          <w:shd w:val="clear" w:color="auto" w:fill="FCFCFC"/>
        </w:rPr>
        <w:t>的任择议定书》</w:t>
      </w:r>
      <w:r w:rsidRPr="004C70C0">
        <w:rPr>
          <w:rFonts w:asciiTheme="majorBidi" w:hAnsiTheme="majorBidi" w:cstheme="majorBidi"/>
          <w:sz w:val="30"/>
          <w:szCs w:val="30"/>
          <w:shd w:val="clear" w:color="auto" w:fill="FCFCFC"/>
        </w:rPr>
        <w:t>通过的关于第</w:t>
      </w:r>
      <w:r w:rsidRPr="004C70C0">
        <w:rPr>
          <w:rFonts w:asciiTheme="majorBidi" w:hAnsiTheme="majorBidi" w:cstheme="majorBidi"/>
          <w:sz w:val="30"/>
          <w:szCs w:val="30"/>
          <w:shd w:val="clear" w:color="auto" w:fill="FCFCFC"/>
        </w:rPr>
        <w:t>60/2018</w:t>
      </w:r>
      <w:r w:rsidRPr="004C70C0">
        <w:rPr>
          <w:rFonts w:asciiTheme="majorBidi" w:hAnsiTheme="majorBidi" w:cstheme="majorBidi"/>
          <w:sz w:val="30"/>
          <w:szCs w:val="30"/>
          <w:shd w:val="clear" w:color="auto" w:fill="FCFCFC"/>
        </w:rPr>
        <w:t>号来文的决定</w:t>
      </w:r>
      <w:r w:rsidR="00774FDF" w:rsidRPr="00774FDF">
        <w:rPr>
          <w:rStyle w:val="a8"/>
          <w:rFonts w:eastAsia="黑体" w:cstheme="majorBidi"/>
          <w:sz w:val="28"/>
          <w:shd w:val="clear" w:color="auto" w:fill="FCFCFC"/>
          <w:vertAlign w:val="baseline"/>
        </w:rPr>
        <w:footnoteReference w:customMarkFollows="1" w:id="2"/>
        <w:t>*</w:t>
      </w:r>
      <w:r w:rsidR="00774FDF" w:rsidRPr="00774FDF">
        <w:rPr>
          <w:rStyle w:val="a8"/>
          <w:rFonts w:eastAsia="黑体"/>
          <w:sz w:val="28"/>
          <w:vertAlign w:val="baseline"/>
        </w:rPr>
        <w:t xml:space="preserve"> </w:t>
      </w:r>
      <w:r w:rsidR="00774FDF" w:rsidRPr="00774FDF">
        <w:rPr>
          <w:rStyle w:val="a8"/>
          <w:rFonts w:eastAsia="黑体" w:cstheme="majorBidi"/>
          <w:sz w:val="28"/>
          <w:shd w:val="clear" w:color="auto" w:fill="FCFCFC"/>
          <w:vertAlign w:val="baseline"/>
        </w:rPr>
        <w:footnoteReference w:customMarkFollows="1" w:id="3"/>
        <w:t>**</w:t>
      </w:r>
    </w:p>
    <w:tbl>
      <w:tblPr>
        <w:tblW w:w="7584" w:type="dxa"/>
        <w:tblInd w:w="1560" w:type="dxa"/>
        <w:tblLayout w:type="fixed"/>
        <w:tblCellMar>
          <w:left w:w="0" w:type="dxa"/>
          <w:right w:w="0" w:type="dxa"/>
        </w:tblCellMar>
        <w:tblLook w:val="01E0" w:firstRow="1" w:lastRow="1" w:firstColumn="1" w:lastColumn="1" w:noHBand="0" w:noVBand="0"/>
      </w:tblPr>
      <w:tblGrid>
        <w:gridCol w:w="2297"/>
        <w:gridCol w:w="5287"/>
      </w:tblGrid>
      <w:tr w:rsidR="009D55EF"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rPr>
            </w:pPr>
            <w:r w:rsidRPr="009D55EF">
              <w:rPr>
                <w:rFonts w:ascii="楷体" w:eastAsia="楷体" w:hAnsi="楷体" w:cs="Segoe UI"/>
              </w:rPr>
              <w:t>来文提交人：</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t>D.C. (</w:t>
            </w:r>
            <w:r w:rsidRPr="00807B8E">
              <w:rPr>
                <w:rFonts w:hint="eastAsia"/>
              </w:rPr>
              <w:t>由律师</w:t>
            </w:r>
            <w:r w:rsidRPr="00807B8E">
              <w:t>Kurt-Peter Merk</w:t>
            </w:r>
            <w:r w:rsidRPr="00807B8E">
              <w:rPr>
                <w:rFonts w:hint="eastAsia"/>
              </w:rPr>
              <w:t>代理</w:t>
            </w:r>
            <w:r w:rsidRPr="00807B8E">
              <w:t>)</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据称受害人：</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4"/>
            </w:pPr>
            <w:r w:rsidRPr="00807B8E">
              <w:rPr>
                <w:rFonts w:hint="eastAsia"/>
              </w:rPr>
              <w:t>提交人</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所涉缔约国：</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rPr>
                <w:rFonts w:hint="eastAsia"/>
              </w:rPr>
              <w:t>德国</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hint="eastAsia"/>
              </w:rPr>
              <w:t>申诉日期</w:t>
            </w:r>
            <w:r>
              <w:rPr>
                <w:rFonts w:ascii="楷体" w:eastAsia="楷体" w:hAnsi="楷体" w:cs="Segoe UI" w:hint="eastAsia"/>
              </w:rPr>
              <w:t>：</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t>2018</w:t>
            </w:r>
            <w:r w:rsidRPr="00807B8E">
              <w:rPr>
                <w:rFonts w:hint="eastAsia"/>
              </w:rPr>
              <w:t>年</w:t>
            </w:r>
            <w:r w:rsidRPr="00807B8E">
              <w:rPr>
                <w:rFonts w:hint="eastAsia"/>
              </w:rPr>
              <w:t>8</w:t>
            </w:r>
            <w:r w:rsidRPr="00807B8E">
              <w:rPr>
                <w:rFonts w:hint="eastAsia"/>
              </w:rPr>
              <w:t>月</w:t>
            </w:r>
            <w:r w:rsidRPr="00807B8E">
              <w:rPr>
                <w:rFonts w:hint="eastAsia"/>
              </w:rPr>
              <w:t>27</w:t>
            </w:r>
            <w:r w:rsidRPr="00807B8E">
              <w:rPr>
                <w:rFonts w:hint="eastAsia"/>
              </w:rPr>
              <w:t>日</w:t>
            </w:r>
            <w:r w:rsidRPr="00807B8E">
              <w:t>(</w:t>
            </w:r>
            <w:r w:rsidRPr="00807B8E">
              <w:rPr>
                <w:rFonts w:hint="eastAsia"/>
              </w:rPr>
              <w:t>初次提交</w:t>
            </w:r>
            <w:r w:rsidRPr="00807B8E">
              <w:t>)</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决定通过日期：</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t>2020</w:t>
            </w:r>
            <w:r w:rsidRPr="00807B8E">
              <w:rPr>
                <w:rFonts w:hint="eastAsia"/>
              </w:rPr>
              <w:t>年</w:t>
            </w:r>
            <w:r w:rsidRPr="00807B8E">
              <w:rPr>
                <w:rFonts w:hint="eastAsia"/>
              </w:rPr>
              <w:t>2</w:t>
            </w:r>
            <w:r w:rsidRPr="00807B8E">
              <w:rPr>
                <w:rFonts w:hint="eastAsia"/>
              </w:rPr>
              <w:t>月</w:t>
            </w:r>
            <w:r w:rsidRPr="00807B8E">
              <w:rPr>
                <w:rFonts w:hint="eastAsia"/>
              </w:rPr>
              <w:t>4</w:t>
            </w:r>
            <w:r w:rsidRPr="00807B8E">
              <w:rPr>
                <w:rFonts w:hint="eastAsia"/>
              </w:rPr>
              <w:t>日</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hint="eastAsia"/>
              </w:rPr>
              <w:t>事由</w:t>
            </w:r>
            <w:r>
              <w:rPr>
                <w:rFonts w:ascii="楷体" w:eastAsia="楷体" w:hAnsi="楷体" w:cs="Segoe UI" w:hint="eastAsia"/>
              </w:rPr>
              <w:t>：</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rPr>
                <w:rFonts w:hint="eastAsia"/>
              </w:rPr>
              <w:t>以年龄为由不准投票</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程序性问题：</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9D55EF">
              <w:t>用尽国内补救办法；</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实质性问题：</w:t>
            </w:r>
          </w:p>
        </w:tc>
        <w:tc>
          <w:tcPr>
            <w:tcW w:w="528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0"/>
            </w:pPr>
            <w:r w:rsidRPr="009D55EF">
              <w:rPr>
                <w:rFonts w:hint="eastAsia"/>
              </w:rPr>
              <w:t>儿童的最大利益；投票权</w:t>
            </w:r>
          </w:p>
        </w:tc>
      </w:tr>
      <w:tr w:rsidR="009D55EF" w:rsidRPr="00C30924" w:rsidTr="00CF19D6">
        <w:tc>
          <w:tcPr>
            <w:tcW w:w="2297" w:type="dxa"/>
            <w:shd w:val="clear" w:color="auto" w:fill="auto"/>
          </w:tcPr>
          <w:p w:rsidR="009D55EF" w:rsidRPr="009D55EF" w:rsidRDefault="009D55EF" w:rsidP="009D55EF">
            <w:pPr>
              <w:pStyle w:val="SingleTxtGC"/>
              <w:tabs>
                <w:tab w:val="clear" w:pos="431"/>
                <w:tab w:val="clear" w:pos="1134"/>
                <w:tab w:val="clear" w:pos="1565"/>
                <w:tab w:val="clear" w:pos="1996"/>
                <w:tab w:val="clear" w:pos="2427"/>
              </w:tabs>
              <w:ind w:left="6" w:right="85"/>
              <w:rPr>
                <w:rFonts w:ascii="楷体" w:eastAsia="楷体" w:hAnsi="楷体" w:cs="Segoe UI"/>
              </w:rPr>
            </w:pPr>
            <w:r w:rsidRPr="009D55EF">
              <w:rPr>
                <w:rFonts w:ascii="楷体" w:eastAsia="楷体" w:hAnsi="楷体" w:cs="Segoe UI"/>
              </w:rPr>
              <w:t>《公约》条款：</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9D55EF">
              <w:rPr>
                <w:rFonts w:hint="eastAsia"/>
                <w:spacing w:val="8"/>
              </w:rPr>
              <w:t>第</w:t>
            </w:r>
            <w:r w:rsidRPr="009D55EF">
              <w:rPr>
                <w:spacing w:val="8"/>
              </w:rPr>
              <w:t>2</w:t>
            </w:r>
            <w:r w:rsidRPr="009D55EF">
              <w:rPr>
                <w:rFonts w:hint="eastAsia"/>
                <w:spacing w:val="8"/>
              </w:rPr>
              <w:t>第</w:t>
            </w:r>
            <w:r w:rsidRPr="009D55EF">
              <w:rPr>
                <w:spacing w:val="8"/>
              </w:rPr>
              <w:t>(1)</w:t>
            </w:r>
            <w:r w:rsidRPr="009D55EF">
              <w:rPr>
                <w:rFonts w:hint="eastAsia"/>
                <w:spacing w:val="8"/>
              </w:rPr>
              <w:t>款、第</w:t>
            </w:r>
            <w:r w:rsidRPr="009D55EF">
              <w:rPr>
                <w:spacing w:val="8"/>
              </w:rPr>
              <w:t>3</w:t>
            </w:r>
            <w:r w:rsidRPr="00807B8E">
              <w:rPr>
                <w:rFonts w:hint="eastAsia"/>
              </w:rPr>
              <w:t>条第</w:t>
            </w:r>
            <w:r w:rsidRPr="00807B8E">
              <w:t>(1)</w:t>
            </w:r>
            <w:r w:rsidRPr="00807B8E">
              <w:rPr>
                <w:rFonts w:hint="eastAsia"/>
              </w:rPr>
              <w:t>款、第</w:t>
            </w:r>
            <w:r w:rsidRPr="00807B8E">
              <w:t>4</w:t>
            </w:r>
            <w:r w:rsidRPr="00807B8E">
              <w:rPr>
                <w:rFonts w:hint="eastAsia"/>
              </w:rPr>
              <w:t>条、第</w:t>
            </w:r>
            <w:r w:rsidRPr="00807B8E">
              <w:t>12</w:t>
            </w:r>
            <w:r w:rsidRPr="00807B8E">
              <w:rPr>
                <w:rFonts w:hint="eastAsia"/>
              </w:rPr>
              <w:t>条第</w:t>
            </w:r>
            <w:r w:rsidRPr="00807B8E">
              <w:t>(1)</w:t>
            </w:r>
            <w:r w:rsidRPr="00807B8E">
              <w:rPr>
                <w:rFonts w:hint="eastAsia"/>
              </w:rPr>
              <w:t>款</w:t>
            </w:r>
          </w:p>
        </w:tc>
      </w:tr>
      <w:tr w:rsidR="009D55EF" w:rsidRPr="00C30924" w:rsidTr="00CF19D6">
        <w:tc>
          <w:tcPr>
            <w:tcW w:w="229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85"/>
            </w:pPr>
            <w:r w:rsidRPr="009D55EF">
              <w:rPr>
                <w:rFonts w:ascii="楷体" w:eastAsia="楷体" w:hAnsi="楷体" w:cs="Segoe UI"/>
              </w:rPr>
              <w:t>《任择议定书》条款</w:t>
            </w:r>
            <w:r w:rsidRPr="00807B8E">
              <w:rPr>
                <w:rFonts w:ascii="Segoe UI" w:hAnsi="Segoe UI" w:cs="Segoe UI"/>
              </w:rPr>
              <w:t>：</w:t>
            </w:r>
          </w:p>
        </w:tc>
        <w:tc>
          <w:tcPr>
            <w:tcW w:w="5287" w:type="dxa"/>
            <w:shd w:val="clear" w:color="auto" w:fill="auto"/>
          </w:tcPr>
          <w:p w:rsidR="009D55EF" w:rsidRPr="00807B8E" w:rsidRDefault="009D55EF" w:rsidP="009D55EF">
            <w:pPr>
              <w:pStyle w:val="SingleTxtGC"/>
              <w:tabs>
                <w:tab w:val="clear" w:pos="431"/>
                <w:tab w:val="clear" w:pos="1134"/>
                <w:tab w:val="clear" w:pos="1565"/>
                <w:tab w:val="clear" w:pos="1996"/>
                <w:tab w:val="clear" w:pos="2427"/>
              </w:tabs>
              <w:ind w:left="6" w:right="0"/>
            </w:pPr>
            <w:r w:rsidRPr="00807B8E">
              <w:rPr>
                <w:rFonts w:hint="eastAsia"/>
              </w:rPr>
              <w:t>第</w:t>
            </w:r>
            <w:r w:rsidRPr="00807B8E">
              <w:t>7</w:t>
            </w:r>
            <w:r w:rsidRPr="00807B8E">
              <w:rPr>
                <w:rFonts w:hint="eastAsia"/>
              </w:rPr>
              <w:t>条</w:t>
            </w:r>
            <w:r w:rsidRPr="00807B8E">
              <w:t>(e)</w:t>
            </w:r>
            <w:r w:rsidRPr="00807B8E">
              <w:rPr>
                <w:rFonts w:hint="eastAsia"/>
              </w:rPr>
              <w:t>项</w:t>
            </w:r>
          </w:p>
        </w:tc>
      </w:tr>
    </w:tbl>
    <w:p w:rsidR="004C70C0" w:rsidRPr="00F9242D" w:rsidRDefault="004C70C0" w:rsidP="002137A2">
      <w:pPr>
        <w:pStyle w:val="SingleTxtGC"/>
        <w:tabs>
          <w:tab w:val="clear" w:pos="431"/>
          <w:tab w:val="clear" w:pos="1134"/>
          <w:tab w:val="clear" w:pos="1565"/>
          <w:tab w:val="clear" w:pos="1996"/>
          <w:tab w:val="clear" w:pos="2427"/>
          <w:tab w:val="left" w:pos="1701"/>
        </w:tabs>
        <w:spacing w:before="120"/>
      </w:pPr>
      <w:r w:rsidRPr="00F9242D">
        <w:t>1.1</w:t>
      </w:r>
      <w:r w:rsidRPr="00F9242D">
        <w:tab/>
      </w:r>
      <w:r w:rsidRPr="002137A2">
        <w:t>来文提交人</w:t>
      </w:r>
      <w:r w:rsidRPr="002137A2">
        <w:rPr>
          <w:rFonts w:hint="eastAsia"/>
        </w:rPr>
        <w:t>为</w:t>
      </w:r>
      <w:r w:rsidRPr="002137A2">
        <w:t>西班牙公民，生于</w:t>
      </w:r>
      <w:r w:rsidRPr="002137A2">
        <w:t>1999</w:t>
      </w:r>
      <w:r w:rsidRPr="002137A2">
        <w:t>年</w:t>
      </w:r>
      <w:r w:rsidRPr="002137A2">
        <w:t>4</w:t>
      </w:r>
      <w:r w:rsidRPr="002137A2">
        <w:t>月</w:t>
      </w:r>
      <w:r w:rsidRPr="002137A2">
        <w:t>12</w:t>
      </w:r>
      <w:r w:rsidRPr="002137A2">
        <w:t>日。在所述事件发生时</w:t>
      </w:r>
      <w:r w:rsidRPr="002137A2">
        <w:rPr>
          <w:rFonts w:hint="eastAsia"/>
        </w:rPr>
        <w:t>，提交人是一名</w:t>
      </w:r>
      <w:r w:rsidRPr="002137A2">
        <w:t>16</w:t>
      </w:r>
      <w:r w:rsidRPr="002137A2">
        <w:t>岁</w:t>
      </w:r>
      <w:r w:rsidRPr="002137A2">
        <w:rPr>
          <w:rFonts w:hint="eastAsia"/>
        </w:rPr>
        <w:t>的儿童。</w:t>
      </w:r>
      <w:r w:rsidRPr="002137A2">
        <w:t>他</w:t>
      </w:r>
      <w:r w:rsidRPr="002137A2">
        <w:rPr>
          <w:rFonts w:hint="eastAsia"/>
        </w:rPr>
        <w:t>说，</w:t>
      </w:r>
      <w:r w:rsidRPr="002137A2">
        <w:t>缔约国以年龄为由剥夺他在地方选举中的投票权，</w:t>
      </w:r>
      <w:r w:rsidRPr="002137A2">
        <w:rPr>
          <w:rFonts w:hint="eastAsia"/>
        </w:rPr>
        <w:t>因而</w:t>
      </w:r>
      <w:r w:rsidRPr="002137A2">
        <w:t>侵犯了他</w:t>
      </w:r>
      <w:r w:rsidRPr="002137A2">
        <w:rPr>
          <w:rFonts w:hint="eastAsia"/>
        </w:rPr>
        <w:t>在</w:t>
      </w:r>
      <w:r w:rsidRPr="002137A2">
        <w:t>《公约》第</w:t>
      </w:r>
      <w:r w:rsidRPr="002137A2">
        <w:rPr>
          <w:rFonts w:hint="eastAsia"/>
        </w:rPr>
        <w:t>2</w:t>
      </w:r>
      <w:r w:rsidRPr="002137A2">
        <w:t>条第</w:t>
      </w:r>
      <w:r w:rsidR="00D614FD" w:rsidRPr="002137A2">
        <w:rPr>
          <w:rFonts w:hint="eastAsia"/>
        </w:rPr>
        <w:t>(</w:t>
      </w:r>
      <w:r w:rsidRPr="002137A2">
        <w:rPr>
          <w:rFonts w:hint="eastAsia"/>
        </w:rPr>
        <w:t>1</w:t>
      </w:r>
      <w:r w:rsidR="00D614FD" w:rsidRPr="002137A2">
        <w:rPr>
          <w:rFonts w:hint="eastAsia"/>
        </w:rPr>
        <w:t>)</w:t>
      </w:r>
      <w:r w:rsidRPr="002137A2">
        <w:t>款、第</w:t>
      </w:r>
      <w:r w:rsidRPr="002137A2">
        <w:rPr>
          <w:rFonts w:hint="eastAsia"/>
        </w:rPr>
        <w:t>3</w:t>
      </w:r>
      <w:r w:rsidRPr="002137A2">
        <w:t>条第</w:t>
      </w:r>
      <w:r w:rsidR="00D614FD" w:rsidRPr="002137A2">
        <w:rPr>
          <w:rFonts w:hint="eastAsia"/>
        </w:rPr>
        <w:t>(</w:t>
      </w:r>
      <w:r w:rsidRPr="002137A2">
        <w:rPr>
          <w:rFonts w:hint="eastAsia"/>
        </w:rPr>
        <w:t>1</w:t>
      </w:r>
      <w:r w:rsidR="00D614FD" w:rsidRPr="002137A2">
        <w:rPr>
          <w:rFonts w:hint="eastAsia"/>
        </w:rPr>
        <w:t>)</w:t>
      </w:r>
      <w:r w:rsidRPr="002137A2">
        <w:t>款、第</w:t>
      </w:r>
      <w:r w:rsidRPr="002137A2">
        <w:rPr>
          <w:rFonts w:hint="eastAsia"/>
        </w:rPr>
        <w:t>4</w:t>
      </w:r>
      <w:r w:rsidRPr="002137A2">
        <w:t>条和第</w:t>
      </w:r>
      <w:r w:rsidRPr="002137A2">
        <w:rPr>
          <w:rFonts w:hint="eastAsia"/>
        </w:rPr>
        <w:t>12</w:t>
      </w:r>
      <w:r w:rsidRPr="002137A2">
        <w:t>条第</w:t>
      </w:r>
      <w:r w:rsidR="00D614FD" w:rsidRPr="002137A2">
        <w:rPr>
          <w:rFonts w:hint="eastAsia"/>
        </w:rPr>
        <w:t>(</w:t>
      </w:r>
      <w:r w:rsidRPr="002137A2">
        <w:rPr>
          <w:rFonts w:hint="eastAsia"/>
        </w:rPr>
        <w:t>1</w:t>
      </w:r>
      <w:r w:rsidR="00D614FD" w:rsidRPr="002137A2">
        <w:rPr>
          <w:rFonts w:hint="eastAsia"/>
        </w:rPr>
        <w:t>)</w:t>
      </w:r>
      <w:r w:rsidRPr="002137A2">
        <w:t>款</w:t>
      </w:r>
      <w:r w:rsidRPr="002137A2">
        <w:rPr>
          <w:rFonts w:hint="eastAsia"/>
        </w:rPr>
        <w:t>之下</w:t>
      </w:r>
      <w:r w:rsidRPr="002137A2">
        <w:t>的权利。提交人由律师代理。《任择议定书》于</w:t>
      </w:r>
      <w:r w:rsidRPr="002137A2">
        <w:t>2014</w:t>
      </w:r>
      <w:r w:rsidRPr="002137A2">
        <w:t>年</w:t>
      </w:r>
      <w:r w:rsidRPr="002137A2">
        <w:t>4</w:t>
      </w:r>
      <w:r w:rsidRPr="002137A2">
        <w:t>月</w:t>
      </w:r>
      <w:r w:rsidRPr="002137A2">
        <w:t>14</w:t>
      </w:r>
      <w:r w:rsidRPr="002137A2">
        <w:t>日对缔约国生效。</w:t>
      </w:r>
    </w:p>
    <w:p w:rsidR="004C70C0" w:rsidRPr="007E40BC" w:rsidRDefault="004C70C0" w:rsidP="00D614FD">
      <w:pPr>
        <w:pStyle w:val="SingleTxtGC"/>
        <w:tabs>
          <w:tab w:val="clear" w:pos="431"/>
          <w:tab w:val="clear" w:pos="1134"/>
          <w:tab w:val="clear" w:pos="1565"/>
          <w:tab w:val="clear" w:pos="1996"/>
          <w:tab w:val="clear" w:pos="2427"/>
          <w:tab w:val="left" w:pos="1701"/>
        </w:tabs>
      </w:pPr>
      <w:r w:rsidRPr="002137A2">
        <w:lastRenderedPageBreak/>
        <w:t>1.2</w:t>
      </w:r>
      <w:r w:rsidRPr="002137A2">
        <w:tab/>
        <w:t>2019</w:t>
      </w:r>
      <w:r w:rsidRPr="002137A2">
        <w:t>年</w:t>
      </w:r>
      <w:r w:rsidRPr="002137A2">
        <w:t>5</w:t>
      </w:r>
      <w:r w:rsidRPr="002137A2">
        <w:t>月</w:t>
      </w:r>
      <w:r w:rsidRPr="002137A2">
        <w:t>7</w:t>
      </w:r>
      <w:r w:rsidRPr="002137A2">
        <w:t>日，委员会通过其来文工作组</w:t>
      </w:r>
      <w:r w:rsidRPr="002137A2">
        <w:rPr>
          <w:rFonts w:hint="eastAsia"/>
        </w:rPr>
        <w:t>行事，</w:t>
      </w:r>
      <w:r w:rsidRPr="002137A2">
        <w:t>决定将来文可否受理问题与案情分开审议。</w:t>
      </w:r>
    </w:p>
    <w:p w:rsidR="004C70C0" w:rsidRPr="00F9242D" w:rsidRDefault="004C70C0" w:rsidP="002137A2">
      <w:pPr>
        <w:pStyle w:val="H23GC"/>
      </w:pPr>
      <w:r w:rsidRPr="00F9242D">
        <w:tab/>
      </w:r>
      <w:r w:rsidRPr="00F9242D">
        <w:tab/>
      </w:r>
      <w:r>
        <w:rPr>
          <w:rFonts w:hint="eastAsia"/>
        </w:rPr>
        <w:t>提交人陈述的事实</w:t>
      </w:r>
    </w:p>
    <w:p w:rsidR="004C70C0" w:rsidRPr="00825BB9" w:rsidRDefault="004C70C0" w:rsidP="00D614FD">
      <w:pPr>
        <w:pStyle w:val="SingleTxtGC"/>
        <w:tabs>
          <w:tab w:val="clear" w:pos="431"/>
          <w:tab w:val="clear" w:pos="1134"/>
          <w:tab w:val="clear" w:pos="1565"/>
          <w:tab w:val="clear" w:pos="1996"/>
          <w:tab w:val="clear" w:pos="2427"/>
          <w:tab w:val="left" w:pos="1701"/>
        </w:tabs>
      </w:pPr>
      <w:r w:rsidRPr="00F9242D">
        <w:t>2.1</w:t>
      </w:r>
      <w:r w:rsidRPr="00F9242D">
        <w:tab/>
      </w:r>
      <w:r w:rsidRPr="002137A2">
        <w:t>在</w:t>
      </w:r>
      <w:r w:rsidRPr="002137A2">
        <w:t>2015</w:t>
      </w:r>
      <w:r w:rsidRPr="002137A2">
        <w:t>年的三个多月里，提交人与父母住在德国萨尔</w:t>
      </w:r>
      <w:r w:rsidRPr="002137A2">
        <w:rPr>
          <w:rFonts w:hint="eastAsia"/>
        </w:rPr>
        <w:t>州</w:t>
      </w:r>
      <w:r w:rsidRPr="002137A2">
        <w:t>佩尔市。</w:t>
      </w:r>
      <w:r w:rsidRPr="000E48C4">
        <w:rPr>
          <w:color w:val="0000FF"/>
          <w:vertAlign w:val="superscript"/>
        </w:rPr>
        <w:footnoteReference w:id="4"/>
      </w:r>
      <w:r w:rsidR="002137A2">
        <w:rPr>
          <w:rFonts w:hint="eastAsia"/>
        </w:rPr>
        <w:t xml:space="preserve"> </w:t>
      </w:r>
      <w:r w:rsidRPr="002137A2">
        <w:t>提交人</w:t>
      </w:r>
      <w:r w:rsidRPr="002137A2">
        <w:rPr>
          <w:rFonts w:hint="eastAsia"/>
        </w:rPr>
        <w:t>想要</w:t>
      </w:r>
      <w:r w:rsidRPr="002137A2">
        <w:t>在定于</w:t>
      </w:r>
      <w:r w:rsidRPr="002137A2">
        <w:t>2015</w:t>
      </w:r>
      <w:r w:rsidRPr="002137A2">
        <w:t>年</w:t>
      </w:r>
      <w:r w:rsidRPr="002137A2">
        <w:t>6</w:t>
      </w:r>
      <w:r w:rsidRPr="002137A2">
        <w:t>月</w:t>
      </w:r>
      <w:r w:rsidRPr="002137A2">
        <w:t>28</w:t>
      </w:r>
      <w:r w:rsidRPr="002137A2">
        <w:t>日</w:t>
      </w:r>
      <w:r w:rsidRPr="002137A2">
        <w:rPr>
          <w:rFonts w:hint="eastAsia"/>
        </w:rPr>
        <w:t>进行</w:t>
      </w:r>
      <w:r w:rsidRPr="002137A2">
        <w:t>的地方市长选举中投票。</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2.2</w:t>
      </w:r>
      <w:r w:rsidRPr="002137A2">
        <w:tab/>
        <w:t>2015</w:t>
      </w:r>
      <w:r w:rsidRPr="002137A2">
        <w:t>年</w:t>
      </w:r>
      <w:r w:rsidRPr="002137A2">
        <w:t>4</w:t>
      </w:r>
      <w:r w:rsidRPr="002137A2">
        <w:t>月</w:t>
      </w:r>
      <w:r w:rsidRPr="002137A2">
        <w:t>7</w:t>
      </w:r>
      <w:r w:rsidRPr="002137A2">
        <w:t>日，提交人向佩尔市选举办公室提出申请，</w:t>
      </w:r>
      <w:r w:rsidRPr="002137A2">
        <w:rPr>
          <w:rFonts w:hint="eastAsia"/>
        </w:rPr>
        <w:t>以便</w:t>
      </w:r>
      <w:r w:rsidRPr="002137A2">
        <w:t>行使他在选举中的投票权。</w:t>
      </w:r>
      <w:r w:rsidRPr="002137A2">
        <w:t>2015</w:t>
      </w:r>
      <w:r w:rsidRPr="002137A2">
        <w:t>年</w:t>
      </w:r>
      <w:r w:rsidRPr="002137A2">
        <w:t>4</w:t>
      </w:r>
      <w:r w:rsidRPr="002137A2">
        <w:t>月</w:t>
      </w:r>
      <w:r w:rsidRPr="002137A2">
        <w:t>8</w:t>
      </w:r>
      <w:r w:rsidRPr="002137A2">
        <w:t>日，</w:t>
      </w:r>
      <w:r w:rsidRPr="002137A2">
        <w:rPr>
          <w:rFonts w:hint="eastAsia"/>
        </w:rPr>
        <w:t>市政当局</w:t>
      </w:r>
      <w:r w:rsidRPr="002137A2">
        <w:t>决定驳回申请。</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2.3</w:t>
      </w:r>
      <w:r w:rsidRPr="002137A2">
        <w:tab/>
      </w:r>
      <w:r w:rsidRPr="002137A2">
        <w:rPr>
          <w:rFonts w:hint="eastAsia"/>
        </w:rPr>
        <w:t>2</w:t>
      </w:r>
      <w:r w:rsidRPr="002137A2">
        <w:t>015</w:t>
      </w:r>
      <w:r w:rsidRPr="002137A2">
        <w:t>年</w:t>
      </w:r>
      <w:r w:rsidRPr="002137A2">
        <w:t>5</w:t>
      </w:r>
      <w:r w:rsidRPr="002137A2">
        <w:t>月</w:t>
      </w:r>
      <w:r w:rsidRPr="002137A2">
        <w:t>15</w:t>
      </w:r>
      <w:r w:rsidRPr="002137A2">
        <w:t>日，提交人向</w:t>
      </w:r>
      <w:r w:rsidRPr="002137A2">
        <w:rPr>
          <w:rFonts w:hint="eastAsia"/>
        </w:rPr>
        <w:t>市政当局</w:t>
      </w:r>
      <w:r w:rsidRPr="002137A2">
        <w:t>提出上诉，</w:t>
      </w:r>
      <w:r w:rsidRPr="002137A2">
        <w:rPr>
          <w:rFonts w:hint="eastAsia"/>
        </w:rPr>
        <w:t>表示</w:t>
      </w:r>
      <w:r w:rsidRPr="002137A2">
        <w:t>他作为欧洲联盟成员国的公民，有权在居住国的</w:t>
      </w:r>
      <w:r w:rsidRPr="002137A2">
        <w:rPr>
          <w:rFonts w:hint="eastAsia"/>
        </w:rPr>
        <w:t>市级</w:t>
      </w:r>
      <w:r w:rsidRPr="002137A2">
        <w:t>选举中投票。</w:t>
      </w:r>
      <w:r w:rsidRPr="002137A2">
        <w:rPr>
          <w:rFonts w:hint="eastAsia"/>
        </w:rPr>
        <w:t>市政当局</w:t>
      </w:r>
      <w:r w:rsidRPr="002137A2">
        <w:t>于</w:t>
      </w:r>
      <w:r w:rsidRPr="002137A2">
        <w:t>2015</w:t>
      </w:r>
      <w:r w:rsidRPr="002137A2">
        <w:t>年</w:t>
      </w:r>
      <w:r w:rsidRPr="002137A2">
        <w:t>6</w:t>
      </w:r>
      <w:r w:rsidRPr="002137A2">
        <w:t>月</w:t>
      </w:r>
      <w:r w:rsidRPr="002137A2">
        <w:t>24</w:t>
      </w:r>
      <w:r w:rsidRPr="002137A2">
        <w:t>日驳回</w:t>
      </w:r>
      <w:r w:rsidRPr="002137A2">
        <w:rPr>
          <w:rFonts w:hint="eastAsia"/>
        </w:rPr>
        <w:t>这一上诉</w:t>
      </w:r>
      <w:r w:rsidRPr="002137A2">
        <w:t>，理由是申请人不符合萨尔州地方选举法规定的最低年龄要求。</w:t>
      </w:r>
      <w:r w:rsidRPr="000E48C4">
        <w:rPr>
          <w:color w:val="0000FF"/>
          <w:vertAlign w:val="superscript"/>
        </w:rPr>
        <w:footnoteReference w:id="5"/>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2.4</w:t>
      </w:r>
      <w:r w:rsidRPr="002137A2">
        <w:tab/>
      </w:r>
      <w:r w:rsidRPr="002137A2">
        <w:t>选举于</w:t>
      </w:r>
      <w:r w:rsidRPr="002137A2">
        <w:t>2015</w:t>
      </w:r>
      <w:r w:rsidRPr="002137A2">
        <w:t>年</w:t>
      </w:r>
      <w:r w:rsidRPr="002137A2">
        <w:t>6</w:t>
      </w:r>
      <w:r w:rsidRPr="002137A2">
        <w:t>月</w:t>
      </w:r>
      <w:r w:rsidRPr="002137A2">
        <w:t>28</w:t>
      </w:r>
      <w:r w:rsidRPr="002137A2">
        <w:t>日</w:t>
      </w:r>
      <w:r w:rsidRPr="002137A2">
        <w:rPr>
          <w:rFonts w:hint="eastAsia"/>
        </w:rPr>
        <w:t>进行</w:t>
      </w:r>
      <w:r w:rsidRPr="002137A2">
        <w:t>，提交人</w:t>
      </w:r>
      <w:r w:rsidRPr="002137A2">
        <w:rPr>
          <w:rFonts w:hint="eastAsia"/>
        </w:rPr>
        <w:t>未能</w:t>
      </w:r>
      <w:r w:rsidRPr="002137A2">
        <w:t>投票。</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2.5</w:t>
      </w:r>
      <w:r w:rsidRPr="002137A2">
        <w:tab/>
        <w:t>2015</w:t>
      </w:r>
      <w:r w:rsidRPr="002137A2">
        <w:t>年</w:t>
      </w:r>
      <w:r w:rsidRPr="002137A2">
        <w:t>7</w:t>
      </w:r>
      <w:r w:rsidRPr="002137A2">
        <w:t>月</w:t>
      </w:r>
      <w:r w:rsidRPr="002137A2">
        <w:t>29</w:t>
      </w:r>
      <w:r w:rsidRPr="002137A2">
        <w:t>日，提交人向萨尔州行政法院提起诉讼，法院</w:t>
      </w:r>
      <w:r w:rsidRPr="002137A2">
        <w:rPr>
          <w:rFonts w:hint="eastAsia"/>
        </w:rPr>
        <w:t>于</w:t>
      </w:r>
      <w:r w:rsidRPr="002137A2">
        <w:t>2016</w:t>
      </w:r>
      <w:r w:rsidRPr="002137A2">
        <w:t>年</w:t>
      </w:r>
      <w:r w:rsidRPr="002137A2">
        <w:t>11</w:t>
      </w:r>
      <w:r w:rsidRPr="002137A2">
        <w:t>月</w:t>
      </w:r>
      <w:r w:rsidRPr="002137A2">
        <w:t>4</w:t>
      </w:r>
      <w:r w:rsidRPr="002137A2">
        <w:t>日</w:t>
      </w:r>
      <w:r w:rsidRPr="002137A2">
        <w:rPr>
          <w:rFonts w:hint="eastAsia"/>
        </w:rPr>
        <w:t>作出</w:t>
      </w:r>
      <w:r w:rsidRPr="002137A2">
        <w:t>裁决</w:t>
      </w:r>
      <w:r w:rsidRPr="002137A2">
        <w:rPr>
          <w:rFonts w:hint="eastAsia"/>
        </w:rPr>
        <w:t>，</w:t>
      </w:r>
      <w:r w:rsidRPr="002137A2">
        <w:t>驳回了该诉讼。</w:t>
      </w:r>
      <w:r w:rsidRPr="000E48C4">
        <w:rPr>
          <w:snapToGrid/>
          <w:color w:val="0000FF"/>
          <w:vertAlign w:val="superscript"/>
        </w:rPr>
        <w:footnoteReference w:id="6"/>
      </w:r>
      <w:r w:rsidR="002137A2">
        <w:rPr>
          <w:rFonts w:hint="eastAsia"/>
        </w:rPr>
        <w:t xml:space="preserve"> </w:t>
      </w:r>
      <w:r w:rsidRPr="002137A2">
        <w:t>法院认为，</w:t>
      </w:r>
      <w:r w:rsidRPr="002137A2">
        <w:rPr>
          <w:rFonts w:hint="eastAsia"/>
        </w:rPr>
        <w:t>不让</w:t>
      </w:r>
      <w:r w:rsidRPr="002137A2">
        <w:t>儿童</w:t>
      </w:r>
      <w:r w:rsidRPr="002137A2">
        <w:rPr>
          <w:rFonts w:hint="eastAsia"/>
        </w:rPr>
        <w:t>行使</w:t>
      </w:r>
      <w:r w:rsidRPr="002137A2">
        <w:t>投票权</w:t>
      </w:r>
      <w:r w:rsidRPr="002137A2">
        <w:rPr>
          <w:rFonts w:hint="eastAsia"/>
        </w:rPr>
        <w:t>的做法</w:t>
      </w:r>
      <w:r w:rsidRPr="002137A2">
        <w:t>是正当的，因为儿童缺乏行使这项权利所需的政治成熟</w:t>
      </w:r>
      <w:r w:rsidRPr="002137A2">
        <w:rPr>
          <w:rFonts w:hint="eastAsia"/>
        </w:rPr>
        <w:t>度</w:t>
      </w:r>
      <w:r w:rsidRPr="002137A2">
        <w:t>和</w:t>
      </w:r>
      <w:r w:rsidRPr="002137A2">
        <w:rPr>
          <w:rFonts w:hint="eastAsia"/>
        </w:rPr>
        <w:t>判断力</w:t>
      </w:r>
      <w:r w:rsidRPr="002137A2">
        <w:t>。</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2.6</w:t>
      </w:r>
      <w:r w:rsidRPr="002137A2">
        <w:tab/>
      </w:r>
      <w:r w:rsidRPr="002137A2">
        <w:t>提交人向萨尔州</w:t>
      </w:r>
      <w:r w:rsidRPr="002137A2">
        <w:rPr>
          <w:rFonts w:hint="eastAsia"/>
        </w:rPr>
        <w:t>上</w:t>
      </w:r>
      <w:r w:rsidRPr="002137A2">
        <w:t>级行政法院提出上诉，</w:t>
      </w:r>
      <w:r w:rsidRPr="000E48C4">
        <w:rPr>
          <w:snapToGrid/>
          <w:color w:val="0000FF"/>
          <w:vertAlign w:val="superscript"/>
        </w:rPr>
        <w:footnoteReference w:id="7"/>
      </w:r>
      <w:r w:rsidR="002137A2">
        <w:rPr>
          <w:rFonts w:hint="eastAsia"/>
        </w:rPr>
        <w:t xml:space="preserve"> </w:t>
      </w:r>
      <w:r w:rsidRPr="002137A2">
        <w:t>该法院于</w:t>
      </w:r>
      <w:r w:rsidRPr="002137A2">
        <w:t>2017</w:t>
      </w:r>
      <w:r w:rsidRPr="002137A2">
        <w:t>年</w:t>
      </w:r>
      <w:r w:rsidRPr="002137A2">
        <w:t>11</w:t>
      </w:r>
      <w:r w:rsidRPr="002137A2">
        <w:t>月</w:t>
      </w:r>
      <w:r w:rsidRPr="002137A2">
        <w:t>7</w:t>
      </w:r>
      <w:r w:rsidRPr="002137A2">
        <w:t>日驳回了他的</w:t>
      </w:r>
      <w:r w:rsidRPr="002137A2">
        <w:rPr>
          <w:rFonts w:hint="eastAsia"/>
        </w:rPr>
        <w:t>上诉</w:t>
      </w:r>
      <w:r w:rsidRPr="002137A2">
        <w:t>申请。</w:t>
      </w:r>
      <w:r w:rsidRPr="000E48C4">
        <w:rPr>
          <w:snapToGrid/>
          <w:color w:val="0000FF"/>
          <w:vertAlign w:val="superscript"/>
        </w:rPr>
        <w:footnoteReference w:id="8"/>
      </w:r>
    </w:p>
    <w:p w:rsidR="004C70C0" w:rsidRPr="002137A2" w:rsidRDefault="004C70C0" w:rsidP="002137A2">
      <w:pPr>
        <w:pStyle w:val="H23GC"/>
      </w:pPr>
      <w:r w:rsidRPr="002137A2">
        <w:tab/>
      </w:r>
      <w:r w:rsidRPr="002137A2">
        <w:tab/>
      </w:r>
      <w:r w:rsidRPr="002137A2">
        <w:rPr>
          <w:rFonts w:hint="eastAsia"/>
        </w:rPr>
        <w:t>申诉</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3.1</w:t>
      </w:r>
      <w:r w:rsidRPr="002137A2">
        <w:tab/>
      </w:r>
      <w:r w:rsidRPr="002137A2">
        <w:t>提交人</w:t>
      </w:r>
      <w:r w:rsidRPr="002137A2">
        <w:rPr>
          <w:rFonts w:hint="eastAsia"/>
        </w:rPr>
        <w:t>说</w:t>
      </w:r>
      <w:r w:rsidRPr="002137A2">
        <w:t>，他</w:t>
      </w:r>
      <w:r w:rsidRPr="002137A2">
        <w:rPr>
          <w:rFonts w:hint="eastAsia"/>
        </w:rPr>
        <w:t>在</w:t>
      </w:r>
      <w:r w:rsidRPr="002137A2">
        <w:t>《公约》第</w:t>
      </w:r>
      <w:r w:rsidRPr="002137A2">
        <w:t>12</w:t>
      </w:r>
      <w:r w:rsidRPr="002137A2">
        <w:t>条第</w:t>
      </w:r>
      <w:r w:rsidR="00D614FD" w:rsidRPr="002137A2">
        <w:rPr>
          <w:rFonts w:hint="eastAsia"/>
        </w:rPr>
        <w:t>(</w:t>
      </w:r>
      <w:r w:rsidRPr="002137A2">
        <w:t>1</w:t>
      </w:r>
      <w:r w:rsidR="00D614FD" w:rsidRPr="002137A2">
        <w:rPr>
          <w:rFonts w:hint="eastAsia"/>
        </w:rPr>
        <w:t>)</w:t>
      </w:r>
      <w:r w:rsidRPr="002137A2">
        <w:t>款</w:t>
      </w:r>
      <w:r w:rsidRPr="002137A2">
        <w:rPr>
          <w:rFonts w:hint="eastAsia"/>
        </w:rPr>
        <w:t>之下</w:t>
      </w:r>
      <w:r w:rsidRPr="002137A2">
        <w:t>的权利</w:t>
      </w:r>
      <w:r w:rsidRPr="002137A2">
        <w:rPr>
          <w:rFonts w:hint="eastAsia"/>
        </w:rPr>
        <w:t>遭</w:t>
      </w:r>
      <w:r w:rsidRPr="002137A2">
        <w:t>到了侵犯，因为萨尔</w:t>
      </w:r>
      <w:r w:rsidRPr="002137A2">
        <w:rPr>
          <w:rFonts w:hint="eastAsia"/>
        </w:rPr>
        <w:t>州</w:t>
      </w:r>
      <w:r w:rsidRPr="002137A2">
        <w:t>现行立法</w:t>
      </w:r>
      <w:r w:rsidRPr="002137A2">
        <w:rPr>
          <w:rFonts w:hint="eastAsia"/>
        </w:rPr>
        <w:t>不让</w:t>
      </w:r>
      <w:r w:rsidRPr="002137A2">
        <w:t>18</w:t>
      </w:r>
      <w:r w:rsidRPr="002137A2">
        <w:t>岁以下儿童</w:t>
      </w:r>
      <w:r w:rsidRPr="002137A2">
        <w:rPr>
          <w:rFonts w:hint="eastAsia"/>
        </w:rPr>
        <w:t>行使</w:t>
      </w:r>
      <w:r w:rsidRPr="002137A2">
        <w:t>就</w:t>
      </w:r>
      <w:r w:rsidRPr="002137A2">
        <w:rPr>
          <w:rFonts w:hint="eastAsia"/>
        </w:rPr>
        <w:t>与他们相关的事项</w:t>
      </w:r>
      <w:r w:rsidRPr="002137A2">
        <w:t>自由表达政治观点的权利。提交人</w:t>
      </w:r>
      <w:r w:rsidRPr="002137A2">
        <w:rPr>
          <w:rFonts w:hint="eastAsia"/>
        </w:rPr>
        <w:t>说</w:t>
      </w:r>
      <w:r w:rsidRPr="002137A2">
        <w:t>，地方选举影响到他，</w:t>
      </w:r>
      <w:r w:rsidRPr="002137A2">
        <w:t>16</w:t>
      </w:r>
      <w:r w:rsidRPr="002137A2">
        <w:t>岁</w:t>
      </w:r>
      <w:r w:rsidRPr="002137A2">
        <w:rPr>
          <w:rFonts w:hint="eastAsia"/>
        </w:rPr>
        <w:t>已经</w:t>
      </w:r>
      <w:r w:rsidRPr="002137A2">
        <w:t>足够成熟</w:t>
      </w:r>
      <w:r w:rsidRPr="002137A2">
        <w:rPr>
          <w:rFonts w:hint="eastAsia"/>
        </w:rPr>
        <w:t>，可以</w:t>
      </w:r>
      <w:r w:rsidRPr="002137A2">
        <w:t>投票，就像其他联邦州</w:t>
      </w:r>
      <w:r w:rsidRPr="002137A2">
        <w:t>16</w:t>
      </w:r>
      <w:r w:rsidRPr="002137A2">
        <w:t>岁的人</w:t>
      </w:r>
      <w:r w:rsidRPr="002137A2">
        <w:rPr>
          <w:rFonts w:hint="eastAsia"/>
        </w:rPr>
        <w:t>那</w:t>
      </w:r>
      <w:r w:rsidRPr="002137A2">
        <w:t>样。</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3.2</w:t>
      </w:r>
      <w:r w:rsidRPr="002137A2">
        <w:tab/>
      </w:r>
      <w:r w:rsidRPr="002137A2">
        <w:rPr>
          <w:rFonts w:hint="eastAsia"/>
        </w:rPr>
        <w:t>提交人还说，行政法院关于行使投票权需要有最低限度的判断力和政治成熟度的论点不再具有法律上的正当性，因为例如，缺乏某种程度的政治判断力不能作为不让残疾人行使投票权的理由。提交人特别提到《残疾人权利公约》第二十九条，该条确认缔约国有义务确保残疾人能够行使其政治权利，包括投票权和被选举权。</w:t>
      </w:r>
      <w:r w:rsidRPr="000E48C4">
        <w:rPr>
          <w:snapToGrid/>
          <w:color w:val="0000FF"/>
          <w:vertAlign w:val="superscript"/>
        </w:rPr>
        <w:footnoteReference w:id="9"/>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lastRenderedPageBreak/>
        <w:t>3.3</w:t>
      </w:r>
      <w:r w:rsidRPr="002137A2">
        <w:tab/>
      </w:r>
      <w:r w:rsidRPr="002137A2">
        <w:rPr>
          <w:rFonts w:hint="eastAsia"/>
        </w:rPr>
        <w:t>提交人进一步称，剥夺</w:t>
      </w:r>
      <w:r w:rsidRPr="002137A2">
        <w:t>18</w:t>
      </w:r>
      <w:r w:rsidRPr="002137A2">
        <w:rPr>
          <w:rFonts w:hint="eastAsia"/>
        </w:rPr>
        <w:t>岁以下的人的投票权</w:t>
      </w:r>
      <w:r w:rsidR="00DD7C0A">
        <w:rPr>
          <w:rFonts w:hint="eastAsia"/>
          <w:spacing w:val="-50"/>
        </w:rPr>
        <w:t>―</w:t>
      </w:r>
      <w:r w:rsidR="00DD7C0A">
        <w:rPr>
          <w:rFonts w:hint="eastAsia"/>
        </w:rPr>
        <w:t>―</w:t>
      </w:r>
      <w:r w:rsidRPr="002137A2">
        <w:rPr>
          <w:rFonts w:hint="eastAsia"/>
        </w:rPr>
        <w:t>这项权利是一项基本政治权利，也是民主制度的基础</w:t>
      </w:r>
      <w:r w:rsidR="00DD7C0A">
        <w:rPr>
          <w:rFonts w:hint="eastAsia"/>
          <w:spacing w:val="-50"/>
        </w:rPr>
        <w:t>―</w:t>
      </w:r>
      <w:r w:rsidR="00DD7C0A">
        <w:rPr>
          <w:rFonts w:hint="eastAsia"/>
        </w:rPr>
        <w:t>―</w:t>
      </w:r>
      <w:r w:rsidRPr="002137A2">
        <w:rPr>
          <w:rFonts w:hint="eastAsia"/>
        </w:rPr>
        <w:t>违反《公约》第</w:t>
      </w:r>
      <w:r w:rsidRPr="002137A2">
        <w:rPr>
          <w:rFonts w:hint="eastAsia"/>
        </w:rPr>
        <w:t>2</w:t>
      </w:r>
      <w:r w:rsidRPr="002137A2">
        <w:rPr>
          <w:rFonts w:hint="eastAsia"/>
        </w:rPr>
        <w:t>条规定的不歧视原则。</w:t>
      </w:r>
      <w:r w:rsidRPr="000E48C4">
        <w:rPr>
          <w:snapToGrid/>
          <w:color w:val="0000FF"/>
          <w:vertAlign w:val="superscript"/>
        </w:rPr>
        <w:footnoteReference w:id="10"/>
      </w:r>
      <w:r w:rsidR="00DD7C0A">
        <w:rPr>
          <w:rFonts w:hint="eastAsia"/>
        </w:rPr>
        <w:t xml:space="preserve"> </w:t>
      </w:r>
      <w:r w:rsidRPr="002137A2">
        <w:rPr>
          <w:rFonts w:hint="eastAsia"/>
        </w:rPr>
        <w:t>在这方面，提交人说，在事件发生时，德国许多联邦州和欧洲联盟许多成员国已决定将行使投票权的年龄降至</w:t>
      </w:r>
      <w:r w:rsidRPr="002137A2">
        <w:t>16</w:t>
      </w:r>
      <w:r w:rsidRPr="002137A2">
        <w:rPr>
          <w:rFonts w:hint="eastAsia"/>
        </w:rPr>
        <w:t>岁。因此，目前的情况意味着基于年龄、居住地和</w:t>
      </w:r>
      <w:r w:rsidRPr="002137A2">
        <w:t>/</w:t>
      </w:r>
      <w:r w:rsidRPr="002137A2">
        <w:rPr>
          <w:rFonts w:hint="eastAsia"/>
        </w:rPr>
        <w:t>或儿童国籍的任意歧视。</w:t>
      </w:r>
      <w:r w:rsidRPr="000E48C4">
        <w:rPr>
          <w:snapToGrid/>
          <w:color w:val="0000FF"/>
          <w:vertAlign w:val="superscript"/>
        </w:rPr>
        <w:footnoteReference w:id="11"/>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3.4</w:t>
      </w:r>
      <w:r w:rsidRPr="002137A2">
        <w:tab/>
      </w:r>
      <w:r w:rsidRPr="002137A2">
        <w:rPr>
          <w:rFonts w:hint="eastAsia"/>
        </w:rPr>
        <w:t>提交人认为，不让他行使投票权的做法与《公约》第</w:t>
      </w:r>
      <w:r w:rsidRPr="002137A2">
        <w:t>3</w:t>
      </w:r>
      <w:r w:rsidRPr="002137A2">
        <w:rPr>
          <w:rFonts w:hint="eastAsia"/>
        </w:rPr>
        <w:t>条第</w:t>
      </w:r>
      <w:r w:rsidRPr="002137A2">
        <w:t>1</w:t>
      </w:r>
      <w:r w:rsidRPr="002137A2">
        <w:rPr>
          <w:rFonts w:hint="eastAsia"/>
        </w:rPr>
        <w:t>款所载儿童最大利益原则相违背。不让</w:t>
      </w:r>
      <w:r w:rsidRPr="002137A2">
        <w:t>18</w:t>
      </w:r>
      <w:r w:rsidRPr="002137A2">
        <w:rPr>
          <w:rFonts w:hint="eastAsia"/>
        </w:rPr>
        <w:t>岁以下的人行使投票权构成一种立法限制，会妨碍儿童的最大利益。</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3.5</w:t>
      </w:r>
      <w:r w:rsidRPr="002137A2">
        <w:tab/>
      </w:r>
      <w:r w:rsidRPr="002137A2">
        <w:rPr>
          <w:rFonts w:hint="eastAsia"/>
        </w:rPr>
        <w:t>提交人得出结论认为，萨尔州应当立即采取立法行动，根据《公约》第</w:t>
      </w:r>
      <w:r w:rsidRPr="002137A2">
        <w:t>4</w:t>
      </w:r>
      <w:r w:rsidRPr="002137A2">
        <w:rPr>
          <w:rFonts w:hint="eastAsia"/>
        </w:rPr>
        <w:t>条，至少将选举权的年龄限制降至</w:t>
      </w:r>
      <w:r w:rsidRPr="002137A2">
        <w:t>16</w:t>
      </w:r>
      <w:r w:rsidRPr="002137A2">
        <w:rPr>
          <w:rFonts w:hint="eastAsia"/>
        </w:rPr>
        <w:t>岁。</w:t>
      </w:r>
    </w:p>
    <w:p w:rsidR="004C70C0" w:rsidRPr="002137A2" w:rsidRDefault="004C70C0" w:rsidP="00DD7C0A">
      <w:pPr>
        <w:pStyle w:val="SingleTxtGC"/>
        <w:tabs>
          <w:tab w:val="clear" w:pos="431"/>
          <w:tab w:val="clear" w:pos="1134"/>
          <w:tab w:val="clear" w:pos="1565"/>
          <w:tab w:val="clear" w:pos="1996"/>
          <w:tab w:val="clear" w:pos="2427"/>
          <w:tab w:val="left" w:pos="1701"/>
        </w:tabs>
      </w:pPr>
      <w:r w:rsidRPr="002137A2">
        <w:t>3.6</w:t>
      </w:r>
      <w:r w:rsidRPr="002137A2">
        <w:tab/>
      </w:r>
      <w:r w:rsidRPr="002137A2">
        <w:rPr>
          <w:rFonts w:hint="eastAsia"/>
        </w:rPr>
        <w:t>提交人说，由于萨尔州上级行政法院驳回了提交人的申诉，所有可用和有效的国内补救办法都已用尽。虽然提交人本可向萨尔州宪法法院提出申诉，但通过这一途径寻求补救从一开始就不会有任何希望，因为宪法法院坚持将未成年人明确排除在选举权之外，其裁决会以联邦宪法法院的永久判例法为基础，几十年来，联邦宪法法院一直为在不经任何讨论也不征求未成年人意见的情况下将未成年人排除在选举权之外的做法辩护。</w:t>
      </w:r>
      <w:r w:rsidRPr="000E48C4">
        <w:rPr>
          <w:snapToGrid/>
          <w:color w:val="0000FF"/>
          <w:vertAlign w:val="superscript"/>
        </w:rPr>
        <w:footnoteReference w:id="12"/>
      </w:r>
      <w:r w:rsidR="00A46021">
        <w:rPr>
          <w:rFonts w:hint="eastAsia"/>
        </w:rPr>
        <w:t xml:space="preserve"> </w:t>
      </w:r>
      <w:r w:rsidRPr="002137A2">
        <w:rPr>
          <w:rFonts w:hint="eastAsia"/>
        </w:rPr>
        <w:t>提交人于</w:t>
      </w:r>
      <w:r w:rsidRPr="002137A2">
        <w:t>2017</w:t>
      </w:r>
      <w:r w:rsidRPr="002137A2">
        <w:rPr>
          <w:rFonts w:hint="eastAsia"/>
        </w:rPr>
        <w:t>年</w:t>
      </w:r>
      <w:r w:rsidRPr="002137A2">
        <w:t>12</w:t>
      </w:r>
      <w:r w:rsidRPr="002137A2">
        <w:rPr>
          <w:rFonts w:hint="eastAsia"/>
        </w:rPr>
        <w:t>月</w:t>
      </w:r>
      <w:r w:rsidRPr="002137A2">
        <w:t>7</w:t>
      </w:r>
      <w:r w:rsidRPr="002137A2">
        <w:rPr>
          <w:rFonts w:hint="eastAsia"/>
        </w:rPr>
        <w:t>日被最后告知国内裁决，因此本来文在《任择议定书》关于来文程序的第</w:t>
      </w:r>
      <w:r w:rsidRPr="002137A2">
        <w:t>7</w:t>
      </w:r>
      <w:r w:rsidRPr="002137A2">
        <w:rPr>
          <w:rFonts w:hint="eastAsia"/>
        </w:rPr>
        <w:t>条</w:t>
      </w:r>
      <w:r w:rsidR="00D614FD" w:rsidRPr="002137A2">
        <w:t>(</w:t>
      </w:r>
      <w:r w:rsidRPr="002137A2">
        <w:t>h</w:t>
      </w:r>
      <w:r w:rsidR="00D614FD" w:rsidRPr="002137A2">
        <w:t>)</w:t>
      </w:r>
      <w:r w:rsidRPr="002137A2">
        <w:rPr>
          <w:rFonts w:hint="eastAsia"/>
        </w:rPr>
        <w:t>项规定的时限内提交。</w:t>
      </w:r>
    </w:p>
    <w:p w:rsidR="004C70C0" w:rsidRPr="002137A2" w:rsidRDefault="006C6346" w:rsidP="006C6346">
      <w:pPr>
        <w:pStyle w:val="H23GC"/>
      </w:pPr>
      <w:r>
        <w:tab/>
      </w:r>
      <w:r>
        <w:tab/>
      </w:r>
      <w:r w:rsidR="004C70C0" w:rsidRPr="002137A2">
        <w:rPr>
          <w:rFonts w:hint="eastAsia"/>
        </w:rPr>
        <w:t>缔约国关于可否受理的意见</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4.1</w:t>
      </w:r>
      <w:r w:rsidRPr="002137A2">
        <w:tab/>
      </w:r>
      <w:r w:rsidRPr="002137A2">
        <w:rPr>
          <w:rFonts w:hint="eastAsia"/>
        </w:rPr>
        <w:t>缔约国在</w:t>
      </w:r>
      <w:r w:rsidRPr="002137A2">
        <w:t>2019</w:t>
      </w:r>
      <w:r w:rsidRPr="002137A2">
        <w:rPr>
          <w:rFonts w:hint="eastAsia"/>
        </w:rPr>
        <w:t>年</w:t>
      </w:r>
      <w:r w:rsidRPr="002137A2">
        <w:t>1</w:t>
      </w:r>
      <w:r w:rsidRPr="002137A2">
        <w:rPr>
          <w:rFonts w:hint="eastAsia"/>
        </w:rPr>
        <w:t>月</w:t>
      </w:r>
      <w:r w:rsidRPr="002137A2">
        <w:t>15</w:t>
      </w:r>
      <w:r w:rsidRPr="002137A2">
        <w:rPr>
          <w:rFonts w:hint="eastAsia"/>
        </w:rPr>
        <w:t>日提交的意见中表示，来文不可受理，因为提交人没有按照《任择议定书》第</w:t>
      </w:r>
      <w:r w:rsidRPr="002137A2">
        <w:rPr>
          <w:rFonts w:hint="eastAsia"/>
        </w:rPr>
        <w:t>7</w:t>
      </w:r>
      <w:r w:rsidRPr="002137A2">
        <w:rPr>
          <w:rFonts w:hint="eastAsia"/>
        </w:rPr>
        <w:t>条</w:t>
      </w:r>
      <w:r w:rsidR="00D614FD" w:rsidRPr="002137A2">
        <w:t>(</w:t>
      </w:r>
      <w:r w:rsidRPr="002137A2">
        <w:t>e</w:t>
      </w:r>
      <w:r w:rsidR="00D614FD" w:rsidRPr="002137A2">
        <w:t>)</w:t>
      </w:r>
      <w:r w:rsidRPr="002137A2">
        <w:rPr>
          <w:rFonts w:hint="eastAsia"/>
        </w:rPr>
        <w:t>项的要求用尽国内补救办法。缔约国指出，提交人既没有向萨尔州宪法法院提出申诉，也没有向国内法院提出向委员会提出的这个问题。缔约国说，由于提交人直接向委员会提出申诉，国内宪法法院无法就《公约》对萨尔州地方选举法的适用所涉关系和后果发表意见。</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4.2</w:t>
      </w:r>
      <w:r w:rsidRPr="002137A2">
        <w:tab/>
      </w:r>
      <w:r w:rsidRPr="002137A2">
        <w:rPr>
          <w:rFonts w:hint="eastAsia"/>
        </w:rPr>
        <w:t>缔约国还指出，根据《任择议定书》第</w:t>
      </w:r>
      <w:r w:rsidRPr="002137A2">
        <w:t>7</w:t>
      </w:r>
      <w:r w:rsidRPr="002137A2">
        <w:rPr>
          <w:rFonts w:hint="eastAsia"/>
        </w:rPr>
        <w:t>条</w:t>
      </w:r>
      <w:r w:rsidR="00D614FD" w:rsidRPr="002137A2">
        <w:t>(</w:t>
      </w:r>
      <w:r w:rsidRPr="002137A2">
        <w:t>d</w:t>
      </w:r>
      <w:r w:rsidR="00D614FD" w:rsidRPr="002137A2">
        <w:t>)</w:t>
      </w:r>
      <w:r w:rsidRPr="002137A2">
        <w:rPr>
          <w:rFonts w:hint="eastAsia"/>
        </w:rPr>
        <w:t>项，如果同一事项已经得到委员会审查，或者已经或正在由任何其他国际调查或解决程序审查，来文应被视为不可受理。在这方面，缔约国认为，提交人没有提供资料说明他是否已将此案提交其他国际机构。</w:t>
      </w:r>
    </w:p>
    <w:p w:rsidR="004C70C0" w:rsidRPr="002137A2" w:rsidRDefault="006C6346" w:rsidP="006C6346">
      <w:pPr>
        <w:pStyle w:val="H23GC"/>
      </w:pPr>
      <w:r>
        <w:tab/>
      </w:r>
      <w:r>
        <w:tab/>
      </w:r>
      <w:r w:rsidR="004C70C0" w:rsidRPr="002137A2">
        <w:rPr>
          <w:rFonts w:hint="eastAsia"/>
        </w:rPr>
        <w:t>提交人对缔约国意见的评论</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5.1</w:t>
      </w:r>
      <w:r w:rsidRPr="002137A2">
        <w:tab/>
      </w:r>
      <w:r w:rsidRPr="002137A2">
        <w:rPr>
          <w:rFonts w:hint="eastAsia"/>
        </w:rPr>
        <w:t>提交人在</w:t>
      </w:r>
      <w:r w:rsidRPr="002137A2">
        <w:t>2019</w:t>
      </w:r>
      <w:r w:rsidRPr="002137A2">
        <w:rPr>
          <w:rFonts w:hint="eastAsia"/>
        </w:rPr>
        <w:t>年</w:t>
      </w:r>
      <w:r w:rsidRPr="002137A2">
        <w:t>4</w:t>
      </w:r>
      <w:r w:rsidRPr="002137A2">
        <w:rPr>
          <w:rFonts w:hint="eastAsia"/>
        </w:rPr>
        <w:t>月</w:t>
      </w:r>
      <w:r w:rsidRPr="002137A2">
        <w:t>15</w:t>
      </w:r>
      <w:r w:rsidRPr="002137A2">
        <w:rPr>
          <w:rFonts w:hint="eastAsia"/>
        </w:rPr>
        <w:t>日提交的关于根据《任择议定书》第七条</w:t>
      </w:r>
      <w:r w:rsidR="00D614FD" w:rsidRPr="002137A2">
        <w:t>(</w:t>
      </w:r>
      <w:r w:rsidRPr="002137A2">
        <w:t>e</w:t>
      </w:r>
      <w:r w:rsidR="00D614FD" w:rsidRPr="002137A2">
        <w:t>)</w:t>
      </w:r>
      <w:r w:rsidRPr="002137A2">
        <w:rPr>
          <w:rFonts w:hint="eastAsia"/>
        </w:rPr>
        <w:t>项用尽国内补救办法的评论中指出，在德国法律中，国内法律程序仅涉及民事、刑事和行政法院，而不涉及宪法法院。</w:t>
      </w:r>
      <w:r w:rsidRPr="000E48C4">
        <w:rPr>
          <w:snapToGrid/>
          <w:color w:val="0000FF"/>
          <w:vertAlign w:val="superscript"/>
        </w:rPr>
        <w:footnoteReference w:id="13"/>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lastRenderedPageBreak/>
        <w:t>5.2</w:t>
      </w:r>
      <w:r w:rsidRPr="002137A2">
        <w:tab/>
      </w:r>
      <w:r w:rsidRPr="006C6346">
        <w:rPr>
          <w:rFonts w:hint="eastAsia"/>
          <w:spacing w:val="4"/>
        </w:rPr>
        <w:t>提交人说，即使向宪法法院提出申诉是根据《任择议定书》</w:t>
      </w:r>
      <w:r w:rsidRPr="002137A2">
        <w:rPr>
          <w:rFonts w:hint="eastAsia"/>
        </w:rPr>
        <w:t>第七条</w:t>
      </w:r>
      <w:r w:rsidR="00D614FD" w:rsidRPr="002137A2">
        <w:t>(</w:t>
      </w:r>
      <w:r w:rsidRPr="002137A2">
        <w:t>e</w:t>
      </w:r>
      <w:r w:rsidR="00D614FD" w:rsidRPr="002137A2">
        <w:t>)</w:t>
      </w:r>
      <w:r w:rsidRPr="002137A2">
        <w:rPr>
          <w:rFonts w:hint="eastAsia"/>
        </w:rPr>
        <w:t>款</w:t>
      </w:r>
      <w:r w:rsidRPr="006C6346">
        <w:rPr>
          <w:rFonts w:hint="eastAsia"/>
          <w:spacing w:val="4"/>
        </w:rPr>
        <w:t>用尽国内补救办法的先决条件，这种申诉在提交人的情形中也不可能成功。提交人指出，《萨尔州宪法》第</w:t>
      </w:r>
      <w:r w:rsidRPr="006C6346">
        <w:rPr>
          <w:spacing w:val="4"/>
        </w:rPr>
        <w:t>64</w:t>
      </w:r>
      <w:r w:rsidRPr="006C6346">
        <w:rPr>
          <w:rFonts w:hint="eastAsia"/>
          <w:spacing w:val="4"/>
        </w:rPr>
        <w:t>条规定</w:t>
      </w:r>
      <w:r w:rsidRPr="002137A2">
        <w:rPr>
          <w:rFonts w:hint="eastAsia"/>
        </w:rPr>
        <w:t>，所有</w:t>
      </w:r>
      <w:r w:rsidRPr="002137A2">
        <w:t>18</w:t>
      </w:r>
      <w:r w:rsidRPr="002137A2">
        <w:rPr>
          <w:rFonts w:hint="eastAsia"/>
        </w:rPr>
        <w:t>岁以上的德国人都有权投票，</w:t>
      </w:r>
      <w:r w:rsidRPr="000E48C4">
        <w:rPr>
          <w:snapToGrid/>
          <w:color w:val="0000FF"/>
          <w:vertAlign w:val="superscript"/>
        </w:rPr>
        <w:footnoteReference w:id="14"/>
      </w:r>
      <w:r w:rsidR="006C6346">
        <w:rPr>
          <w:rFonts w:hint="eastAsia"/>
        </w:rPr>
        <w:t xml:space="preserve"> </w:t>
      </w:r>
      <w:r w:rsidRPr="002137A2">
        <w:rPr>
          <w:rFonts w:hint="eastAsia"/>
        </w:rPr>
        <w:t>并指出，萨尔州宪法法院的解释将会与该条款相一致。他还说，法院将依据《德国基本法》和联邦宪法法院的判例法，而这两者都不会维护未成年人的投票权。</w:t>
      </w:r>
      <w:r w:rsidRPr="000E48C4">
        <w:rPr>
          <w:snapToGrid/>
          <w:color w:val="0000FF"/>
          <w:vertAlign w:val="superscript"/>
        </w:rPr>
        <w:footnoteReference w:id="15"/>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5.3</w:t>
      </w:r>
      <w:r w:rsidRPr="002137A2">
        <w:tab/>
      </w:r>
      <w:r w:rsidRPr="002137A2">
        <w:rPr>
          <w:rFonts w:hint="eastAsia"/>
        </w:rPr>
        <w:t>提交人指出，本来文只是提交给了委员会，没有提交给任何其他国际机构。</w:t>
      </w:r>
    </w:p>
    <w:p w:rsidR="004C70C0" w:rsidRPr="002137A2" w:rsidRDefault="004C70C0" w:rsidP="006C6346">
      <w:pPr>
        <w:pStyle w:val="H23GC"/>
      </w:pPr>
      <w:r w:rsidRPr="002137A2">
        <w:tab/>
      </w:r>
      <w:r w:rsidRPr="002137A2">
        <w:tab/>
      </w:r>
      <w:r w:rsidRPr="002137A2">
        <w:rPr>
          <w:rFonts w:hint="eastAsia"/>
        </w:rPr>
        <w:t>委员会需处理的问题和议事情况</w:t>
      </w:r>
    </w:p>
    <w:p w:rsidR="004C70C0" w:rsidRPr="002137A2" w:rsidRDefault="004C70C0" w:rsidP="006C6346">
      <w:pPr>
        <w:pStyle w:val="H4GC"/>
      </w:pPr>
      <w:r w:rsidRPr="002137A2">
        <w:tab/>
      </w:r>
      <w:r w:rsidRPr="002137A2">
        <w:tab/>
      </w:r>
      <w:r w:rsidRPr="002137A2">
        <w:rPr>
          <w:rFonts w:hint="eastAsia"/>
        </w:rPr>
        <w:t>审议可否受理问题</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6.1</w:t>
      </w:r>
      <w:r w:rsidRPr="002137A2">
        <w:tab/>
      </w:r>
      <w:r w:rsidRPr="002137A2">
        <w:rPr>
          <w:rFonts w:hint="eastAsia"/>
        </w:rPr>
        <w:t>在审议来文所载的任何请求之前，委员会必须根据其议事规则第</w:t>
      </w:r>
      <w:r w:rsidRPr="002137A2">
        <w:t>20</w:t>
      </w:r>
      <w:r w:rsidRPr="002137A2">
        <w:rPr>
          <w:rFonts w:hint="eastAsia"/>
        </w:rPr>
        <w:t>条，决定来文是否符合《任择议定书》规定的受理条件。</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6.2</w:t>
      </w:r>
      <w:r w:rsidRPr="002137A2">
        <w:tab/>
      </w:r>
      <w:r w:rsidRPr="002137A2">
        <w:rPr>
          <w:rFonts w:hint="eastAsia"/>
        </w:rPr>
        <w:t>关于同一事项是否已经或正在由另一国际调查或解决程序审查，委员会注意到，缔约国在</w:t>
      </w:r>
      <w:r w:rsidRPr="002137A2">
        <w:t>2019</w:t>
      </w:r>
      <w:r w:rsidRPr="002137A2">
        <w:rPr>
          <w:rFonts w:hint="eastAsia"/>
        </w:rPr>
        <w:t>年</w:t>
      </w:r>
      <w:r w:rsidRPr="002137A2">
        <w:t>1</w:t>
      </w:r>
      <w:r w:rsidRPr="002137A2">
        <w:rPr>
          <w:rFonts w:hint="eastAsia"/>
        </w:rPr>
        <w:t>月</w:t>
      </w:r>
      <w:r w:rsidRPr="002137A2">
        <w:t>15</w:t>
      </w:r>
      <w:r w:rsidRPr="002137A2">
        <w:rPr>
          <w:rFonts w:hint="eastAsia"/>
        </w:rPr>
        <w:t>日的意见中称，不清楚提交人的案件是否已经或正在由另一程序审查，提交人在</w:t>
      </w:r>
      <w:r w:rsidRPr="002137A2">
        <w:t>2019</w:t>
      </w:r>
      <w:r w:rsidRPr="002137A2">
        <w:rPr>
          <w:rFonts w:hint="eastAsia"/>
        </w:rPr>
        <w:t>年</w:t>
      </w:r>
      <w:r w:rsidRPr="002137A2">
        <w:t>4</w:t>
      </w:r>
      <w:r w:rsidRPr="002137A2">
        <w:rPr>
          <w:rFonts w:hint="eastAsia"/>
        </w:rPr>
        <w:t>月</w:t>
      </w:r>
      <w:r w:rsidRPr="002137A2">
        <w:t>15</w:t>
      </w:r>
      <w:r w:rsidRPr="002137A2">
        <w:rPr>
          <w:rFonts w:hint="eastAsia"/>
        </w:rPr>
        <w:t>日的评论中表示，同一事项没有由另一国际调查或解决程序审查。</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6.3</w:t>
      </w:r>
      <w:r w:rsidRPr="002137A2">
        <w:tab/>
      </w:r>
      <w:r w:rsidRPr="002137A2">
        <w:rPr>
          <w:rFonts w:hint="eastAsia"/>
        </w:rPr>
        <w:t>因此，委员会认为，根据《任择议定书》第七条</w:t>
      </w:r>
      <w:r w:rsidR="00D614FD" w:rsidRPr="002137A2">
        <w:t>(</w:t>
      </w:r>
      <w:r w:rsidRPr="002137A2">
        <w:t>d</w:t>
      </w:r>
      <w:r w:rsidR="00D614FD" w:rsidRPr="002137A2">
        <w:t>)</w:t>
      </w:r>
      <w:r w:rsidRPr="002137A2">
        <w:rPr>
          <w:rFonts w:hint="eastAsia"/>
        </w:rPr>
        <w:t>项，本来文可予受理。</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6.4</w:t>
      </w:r>
      <w:r w:rsidRPr="002137A2">
        <w:tab/>
      </w:r>
      <w:r w:rsidRPr="002137A2">
        <w:rPr>
          <w:rFonts w:hint="eastAsia"/>
        </w:rPr>
        <w:t>委员会注意到，缔约国在</w:t>
      </w:r>
      <w:r w:rsidRPr="002137A2">
        <w:t>2019</w:t>
      </w:r>
      <w:r w:rsidRPr="002137A2">
        <w:rPr>
          <w:rFonts w:hint="eastAsia"/>
        </w:rPr>
        <w:t>年</w:t>
      </w:r>
      <w:r w:rsidRPr="002137A2">
        <w:t>1</w:t>
      </w:r>
      <w:r w:rsidRPr="002137A2">
        <w:rPr>
          <w:rFonts w:hint="eastAsia"/>
        </w:rPr>
        <w:t>月</w:t>
      </w:r>
      <w:r w:rsidRPr="002137A2">
        <w:t>15</w:t>
      </w:r>
      <w:r w:rsidRPr="002137A2">
        <w:rPr>
          <w:rFonts w:hint="eastAsia"/>
        </w:rPr>
        <w:t>日的意见中对来文的可受理性提出异议，理由是提交人没有通过向宪法法院提出上诉用尽国内补救办法。在这方面，委员会注意到，提交人在</w:t>
      </w:r>
      <w:r w:rsidRPr="002137A2">
        <w:t>2019</w:t>
      </w:r>
      <w:r w:rsidRPr="002137A2">
        <w:rPr>
          <w:rFonts w:hint="eastAsia"/>
        </w:rPr>
        <w:t>年</w:t>
      </w:r>
      <w:r w:rsidRPr="002137A2">
        <w:t>4</w:t>
      </w:r>
      <w:r w:rsidRPr="002137A2">
        <w:rPr>
          <w:rFonts w:hint="eastAsia"/>
        </w:rPr>
        <w:t>月</w:t>
      </w:r>
      <w:r w:rsidRPr="002137A2">
        <w:t>15</w:t>
      </w:r>
      <w:r w:rsidRPr="002137A2">
        <w:rPr>
          <w:rFonts w:hint="eastAsia"/>
        </w:rPr>
        <w:t>日提交的材料中表示，宪法法院不会提供有效补救办法，因为它会首先根据明确的宪法规定做出裁决，即只有</w:t>
      </w:r>
      <w:r w:rsidRPr="002137A2">
        <w:t>18</w:t>
      </w:r>
      <w:r w:rsidRPr="002137A2">
        <w:rPr>
          <w:rFonts w:hint="eastAsia"/>
        </w:rPr>
        <w:t>岁以上的人才有资格投票，然后驳回他的申请。</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6.5</w:t>
      </w:r>
      <w:r w:rsidRPr="002137A2">
        <w:tab/>
      </w:r>
      <w:r w:rsidRPr="002137A2">
        <w:rPr>
          <w:rFonts w:hint="eastAsia"/>
        </w:rPr>
        <w:t>委员会忆及，提交人必须利用一切可能有合理的补救前景的司法和</w:t>
      </w:r>
      <w:r w:rsidRPr="002137A2">
        <w:t>/</w:t>
      </w:r>
      <w:r w:rsidRPr="002137A2">
        <w:rPr>
          <w:rFonts w:hint="eastAsia"/>
        </w:rPr>
        <w:t>或行政途径。此外，委员会认为，如果国内补救办法客观上没有成功的前景，例如，如果依据适用的国内法，申诉将不可避免地被驳回，或者如果从最高国内法庭的既定判例来看不可能有肯定的结果，就无需用尽。</w:t>
      </w:r>
      <w:r w:rsidRPr="000E48C4">
        <w:rPr>
          <w:snapToGrid/>
          <w:color w:val="0000FF"/>
          <w:vertAlign w:val="superscript"/>
        </w:rPr>
        <w:footnoteReference w:id="16"/>
      </w:r>
      <w:r w:rsidR="00A46021">
        <w:rPr>
          <w:rFonts w:hint="eastAsia"/>
        </w:rPr>
        <w:t xml:space="preserve"> </w:t>
      </w:r>
      <w:r w:rsidRPr="002137A2">
        <w:rPr>
          <w:rFonts w:hint="eastAsia"/>
        </w:rPr>
        <w:t>然而，委员会注意到，仅仅对补救办法的成功或有效性持有疑虑或作出假设，并不能免除提交人用尽补救办法的责任。</w:t>
      </w:r>
      <w:r w:rsidRPr="000E48C4">
        <w:rPr>
          <w:snapToGrid/>
          <w:color w:val="0000FF"/>
          <w:vertAlign w:val="superscript"/>
        </w:rPr>
        <w:footnoteReference w:id="17"/>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6.6</w:t>
      </w:r>
      <w:r w:rsidRPr="002137A2">
        <w:tab/>
      </w:r>
      <w:r w:rsidRPr="002137A2">
        <w:rPr>
          <w:rFonts w:hint="eastAsia"/>
        </w:rPr>
        <w:t>在本案中，委员会认为，为了向国家一级提出申诉，提交人提交宪法申诉是合乎逻辑的，这是提交人在有关事件发生时可以利用的一种途径。委员会注意到提交人说寻求宪法补救没有成功的前景，但也注意到，提交人没有通过萨尔州</w:t>
      </w:r>
      <w:r w:rsidRPr="002137A2">
        <w:rPr>
          <w:rFonts w:hint="eastAsia"/>
        </w:rPr>
        <w:lastRenderedPageBreak/>
        <w:t>宪法法院或联邦宪法法院的先前判例证实他的指称。委员会认为，不应仅仅因为目前的宪法条文和一些普通先例就认为宪法动议必然会失败。委员会还认为，萨尔州宪法法院本应有机会根据提交人的说法和他援引的《公约》条款解释《萨尔州宪法》。提交人除了对成功的前景表示怀疑之外，没有进一步说明他为什么没有试图寻求宪法补救办法，因此委员会认为，提交人没有用尽他可以合理利用的所有国内补救办法来对据称他在《公约》第</w:t>
      </w:r>
      <w:r w:rsidRPr="002137A2">
        <w:rPr>
          <w:rFonts w:hint="eastAsia"/>
        </w:rPr>
        <w:t>2</w:t>
      </w:r>
      <w:r w:rsidRPr="002137A2">
        <w:rPr>
          <w:rFonts w:hint="eastAsia"/>
        </w:rPr>
        <w:t>条第</w:t>
      </w:r>
      <w:r w:rsidR="00D614FD" w:rsidRPr="002137A2">
        <w:rPr>
          <w:rFonts w:hint="eastAsia"/>
        </w:rPr>
        <w:t>(</w:t>
      </w:r>
      <w:r w:rsidRPr="002137A2">
        <w:rPr>
          <w:rFonts w:hint="eastAsia"/>
        </w:rPr>
        <w:t>1</w:t>
      </w:r>
      <w:r w:rsidR="00D614FD" w:rsidRPr="002137A2">
        <w:rPr>
          <w:rFonts w:hint="eastAsia"/>
        </w:rPr>
        <w:t>)</w:t>
      </w:r>
      <w:r w:rsidRPr="002137A2">
        <w:rPr>
          <w:rFonts w:hint="eastAsia"/>
        </w:rPr>
        <w:t>款、第</w:t>
      </w:r>
      <w:r w:rsidRPr="002137A2">
        <w:rPr>
          <w:rFonts w:hint="eastAsia"/>
        </w:rPr>
        <w:t>3</w:t>
      </w:r>
      <w:r w:rsidRPr="002137A2">
        <w:rPr>
          <w:rFonts w:hint="eastAsia"/>
        </w:rPr>
        <w:t>条第</w:t>
      </w:r>
      <w:r w:rsidR="00D614FD" w:rsidRPr="002137A2">
        <w:rPr>
          <w:rFonts w:hint="eastAsia"/>
        </w:rPr>
        <w:t>(</w:t>
      </w:r>
      <w:r w:rsidRPr="002137A2">
        <w:rPr>
          <w:rFonts w:hint="eastAsia"/>
        </w:rPr>
        <w:t>1</w:t>
      </w:r>
      <w:r w:rsidR="00D614FD" w:rsidRPr="002137A2">
        <w:rPr>
          <w:rFonts w:hint="eastAsia"/>
        </w:rPr>
        <w:t>)</w:t>
      </w:r>
      <w:r w:rsidRPr="002137A2">
        <w:rPr>
          <w:rFonts w:hint="eastAsia"/>
        </w:rPr>
        <w:t>款、第</w:t>
      </w:r>
      <w:r w:rsidRPr="002137A2">
        <w:rPr>
          <w:rFonts w:hint="eastAsia"/>
        </w:rPr>
        <w:t>4</w:t>
      </w:r>
      <w:r w:rsidRPr="002137A2">
        <w:rPr>
          <w:rFonts w:hint="eastAsia"/>
        </w:rPr>
        <w:t>条和第</w:t>
      </w:r>
      <w:r w:rsidRPr="002137A2">
        <w:rPr>
          <w:rFonts w:hint="eastAsia"/>
        </w:rPr>
        <w:t>12</w:t>
      </w:r>
      <w:r w:rsidRPr="002137A2">
        <w:rPr>
          <w:rFonts w:hint="eastAsia"/>
        </w:rPr>
        <w:t>条第</w:t>
      </w:r>
      <w:r w:rsidR="00D614FD" w:rsidRPr="002137A2">
        <w:rPr>
          <w:rFonts w:hint="eastAsia"/>
        </w:rPr>
        <w:t>(</w:t>
      </w:r>
      <w:r w:rsidRPr="002137A2">
        <w:rPr>
          <w:rFonts w:hint="eastAsia"/>
        </w:rPr>
        <w:t>1</w:t>
      </w:r>
      <w:r w:rsidR="00D614FD" w:rsidRPr="002137A2">
        <w:rPr>
          <w:rFonts w:hint="eastAsia"/>
        </w:rPr>
        <w:t>)</w:t>
      </w:r>
      <w:r w:rsidRPr="002137A2">
        <w:rPr>
          <w:rFonts w:hint="eastAsia"/>
        </w:rPr>
        <w:t>款之下的权利遭到侵犯提出异议。</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6.7</w:t>
      </w:r>
      <w:r w:rsidRPr="002137A2">
        <w:tab/>
      </w:r>
      <w:r w:rsidRPr="002137A2">
        <w:rPr>
          <w:rFonts w:hint="eastAsia"/>
        </w:rPr>
        <w:t>因此，委员会宣布，根据《任择议定书》第</w:t>
      </w:r>
      <w:r w:rsidRPr="002137A2">
        <w:rPr>
          <w:rFonts w:hint="eastAsia"/>
        </w:rPr>
        <w:t>7</w:t>
      </w:r>
      <w:r w:rsidRPr="002137A2">
        <w:rPr>
          <w:rFonts w:hint="eastAsia"/>
        </w:rPr>
        <w:t>条</w:t>
      </w:r>
      <w:r w:rsidR="00D614FD" w:rsidRPr="002137A2">
        <w:t>(</w:t>
      </w:r>
      <w:r w:rsidRPr="002137A2">
        <w:t>e</w:t>
      </w:r>
      <w:r w:rsidR="00D614FD" w:rsidRPr="002137A2">
        <w:t>)</w:t>
      </w:r>
      <w:r w:rsidRPr="002137A2">
        <w:rPr>
          <w:rFonts w:hint="eastAsia"/>
        </w:rPr>
        <w:t>项，来文因没有用尽国内补救办法而不予受理。</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7.</w:t>
      </w:r>
      <w:r w:rsidRPr="002137A2">
        <w:tab/>
      </w:r>
      <w:r w:rsidRPr="002137A2">
        <w:rPr>
          <w:rFonts w:hint="eastAsia"/>
        </w:rPr>
        <w:t>儿童权利委员会决定：</w:t>
      </w:r>
    </w:p>
    <w:p w:rsidR="004C70C0" w:rsidRPr="002137A2" w:rsidRDefault="004C70C0" w:rsidP="00D614FD">
      <w:pPr>
        <w:pStyle w:val="SingleTxtGC"/>
        <w:tabs>
          <w:tab w:val="clear" w:pos="431"/>
          <w:tab w:val="clear" w:pos="1134"/>
          <w:tab w:val="clear" w:pos="1565"/>
          <w:tab w:val="clear" w:pos="1996"/>
          <w:tab w:val="clear" w:pos="2427"/>
          <w:tab w:val="left" w:pos="1701"/>
        </w:tabs>
      </w:pPr>
      <w:r w:rsidRPr="002137A2">
        <w:tab/>
      </w:r>
      <w:r w:rsidR="00D614FD" w:rsidRPr="002137A2">
        <w:t>(</w:t>
      </w:r>
      <w:r w:rsidRPr="002137A2">
        <w:t>a</w:t>
      </w:r>
      <w:r w:rsidR="00D614FD" w:rsidRPr="002137A2">
        <w:t>)</w:t>
      </w:r>
      <w:r w:rsidRPr="002137A2">
        <w:tab/>
      </w:r>
      <w:r w:rsidRPr="002137A2">
        <w:rPr>
          <w:rFonts w:hint="eastAsia"/>
        </w:rPr>
        <w:t>根据《任择议定书》第</w:t>
      </w:r>
      <w:r w:rsidRPr="002137A2">
        <w:rPr>
          <w:rFonts w:hint="eastAsia"/>
        </w:rPr>
        <w:t>7</w:t>
      </w:r>
      <w:r w:rsidRPr="002137A2">
        <w:rPr>
          <w:rFonts w:hint="eastAsia"/>
        </w:rPr>
        <w:t>条</w:t>
      </w:r>
      <w:r w:rsidR="00D614FD" w:rsidRPr="002137A2">
        <w:t>(</w:t>
      </w:r>
      <w:r w:rsidRPr="002137A2">
        <w:t>e</w:t>
      </w:r>
      <w:r w:rsidR="00D614FD" w:rsidRPr="002137A2">
        <w:t>)</w:t>
      </w:r>
      <w:r w:rsidRPr="002137A2">
        <w:rPr>
          <w:rFonts w:hint="eastAsia"/>
        </w:rPr>
        <w:t>项，来文不予受理；</w:t>
      </w:r>
    </w:p>
    <w:p w:rsidR="004C70C0" w:rsidRDefault="004C70C0" w:rsidP="00D614FD">
      <w:pPr>
        <w:pStyle w:val="SingleTxtGC"/>
        <w:tabs>
          <w:tab w:val="clear" w:pos="431"/>
          <w:tab w:val="clear" w:pos="1134"/>
          <w:tab w:val="clear" w:pos="1565"/>
          <w:tab w:val="clear" w:pos="1996"/>
          <w:tab w:val="clear" w:pos="2427"/>
          <w:tab w:val="left" w:pos="1701"/>
        </w:tabs>
      </w:pPr>
      <w:r w:rsidRPr="002137A2">
        <w:tab/>
      </w:r>
      <w:r w:rsidR="00D614FD" w:rsidRPr="002137A2">
        <w:t>(</w:t>
      </w:r>
      <w:r w:rsidRPr="002137A2">
        <w:t>b</w:t>
      </w:r>
      <w:r w:rsidR="00D614FD" w:rsidRPr="002137A2">
        <w:t>)</w:t>
      </w:r>
      <w:r w:rsidRPr="002137A2">
        <w:tab/>
      </w:r>
      <w:r w:rsidRPr="002137A2">
        <w:rPr>
          <w:rFonts w:hint="eastAsia"/>
        </w:rPr>
        <w:t>将本决定转交来文提交人，并转交缔约国供参考。</w:t>
      </w:r>
      <w:r w:rsidRPr="009D4228">
        <w:t xml:space="preserve"> </w:t>
      </w:r>
    </w:p>
    <w:p w:rsidR="00AB236A" w:rsidRPr="009D4228" w:rsidRDefault="00AB236A" w:rsidP="00D614FD">
      <w:pPr>
        <w:pStyle w:val="SingleTxtGC"/>
        <w:tabs>
          <w:tab w:val="clear" w:pos="431"/>
          <w:tab w:val="clear" w:pos="1134"/>
          <w:tab w:val="clear" w:pos="1565"/>
          <w:tab w:val="clear" w:pos="1996"/>
          <w:tab w:val="clear" w:pos="2427"/>
          <w:tab w:val="left" w:pos="1701"/>
        </w:tabs>
      </w:pPr>
    </w:p>
    <w:p w:rsidR="00F03FC6" w:rsidRPr="002D6A9C" w:rsidRDefault="00F03FC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F03FC6" w:rsidRDefault="001D2C3F" w:rsidP="00F03FC6">
      <w:pPr>
        <w:pStyle w:val="SingleTxtGC"/>
        <w:tabs>
          <w:tab w:val="clear" w:pos="431"/>
          <w:tab w:val="clear" w:pos="1134"/>
          <w:tab w:val="clear" w:pos="1565"/>
          <w:tab w:val="clear" w:pos="1996"/>
          <w:tab w:val="clear" w:pos="2427"/>
          <w:tab w:val="left" w:pos="1701"/>
        </w:tabs>
      </w:pPr>
    </w:p>
    <w:sectPr w:rsidR="001D2C3F" w:rsidRPr="00F03FC6" w:rsidSect="00FD6B2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83" w:rsidRPr="000D319F" w:rsidRDefault="00175783" w:rsidP="000D319F">
      <w:pPr>
        <w:pStyle w:val="af0"/>
        <w:spacing w:after="240"/>
        <w:ind w:left="907"/>
        <w:rPr>
          <w:rFonts w:asciiTheme="majorBidi" w:eastAsia="宋体" w:hAnsiTheme="majorBidi" w:cstheme="majorBidi"/>
          <w:sz w:val="21"/>
          <w:szCs w:val="21"/>
          <w:lang w:val="en-US"/>
        </w:rPr>
      </w:pPr>
    </w:p>
    <w:p w:rsidR="00175783" w:rsidRPr="000D319F" w:rsidRDefault="0017578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75783" w:rsidRPr="000D319F" w:rsidRDefault="00175783" w:rsidP="000D319F">
      <w:pPr>
        <w:pStyle w:val="af0"/>
      </w:pPr>
    </w:p>
  </w:endnote>
  <w:endnote w:type="continuationNotice" w:id="1">
    <w:p w:rsidR="00175783" w:rsidRDefault="00175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C70C0" w:rsidRDefault="004C70C0" w:rsidP="004C70C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C70C0">
      <w:rPr>
        <w:rStyle w:val="af2"/>
        <w:b w:val="0"/>
        <w:snapToGrid w:val="0"/>
        <w:sz w:val="16"/>
      </w:rPr>
      <w:t>GE.20-03702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C70C0" w:rsidRDefault="004C70C0" w:rsidP="004C70C0">
    <w:pPr>
      <w:pStyle w:val="af0"/>
      <w:tabs>
        <w:tab w:val="clear" w:pos="431"/>
        <w:tab w:val="right" w:pos="9638"/>
      </w:tabs>
      <w:rPr>
        <w:rStyle w:val="af2"/>
      </w:rPr>
    </w:pPr>
    <w:r>
      <w:t>GE.20-03702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4C70C0"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GE.20-03702</w:t>
    </w:r>
    <w:r w:rsidR="00731A42" w:rsidRPr="00EE277A">
      <w:rPr>
        <w:sz w:val="20"/>
        <w:lang w:eastAsia="zh-CN"/>
      </w:rPr>
      <w:t xml:space="preserve"> (C</w:t>
    </w:r>
    <w:r w:rsidR="00D614FD">
      <w:rPr>
        <w:sz w:val="20"/>
        <w:lang w:eastAsia="zh-CN"/>
      </w:rPr>
      <w:t>)</w:t>
    </w:r>
    <w:r w:rsidR="00AB1CDF">
      <w:rPr>
        <w:sz w:val="20"/>
        <w:lang w:eastAsia="zh-CN"/>
      </w:rPr>
      <w:tab/>
    </w:r>
    <w:r w:rsidR="002137A2">
      <w:rPr>
        <w:sz w:val="20"/>
        <w:lang w:eastAsia="zh-CN"/>
      </w:rPr>
      <w:t>13</w:t>
    </w:r>
    <w:r w:rsidR="00AB1CDF">
      <w:rPr>
        <w:sz w:val="20"/>
        <w:lang w:eastAsia="zh-CN"/>
      </w:rPr>
      <w:t>0</w:t>
    </w:r>
    <w:r w:rsidR="002137A2">
      <w:rPr>
        <w:sz w:val="20"/>
        <w:lang w:eastAsia="zh-CN"/>
      </w:rPr>
      <w:t>3</w:t>
    </w:r>
    <w:r w:rsidR="00586C7B">
      <w:rPr>
        <w:sz w:val="20"/>
        <w:lang w:eastAsia="zh-CN"/>
      </w:rPr>
      <w:t>20</w:t>
    </w:r>
    <w:r w:rsidR="00731A42">
      <w:rPr>
        <w:sz w:val="20"/>
        <w:lang w:eastAsia="zh-CN"/>
      </w:rPr>
      <w:tab/>
    </w:r>
    <w:r w:rsidR="000E48C4">
      <w:rPr>
        <w:sz w:val="20"/>
        <w:lang w:eastAsia="zh-CN"/>
      </w:rPr>
      <w:t>15</w:t>
    </w:r>
    <w:r w:rsidR="00731A42">
      <w:rPr>
        <w:sz w:val="20"/>
        <w:lang w:eastAsia="zh-CN"/>
      </w:rPr>
      <w:t>0</w:t>
    </w:r>
    <w:r w:rsidR="002137A2">
      <w:rPr>
        <w:sz w:val="20"/>
        <w:lang w:eastAsia="zh-CN"/>
      </w:rPr>
      <w:t>4</w:t>
    </w:r>
    <w:r w:rsidR="00586C7B">
      <w:rPr>
        <w:sz w:val="20"/>
        <w:lang w:eastAsia="zh-CN"/>
      </w:rPr>
      <w:t>20</w:t>
    </w:r>
  </w:p>
  <w:p w:rsidR="00056632" w:rsidRPr="00487939" w:rsidRDefault="004C70C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3/D/60/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60/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83" w:rsidRPr="000157B1" w:rsidRDefault="001757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75783" w:rsidRPr="000157B1" w:rsidRDefault="001757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75783" w:rsidRDefault="00175783"/>
  </w:footnote>
  <w:footnote w:id="2">
    <w:p w:rsidR="00774FDF" w:rsidRPr="00774FDF" w:rsidRDefault="00774FDF" w:rsidP="00774FDF">
      <w:pPr>
        <w:pStyle w:val="a6"/>
      </w:pPr>
      <w:r>
        <w:tab/>
      </w:r>
      <w:r w:rsidRPr="00774FDF">
        <w:rPr>
          <w:rStyle w:val="a8"/>
          <w:rFonts w:eastAsia="宋体"/>
          <w:vertAlign w:val="baseline"/>
        </w:rPr>
        <w:t>*</w:t>
      </w:r>
      <w:r w:rsidRPr="00161A46">
        <w:tab/>
      </w:r>
      <w:r w:rsidRPr="00161A46">
        <w:rPr>
          <w:rFonts w:hint="eastAsia"/>
        </w:rPr>
        <w:t>委员会第八十三届会议</w:t>
      </w:r>
      <w:r w:rsidR="00D614FD" w:rsidRPr="00161A46">
        <w:rPr>
          <w:rFonts w:hint="eastAsia"/>
        </w:rPr>
        <w:t>(</w:t>
      </w:r>
      <w:r w:rsidRPr="00161A46">
        <w:rPr>
          <w:rFonts w:hint="eastAsia"/>
        </w:rPr>
        <w:t>2020</w:t>
      </w:r>
      <w:r w:rsidRPr="00161A46">
        <w:rPr>
          <w:rFonts w:hint="eastAsia"/>
        </w:rPr>
        <w:t>年</w:t>
      </w:r>
      <w:r w:rsidRPr="00161A46">
        <w:rPr>
          <w:rFonts w:hint="eastAsia"/>
        </w:rPr>
        <w:t>1</w:t>
      </w:r>
      <w:r w:rsidRPr="00161A46">
        <w:rPr>
          <w:rFonts w:hint="eastAsia"/>
        </w:rPr>
        <w:t>月</w:t>
      </w:r>
      <w:r w:rsidRPr="00161A46">
        <w:rPr>
          <w:rFonts w:hint="eastAsia"/>
        </w:rPr>
        <w:t>20</w:t>
      </w:r>
      <w:r w:rsidRPr="00161A46">
        <w:rPr>
          <w:rFonts w:hint="eastAsia"/>
        </w:rPr>
        <w:t>日至</w:t>
      </w:r>
      <w:r w:rsidRPr="00161A46">
        <w:rPr>
          <w:rFonts w:hint="eastAsia"/>
        </w:rPr>
        <w:t>2</w:t>
      </w:r>
      <w:r w:rsidRPr="00161A46">
        <w:rPr>
          <w:rFonts w:hint="eastAsia"/>
        </w:rPr>
        <w:t>月</w:t>
      </w:r>
      <w:r w:rsidRPr="00161A46">
        <w:rPr>
          <w:rFonts w:hint="eastAsia"/>
        </w:rPr>
        <w:t>7</w:t>
      </w:r>
      <w:r w:rsidRPr="00161A46">
        <w:rPr>
          <w:rFonts w:hint="eastAsia"/>
        </w:rPr>
        <w:t>日</w:t>
      </w:r>
      <w:r w:rsidR="00D614FD" w:rsidRPr="00161A46">
        <w:rPr>
          <w:rFonts w:hint="eastAsia"/>
        </w:rPr>
        <w:t>)</w:t>
      </w:r>
      <w:r w:rsidRPr="00161A46">
        <w:rPr>
          <w:rFonts w:hint="eastAsia"/>
        </w:rPr>
        <w:t>通过</w:t>
      </w:r>
      <w:r>
        <w:rPr>
          <w:rFonts w:hint="eastAsia"/>
          <w:sz w:val="20"/>
        </w:rPr>
        <w:t>。</w:t>
      </w:r>
    </w:p>
  </w:footnote>
  <w:footnote w:id="3">
    <w:p w:rsidR="00774FDF" w:rsidRPr="00161A46" w:rsidRDefault="00774FDF" w:rsidP="0094737F">
      <w:pPr>
        <w:pStyle w:val="a6"/>
        <w:spacing w:after="0"/>
      </w:pPr>
      <w:r>
        <w:tab/>
      </w:r>
      <w:r w:rsidRPr="00774FDF">
        <w:rPr>
          <w:rStyle w:val="a8"/>
          <w:rFonts w:eastAsia="宋体"/>
          <w:vertAlign w:val="baseline"/>
        </w:rPr>
        <w:t>**</w:t>
      </w:r>
      <w:r w:rsidRPr="00774FDF">
        <w:rPr>
          <w:rStyle w:val="a8"/>
          <w:rFonts w:eastAsia="宋体"/>
          <w:vertAlign w:val="baseline"/>
        </w:rPr>
        <w:tab/>
      </w:r>
      <w:r w:rsidRPr="00161A46">
        <w:rPr>
          <w:rFonts w:hint="eastAsia"/>
        </w:rPr>
        <w:t>参加本来文的委员会委员有：苏珊娜·阿霍·阿苏马、艾萨图·阿拉萨内·西迪库、阿马尔·沙尔曼·阿尔多塞里、辛德·阿尤毕·伊德里斯、布拉基·古德布兰松、菲利普·雅费、奥尔加·哈佐、西法斯·</w:t>
      </w:r>
      <w:bookmarkStart w:id="0" w:name="_GoBack"/>
      <w:bookmarkEnd w:id="0"/>
      <w:r w:rsidRPr="00161A46">
        <w:rPr>
          <w:rFonts w:hint="eastAsia"/>
        </w:rPr>
        <w:t>卢米纳、杰哈德·马迪、费斯·马歇尔－哈里斯、本雅姆·达维特·梅兹姆尔、克拉伦斯·纳尔逊、大谷美纪子、</w:t>
      </w:r>
      <w:r w:rsidR="00161A46" w:rsidRPr="00161A46">
        <w:rPr>
          <w:rFonts w:hint="eastAsia"/>
        </w:rPr>
        <w:t>审查</w:t>
      </w:r>
      <w:r w:rsidRPr="00161A46">
        <w:rPr>
          <w:rFonts w:hint="eastAsia"/>
        </w:rPr>
        <w:t>路易·埃内斯托·佩德内拉·雷纳、何塞·安杰尔·罗德里格斯·雷耶斯、安·玛丽·斯凯尔顿、韦利娜·托多罗娃、雷娜特·雯特尔。</w:t>
      </w:r>
    </w:p>
  </w:footnote>
  <w:footnote w:id="4">
    <w:p w:rsidR="004C70C0" w:rsidRPr="004548B5" w:rsidRDefault="0004357D"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提交人说，事件发生时他不是德国国民。</w:t>
      </w:r>
    </w:p>
  </w:footnote>
  <w:footnote w:id="5">
    <w:p w:rsidR="004C70C0" w:rsidRPr="0004357D" w:rsidRDefault="0004357D" w:rsidP="0004357D">
      <w:pPr>
        <w:pStyle w:val="a6"/>
        <w:ind w:hanging="703"/>
        <w:rPr>
          <w:rStyle w:val="SingleTxtGCChar"/>
          <w:sz w:val="18"/>
          <w:szCs w:val="18"/>
        </w:rPr>
      </w:pPr>
      <w:r>
        <w:rPr>
          <w:rStyle w:val="SingleTxtGCChar"/>
          <w:sz w:val="18"/>
          <w:szCs w:val="18"/>
        </w:rPr>
        <w:tab/>
      </w:r>
      <w:r w:rsidR="004C70C0" w:rsidRPr="000E48C4">
        <w:rPr>
          <w:rStyle w:val="SingleTxtGCChar"/>
          <w:color w:val="0000FF"/>
          <w:sz w:val="18"/>
          <w:szCs w:val="18"/>
          <w:vertAlign w:val="superscript"/>
        </w:rPr>
        <w:footnoteRef/>
      </w:r>
      <w:r w:rsidR="00DD7C0A" w:rsidRPr="000E48C4">
        <w:rPr>
          <w:rStyle w:val="SingleTxtGCChar"/>
          <w:color w:val="0000FF"/>
          <w:sz w:val="20"/>
          <w:szCs w:val="20"/>
          <w:vertAlign w:val="superscript"/>
        </w:rPr>
        <w:tab/>
      </w:r>
      <w:r w:rsidR="004C70C0" w:rsidRPr="0004357D">
        <w:rPr>
          <w:rStyle w:val="SingleTxtGCChar"/>
          <w:rFonts w:hint="eastAsia"/>
          <w:sz w:val="18"/>
          <w:szCs w:val="18"/>
        </w:rPr>
        <w:t>萨尔州地方选举法规定，所有德国公民和在该市居住三个月以上且至少年满</w:t>
      </w:r>
      <w:r w:rsidR="004C70C0" w:rsidRPr="0004357D">
        <w:rPr>
          <w:rStyle w:val="SingleTxtGCChar"/>
          <w:sz w:val="18"/>
          <w:szCs w:val="18"/>
        </w:rPr>
        <w:t>18</w:t>
      </w:r>
      <w:r w:rsidR="004C70C0" w:rsidRPr="0004357D">
        <w:rPr>
          <w:rStyle w:val="SingleTxtGCChar"/>
          <w:rFonts w:hint="eastAsia"/>
          <w:sz w:val="18"/>
          <w:szCs w:val="18"/>
        </w:rPr>
        <w:t>岁的欧洲联盟其他成员国的所有公民都有资格投票</w:t>
      </w:r>
      <w:r w:rsidR="00D614FD" w:rsidRPr="0004357D">
        <w:rPr>
          <w:rStyle w:val="SingleTxtGCChar"/>
          <w:sz w:val="18"/>
          <w:szCs w:val="18"/>
        </w:rPr>
        <w:t>(</w:t>
      </w:r>
      <w:r w:rsidR="004C70C0" w:rsidRPr="0004357D">
        <w:rPr>
          <w:rStyle w:val="SingleTxtGCChar"/>
          <w:rFonts w:hint="eastAsia"/>
          <w:sz w:val="18"/>
          <w:szCs w:val="18"/>
        </w:rPr>
        <w:t>第</w:t>
      </w:r>
      <w:r w:rsidR="004C70C0" w:rsidRPr="0004357D">
        <w:rPr>
          <w:rStyle w:val="SingleTxtGCChar"/>
          <w:sz w:val="18"/>
          <w:szCs w:val="18"/>
        </w:rPr>
        <w:t>1</w:t>
      </w:r>
      <w:r w:rsidR="004C70C0" w:rsidRPr="0004357D">
        <w:rPr>
          <w:rStyle w:val="SingleTxtGCChar"/>
          <w:rFonts w:hint="eastAsia"/>
          <w:sz w:val="18"/>
          <w:szCs w:val="18"/>
        </w:rPr>
        <w:t>3</w:t>
      </w:r>
      <w:r w:rsidR="004C70C0" w:rsidRPr="0004357D">
        <w:rPr>
          <w:rStyle w:val="SingleTxtGCChar"/>
          <w:rFonts w:hint="eastAsia"/>
          <w:sz w:val="18"/>
          <w:szCs w:val="18"/>
        </w:rPr>
        <w:t>条第</w:t>
      </w:r>
      <w:r w:rsidR="00D614FD" w:rsidRPr="0004357D">
        <w:rPr>
          <w:rStyle w:val="SingleTxtGCChar"/>
          <w:sz w:val="18"/>
          <w:szCs w:val="18"/>
        </w:rPr>
        <w:t>(</w:t>
      </w:r>
      <w:r w:rsidR="004C70C0" w:rsidRPr="0004357D">
        <w:rPr>
          <w:rStyle w:val="SingleTxtGCChar"/>
          <w:sz w:val="18"/>
          <w:szCs w:val="18"/>
        </w:rPr>
        <w:t>1</w:t>
      </w:r>
      <w:r w:rsidR="00D614FD" w:rsidRPr="0004357D">
        <w:rPr>
          <w:rStyle w:val="SingleTxtGCChar"/>
          <w:sz w:val="18"/>
          <w:szCs w:val="18"/>
        </w:rPr>
        <w:t>)</w:t>
      </w:r>
      <w:r w:rsidR="004C70C0" w:rsidRPr="0004357D">
        <w:rPr>
          <w:rStyle w:val="SingleTxtGCChar"/>
          <w:rFonts w:hint="eastAsia"/>
          <w:sz w:val="18"/>
          <w:szCs w:val="18"/>
        </w:rPr>
        <w:t>款</w:t>
      </w:r>
      <w:r w:rsidR="00D614FD" w:rsidRPr="0004357D">
        <w:rPr>
          <w:rStyle w:val="SingleTxtGCChar"/>
          <w:sz w:val="18"/>
          <w:szCs w:val="18"/>
        </w:rPr>
        <w:t>)</w:t>
      </w:r>
      <w:r w:rsidR="004C70C0" w:rsidRPr="0004357D">
        <w:rPr>
          <w:rStyle w:val="SingleTxtGCChar"/>
          <w:rFonts w:hint="eastAsia"/>
          <w:sz w:val="18"/>
          <w:szCs w:val="18"/>
        </w:rPr>
        <w:t>。</w:t>
      </w:r>
    </w:p>
  </w:footnote>
  <w:footnote w:id="6">
    <w:p w:rsidR="004C70C0" w:rsidRDefault="00DD7C0A" w:rsidP="004C70C0">
      <w:pPr>
        <w:pStyle w:val="a6"/>
      </w:pPr>
      <w:r>
        <w:tab/>
      </w:r>
      <w:r w:rsidR="004C70C0" w:rsidRPr="000E48C4">
        <w:rPr>
          <w:rStyle w:val="a8"/>
          <w:rFonts w:eastAsia="宋体"/>
        </w:rPr>
        <w:footnoteRef/>
      </w:r>
      <w:r>
        <w:tab/>
      </w:r>
      <w:r w:rsidR="004C70C0">
        <w:rPr>
          <w:rFonts w:hint="eastAsia"/>
        </w:rPr>
        <w:t>提交</w:t>
      </w:r>
      <w:r w:rsidR="004C70C0" w:rsidRPr="00DD7C0A">
        <w:rPr>
          <w:rFonts w:hint="eastAsia"/>
        </w:rPr>
        <w:t>人说，这项判决编号为</w:t>
      </w:r>
      <w:r w:rsidR="004C70C0" w:rsidRPr="00DD7C0A">
        <w:t>3 K 921/15</w:t>
      </w:r>
      <w:r w:rsidR="004C70C0" w:rsidRPr="00DD7C0A">
        <w:rPr>
          <w:rFonts w:hint="eastAsia"/>
        </w:rPr>
        <w:t>。</w:t>
      </w:r>
    </w:p>
  </w:footnote>
  <w:footnote w:id="7">
    <w:p w:rsidR="004C70C0" w:rsidRPr="004548B5" w:rsidRDefault="00DD7C0A"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0E48C4">
        <w:rPr>
          <w:rStyle w:val="SingleTxtGCChar"/>
          <w:color w:val="0000FF"/>
          <w:sz w:val="18"/>
          <w:szCs w:val="18"/>
          <w:vertAlign w:val="superscript"/>
        </w:rPr>
        <w:tab/>
      </w:r>
      <w:r w:rsidR="004C70C0" w:rsidRPr="004548B5">
        <w:rPr>
          <w:rStyle w:val="SingleTxtGCChar"/>
          <w:rFonts w:hint="eastAsia"/>
          <w:sz w:val="18"/>
          <w:szCs w:val="18"/>
        </w:rPr>
        <w:t>提交</w:t>
      </w:r>
      <w:r w:rsidR="004C70C0" w:rsidRPr="004548B5">
        <w:rPr>
          <w:rStyle w:val="SingleTxtGCChar"/>
          <w:sz w:val="18"/>
          <w:szCs w:val="18"/>
        </w:rPr>
        <w:t>人说，上诉依据《行政法院法》第</w:t>
      </w:r>
      <w:r w:rsidR="004C70C0" w:rsidRPr="004548B5">
        <w:rPr>
          <w:rStyle w:val="SingleTxtGCChar"/>
          <w:sz w:val="18"/>
          <w:szCs w:val="18"/>
        </w:rPr>
        <w:t>124</w:t>
      </w:r>
      <w:r w:rsidR="004C70C0" w:rsidRPr="004548B5">
        <w:rPr>
          <w:rStyle w:val="SingleTxtGCChar"/>
          <w:sz w:val="18"/>
          <w:szCs w:val="18"/>
        </w:rPr>
        <w:t>条第</w:t>
      </w:r>
      <w:r w:rsidR="00D614FD" w:rsidRPr="004548B5">
        <w:rPr>
          <w:rStyle w:val="SingleTxtGCChar"/>
          <w:sz w:val="18"/>
          <w:szCs w:val="18"/>
        </w:rPr>
        <w:t>(</w:t>
      </w:r>
      <w:r w:rsidR="004C70C0" w:rsidRPr="004548B5">
        <w:rPr>
          <w:rStyle w:val="SingleTxtGCChar"/>
          <w:sz w:val="18"/>
          <w:szCs w:val="18"/>
        </w:rPr>
        <w:t>2</w:t>
      </w:r>
      <w:r w:rsidR="00D614FD" w:rsidRPr="004548B5">
        <w:rPr>
          <w:rStyle w:val="SingleTxtGCChar"/>
          <w:sz w:val="18"/>
          <w:szCs w:val="18"/>
        </w:rPr>
        <w:t>)</w:t>
      </w:r>
      <w:r w:rsidR="004C70C0" w:rsidRPr="004548B5">
        <w:rPr>
          <w:rStyle w:val="SingleTxtGCChar"/>
          <w:sz w:val="18"/>
          <w:szCs w:val="18"/>
        </w:rPr>
        <w:t>款提出，该条规定，只有在对判决的正确性有重大怀疑，案件极为重要，以及称存在应由上诉法院依据事实和法律要点作出裁决的程序缺陷，而且此种缺陷成立、可作为裁决的依据的情况下，才能受理就事实和法律要点提出的上诉。</w:t>
      </w:r>
    </w:p>
  </w:footnote>
  <w:footnote w:id="8">
    <w:p w:rsidR="004C70C0" w:rsidRPr="004548B5" w:rsidRDefault="00DD7C0A"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提交人说，该判决编号为</w:t>
      </w:r>
      <w:r w:rsidR="004C70C0" w:rsidRPr="004548B5">
        <w:rPr>
          <w:rStyle w:val="SingleTxtGCChar"/>
          <w:sz w:val="18"/>
          <w:szCs w:val="18"/>
        </w:rPr>
        <w:t>2 A 433/16</w:t>
      </w:r>
      <w:r w:rsidR="004C70C0" w:rsidRPr="004548B5">
        <w:rPr>
          <w:rStyle w:val="SingleTxtGCChar"/>
          <w:rFonts w:hint="eastAsia"/>
          <w:sz w:val="18"/>
          <w:szCs w:val="18"/>
        </w:rPr>
        <w:t>。萨尔州上级行政法院驳回其申诉的理由尚未告知提交人。</w:t>
      </w:r>
    </w:p>
  </w:footnote>
  <w:footnote w:id="9">
    <w:p w:rsidR="004C70C0" w:rsidRPr="00DD7C0A" w:rsidRDefault="00DD7C0A" w:rsidP="004C70C0">
      <w:pPr>
        <w:pStyle w:val="a6"/>
        <w:rPr>
          <w:rFonts w:asciiTheme="minorEastAsia" w:eastAsiaTheme="minorEastAsia" w:hAnsiTheme="minorEastAsia" w:cs="微软雅黑"/>
          <w:sz w:val="20"/>
          <w:shd w:val="clear" w:color="auto" w:fill="FCFCFC"/>
        </w:rPr>
      </w:pPr>
      <w:r w:rsidRPr="004548B5">
        <w:rPr>
          <w:rStyle w:val="SingleTxtGCChar"/>
        </w:rPr>
        <w:tab/>
      </w:r>
      <w:r w:rsidR="004C70C0" w:rsidRPr="000E48C4">
        <w:rPr>
          <w:rStyle w:val="SingleTxtGCChar"/>
          <w:color w:val="0000FF"/>
          <w:sz w:val="18"/>
          <w:szCs w:val="18"/>
          <w:vertAlign w:val="superscript"/>
        </w:rPr>
        <w:footnoteRef/>
      </w:r>
      <w:r w:rsidRPr="004548B5">
        <w:rPr>
          <w:rFonts w:asciiTheme="minorEastAsia" w:eastAsiaTheme="minorEastAsia" w:hAnsiTheme="minorEastAsia" w:cs="微软雅黑"/>
          <w:sz w:val="20"/>
          <w:shd w:val="clear" w:color="auto" w:fill="FCFCFC"/>
        </w:rPr>
        <w:tab/>
      </w:r>
      <w:r w:rsidR="004C70C0" w:rsidRPr="004548B5">
        <w:rPr>
          <w:rFonts w:asciiTheme="majorBidi" w:eastAsiaTheme="minorEastAsia" w:hAnsiTheme="majorBidi" w:cstheme="majorBidi" w:hint="eastAsia"/>
          <w:shd w:val="clear" w:color="auto" w:fill="FCFCFC"/>
        </w:rPr>
        <w:t>缔约国于</w:t>
      </w:r>
      <w:r w:rsidR="004C70C0" w:rsidRPr="004548B5">
        <w:rPr>
          <w:rFonts w:asciiTheme="majorBidi" w:eastAsiaTheme="minorEastAsia" w:hAnsiTheme="majorBidi" w:cstheme="majorBidi"/>
          <w:shd w:val="clear" w:color="auto" w:fill="FCFCFC"/>
        </w:rPr>
        <w:t>2009</w:t>
      </w:r>
      <w:r w:rsidR="004C70C0" w:rsidRPr="004548B5">
        <w:rPr>
          <w:rFonts w:asciiTheme="majorBidi" w:eastAsiaTheme="minorEastAsia" w:hAnsiTheme="majorBidi" w:cstheme="majorBidi" w:hint="eastAsia"/>
          <w:shd w:val="clear" w:color="auto" w:fill="FCFCFC"/>
        </w:rPr>
        <w:t>年</w:t>
      </w:r>
      <w:r w:rsidR="004C70C0" w:rsidRPr="004548B5">
        <w:rPr>
          <w:rFonts w:asciiTheme="majorBidi" w:eastAsiaTheme="minorEastAsia" w:hAnsiTheme="majorBidi" w:cstheme="majorBidi"/>
          <w:shd w:val="clear" w:color="auto" w:fill="FCFCFC"/>
        </w:rPr>
        <w:t>2</w:t>
      </w:r>
      <w:r w:rsidR="004C70C0" w:rsidRPr="004548B5">
        <w:rPr>
          <w:rFonts w:asciiTheme="majorBidi" w:eastAsiaTheme="minorEastAsia" w:hAnsiTheme="majorBidi" w:cstheme="majorBidi" w:hint="eastAsia"/>
          <w:shd w:val="clear" w:color="auto" w:fill="FCFCFC"/>
        </w:rPr>
        <w:t>月</w:t>
      </w:r>
      <w:r w:rsidR="004C70C0" w:rsidRPr="004548B5">
        <w:rPr>
          <w:rFonts w:asciiTheme="majorBidi" w:eastAsiaTheme="minorEastAsia" w:hAnsiTheme="majorBidi" w:cstheme="majorBidi"/>
          <w:shd w:val="clear" w:color="auto" w:fill="FCFCFC"/>
        </w:rPr>
        <w:t>24</w:t>
      </w:r>
      <w:r w:rsidR="004C70C0" w:rsidRPr="004548B5">
        <w:rPr>
          <w:rFonts w:asciiTheme="majorBidi" w:eastAsiaTheme="minorEastAsia" w:hAnsiTheme="majorBidi" w:cstheme="majorBidi" w:hint="eastAsia"/>
          <w:shd w:val="clear" w:color="auto" w:fill="FCFCFC"/>
        </w:rPr>
        <w:t>日批准《残疾人权利公约》。提交人称，行政法院不承认欧洲法院的判例法，提交人建议将案件提交该法院，但该建议被驳回，理由是欧洲法院不是终审法院。</w:t>
      </w:r>
    </w:p>
  </w:footnote>
  <w:footnote w:id="10">
    <w:p w:rsidR="004C70C0" w:rsidRPr="004548B5" w:rsidRDefault="006C6346"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0E48C4">
        <w:rPr>
          <w:rStyle w:val="SingleTxtGCChar"/>
          <w:color w:val="0000FF"/>
          <w:sz w:val="18"/>
          <w:szCs w:val="18"/>
          <w:vertAlign w:val="superscript"/>
        </w:rPr>
        <w:tab/>
      </w:r>
      <w:r w:rsidR="004C70C0" w:rsidRPr="004548B5">
        <w:rPr>
          <w:rStyle w:val="SingleTxtGCChar"/>
          <w:rFonts w:hint="eastAsia"/>
          <w:sz w:val="18"/>
          <w:szCs w:val="18"/>
        </w:rPr>
        <w:t>提交人坚持认为，剥夺投票权是对人的尊严的侵犯，会使无投票资格的儿童的政治和经济利益从属于有权投票的公民的利益。</w:t>
      </w:r>
      <w:r w:rsidR="004C70C0" w:rsidRPr="004548B5">
        <w:rPr>
          <w:rStyle w:val="SingleTxtGCChar"/>
          <w:sz w:val="18"/>
          <w:szCs w:val="18"/>
        </w:rPr>
        <w:t>.</w:t>
      </w:r>
    </w:p>
  </w:footnote>
  <w:footnote w:id="11">
    <w:p w:rsidR="004C70C0" w:rsidRPr="004548B5" w:rsidRDefault="006C6346" w:rsidP="006C6346">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提交人称，这种情况也是与《欧洲联盟基本权利宪章》第</w:t>
      </w:r>
      <w:r w:rsidR="004C70C0" w:rsidRPr="004548B5">
        <w:rPr>
          <w:rStyle w:val="SingleTxtGCChar"/>
          <w:sz w:val="18"/>
          <w:szCs w:val="18"/>
        </w:rPr>
        <w:t>21</w:t>
      </w:r>
      <w:r w:rsidR="004C70C0" w:rsidRPr="004548B5">
        <w:rPr>
          <w:rStyle w:val="SingleTxtGCChar"/>
          <w:rFonts w:hint="eastAsia"/>
          <w:sz w:val="18"/>
          <w:szCs w:val="18"/>
        </w:rPr>
        <w:t>条、</w:t>
      </w:r>
      <w:r w:rsidR="004C70C0" w:rsidRPr="004548B5">
        <w:rPr>
          <w:rStyle w:val="SingleTxtGCChar"/>
          <w:sz w:val="18"/>
          <w:szCs w:val="18"/>
        </w:rPr>
        <w:t>24</w:t>
      </w:r>
      <w:r w:rsidR="004C70C0" w:rsidRPr="004548B5">
        <w:rPr>
          <w:rStyle w:val="SingleTxtGCChar"/>
          <w:rFonts w:hint="eastAsia"/>
          <w:sz w:val="18"/>
          <w:szCs w:val="18"/>
        </w:rPr>
        <w:t>条第</w:t>
      </w:r>
      <w:r w:rsidR="00D614FD" w:rsidRPr="004548B5">
        <w:rPr>
          <w:rStyle w:val="SingleTxtGCChar"/>
          <w:sz w:val="18"/>
          <w:szCs w:val="18"/>
        </w:rPr>
        <w:t>(</w:t>
      </w:r>
      <w:r w:rsidR="004C70C0" w:rsidRPr="004548B5">
        <w:rPr>
          <w:rStyle w:val="SingleTxtGCChar"/>
          <w:sz w:val="18"/>
          <w:szCs w:val="18"/>
        </w:rPr>
        <w:t>1</w:t>
      </w:r>
      <w:r w:rsidR="00D614FD" w:rsidRPr="004548B5">
        <w:rPr>
          <w:rStyle w:val="SingleTxtGCChar"/>
          <w:sz w:val="18"/>
          <w:szCs w:val="18"/>
        </w:rPr>
        <w:t>)</w:t>
      </w:r>
      <w:r w:rsidR="004C70C0" w:rsidRPr="004548B5">
        <w:rPr>
          <w:rStyle w:val="SingleTxtGCChar"/>
          <w:rFonts w:hint="eastAsia"/>
          <w:sz w:val="18"/>
          <w:szCs w:val="18"/>
        </w:rPr>
        <w:t>款和第</w:t>
      </w:r>
      <w:r w:rsidR="004C70C0" w:rsidRPr="004548B5">
        <w:rPr>
          <w:rStyle w:val="SingleTxtGCChar"/>
          <w:sz w:val="18"/>
          <w:szCs w:val="18"/>
        </w:rPr>
        <w:t>40</w:t>
      </w:r>
      <w:r w:rsidR="004C70C0" w:rsidRPr="004548B5">
        <w:rPr>
          <w:rStyle w:val="SingleTxtGCChar"/>
          <w:rFonts w:hint="eastAsia"/>
          <w:sz w:val="18"/>
          <w:szCs w:val="18"/>
        </w:rPr>
        <w:t>条，以及《欧洲行使儿童权利公约》第</w:t>
      </w:r>
      <w:r w:rsidR="004C70C0" w:rsidRPr="004548B5">
        <w:rPr>
          <w:rStyle w:val="SingleTxtGCChar"/>
          <w:sz w:val="18"/>
          <w:szCs w:val="18"/>
        </w:rPr>
        <w:t>12</w:t>
      </w:r>
      <w:r w:rsidR="004C70C0" w:rsidRPr="004548B5">
        <w:rPr>
          <w:rStyle w:val="SingleTxtGCChar"/>
          <w:rFonts w:hint="eastAsia"/>
          <w:sz w:val="18"/>
          <w:szCs w:val="18"/>
        </w:rPr>
        <w:t>条背道而驰的。</w:t>
      </w:r>
    </w:p>
  </w:footnote>
  <w:footnote w:id="12">
    <w:p w:rsidR="004C70C0" w:rsidRPr="000335F5" w:rsidRDefault="006C6346" w:rsidP="006C6346">
      <w:pPr>
        <w:pStyle w:val="a6"/>
        <w:ind w:hanging="703"/>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提交人没有具体说明联邦宪法法院</w:t>
      </w:r>
      <w:r w:rsidR="004C70C0" w:rsidRPr="00DD7C0A">
        <w:rPr>
          <w:rFonts w:asciiTheme="majorBidi" w:eastAsiaTheme="minorEastAsia" w:hAnsiTheme="majorBidi" w:cstheme="majorBidi" w:hint="eastAsia"/>
          <w:shd w:val="clear" w:color="auto" w:fill="FCFCFC"/>
        </w:rPr>
        <w:t>的判例法。</w:t>
      </w:r>
    </w:p>
  </w:footnote>
  <w:footnote w:id="13">
    <w:p w:rsidR="004C70C0" w:rsidRPr="004548B5" w:rsidRDefault="006C6346"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0E48C4">
        <w:rPr>
          <w:rStyle w:val="SingleTxtGCChar"/>
          <w:color w:val="0000FF"/>
          <w:sz w:val="18"/>
          <w:szCs w:val="18"/>
          <w:vertAlign w:val="superscript"/>
        </w:rPr>
        <w:tab/>
      </w:r>
      <w:r w:rsidR="004C70C0" w:rsidRPr="004548B5">
        <w:rPr>
          <w:rStyle w:val="SingleTxtGCChar"/>
          <w:rFonts w:hint="eastAsia"/>
          <w:sz w:val="18"/>
          <w:szCs w:val="18"/>
        </w:rPr>
        <w:t>从提交人的陈述中看不出他指的是哪项法律。</w:t>
      </w:r>
    </w:p>
  </w:footnote>
  <w:footnote w:id="14">
    <w:p w:rsidR="004C70C0" w:rsidRPr="004548B5" w:rsidRDefault="006C6346"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见《萨尔州宪法》</w:t>
      </w:r>
      <w:r w:rsidR="00D614FD" w:rsidRPr="004548B5">
        <w:rPr>
          <w:rStyle w:val="SingleTxtGCChar"/>
          <w:sz w:val="18"/>
          <w:szCs w:val="18"/>
        </w:rPr>
        <w:t>(</w:t>
      </w:r>
      <w:hyperlink r:id="rId1" w:history="1">
        <w:r w:rsidR="004C70C0" w:rsidRPr="004548B5">
          <w:rPr>
            <w:rStyle w:val="SingleTxtGCChar"/>
            <w:sz w:val="18"/>
            <w:szCs w:val="18"/>
          </w:rPr>
          <w:t>www.bijus.eu/?p=10314</w:t>
        </w:r>
      </w:hyperlink>
      <w:r w:rsidR="00D614FD" w:rsidRPr="004548B5">
        <w:rPr>
          <w:rStyle w:val="SingleTxtGCChar"/>
          <w:sz w:val="18"/>
          <w:szCs w:val="18"/>
        </w:rPr>
        <w:t>)</w:t>
      </w:r>
      <w:r w:rsidR="004C70C0" w:rsidRPr="004548B5">
        <w:rPr>
          <w:rStyle w:val="SingleTxtGCChar"/>
          <w:rFonts w:hint="eastAsia"/>
          <w:sz w:val="18"/>
          <w:szCs w:val="18"/>
        </w:rPr>
        <w:t>。</w:t>
      </w:r>
    </w:p>
  </w:footnote>
  <w:footnote w:id="15">
    <w:p w:rsidR="004C70C0" w:rsidRPr="004548B5" w:rsidRDefault="006C6346"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4548B5">
        <w:rPr>
          <w:rStyle w:val="SingleTxtGCChar"/>
          <w:sz w:val="18"/>
          <w:szCs w:val="18"/>
        </w:rPr>
        <w:tab/>
      </w:r>
      <w:r w:rsidR="004C70C0" w:rsidRPr="004548B5">
        <w:rPr>
          <w:rStyle w:val="SingleTxtGCChar"/>
          <w:rFonts w:hint="eastAsia"/>
          <w:sz w:val="18"/>
          <w:szCs w:val="18"/>
        </w:rPr>
        <w:t>提交人在陈述中具体提到了德国《基本法》第</w:t>
      </w:r>
      <w:r w:rsidR="004C70C0" w:rsidRPr="004548B5">
        <w:rPr>
          <w:rStyle w:val="SingleTxtGCChar"/>
          <w:sz w:val="18"/>
          <w:szCs w:val="18"/>
        </w:rPr>
        <w:t>16</w:t>
      </w:r>
      <w:r w:rsidR="004C70C0" w:rsidRPr="004548B5">
        <w:rPr>
          <w:rStyle w:val="SingleTxtGCChar"/>
          <w:rFonts w:hint="eastAsia"/>
          <w:sz w:val="18"/>
          <w:szCs w:val="18"/>
        </w:rPr>
        <w:t>条，但该条似乎不符合上下文。对提交人作了询问，请其说明在目前情况下他指的是《基本法》和判例法中的哪一条。</w:t>
      </w:r>
    </w:p>
  </w:footnote>
  <w:footnote w:id="16">
    <w:p w:rsidR="004C70C0" w:rsidRPr="004548B5" w:rsidRDefault="006C6346"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Pr="000E48C4">
        <w:rPr>
          <w:rStyle w:val="SingleTxtGCChar"/>
          <w:color w:val="0000FF"/>
          <w:sz w:val="18"/>
          <w:szCs w:val="18"/>
          <w:vertAlign w:val="superscript"/>
        </w:rPr>
        <w:tab/>
      </w:r>
      <w:r w:rsidR="004C70C0" w:rsidRPr="004548B5">
        <w:rPr>
          <w:rStyle w:val="SingleTxtGCChar"/>
          <w:rFonts w:hint="eastAsia"/>
          <w:sz w:val="18"/>
          <w:szCs w:val="18"/>
        </w:rPr>
        <w:t>例如，见人权事务委员会，</w:t>
      </w:r>
      <w:r w:rsidR="004C70C0" w:rsidRPr="000E48C4">
        <w:rPr>
          <w:rStyle w:val="SingleTxtGCChar"/>
          <w:rFonts w:ascii="Time New Roman" w:eastAsia="楷体" w:hAnsi="Time New Roman"/>
          <w:sz w:val="18"/>
          <w:szCs w:val="18"/>
        </w:rPr>
        <w:t>Pratt</w:t>
      </w:r>
      <w:r w:rsidR="004C70C0" w:rsidRPr="000E48C4">
        <w:rPr>
          <w:rStyle w:val="SingleTxtGCChar"/>
          <w:rFonts w:ascii="Time New Roman" w:eastAsia="楷体" w:hAnsi="Time New Roman" w:hint="eastAsia"/>
          <w:sz w:val="18"/>
          <w:szCs w:val="18"/>
        </w:rPr>
        <w:t>和</w:t>
      </w:r>
      <w:r w:rsidR="004C70C0" w:rsidRPr="000E48C4">
        <w:rPr>
          <w:rStyle w:val="SingleTxtGCChar"/>
          <w:rFonts w:ascii="Time New Roman" w:eastAsia="楷体" w:hAnsi="Time New Roman"/>
          <w:sz w:val="18"/>
          <w:szCs w:val="18"/>
        </w:rPr>
        <w:t>Morgan</w:t>
      </w:r>
      <w:r w:rsidR="004C70C0" w:rsidRPr="000E48C4">
        <w:rPr>
          <w:rStyle w:val="SingleTxtGCChar"/>
          <w:rFonts w:ascii="Time New Roman" w:eastAsia="楷体" w:hAnsi="Time New Roman" w:hint="eastAsia"/>
          <w:sz w:val="18"/>
          <w:szCs w:val="18"/>
        </w:rPr>
        <w:t>诉牙买加</w:t>
      </w:r>
      <w:r w:rsidR="004C70C0" w:rsidRPr="004548B5">
        <w:rPr>
          <w:rStyle w:val="SingleTxtGCChar"/>
          <w:rFonts w:hint="eastAsia"/>
          <w:sz w:val="18"/>
          <w:szCs w:val="18"/>
        </w:rPr>
        <w:t>，第</w:t>
      </w:r>
      <w:r w:rsidR="004C70C0" w:rsidRPr="004548B5">
        <w:rPr>
          <w:rStyle w:val="SingleTxtGCChar"/>
          <w:sz w:val="18"/>
          <w:szCs w:val="18"/>
        </w:rPr>
        <w:t>225/1987</w:t>
      </w:r>
      <w:r w:rsidR="004C70C0" w:rsidRPr="004548B5">
        <w:rPr>
          <w:rStyle w:val="SingleTxtGCChar"/>
          <w:rFonts w:hint="eastAsia"/>
          <w:sz w:val="18"/>
          <w:szCs w:val="18"/>
        </w:rPr>
        <w:t>号来文</w:t>
      </w:r>
      <w:r w:rsidRPr="004548B5">
        <w:rPr>
          <w:rStyle w:val="SingleTxtGCChar"/>
          <w:sz w:val="18"/>
          <w:szCs w:val="18"/>
        </w:rPr>
        <w:t>，</w:t>
      </w:r>
      <w:r w:rsidR="004C70C0" w:rsidRPr="004548B5">
        <w:rPr>
          <w:rStyle w:val="SingleTxtGCChar"/>
          <w:rFonts w:hint="eastAsia"/>
          <w:sz w:val="18"/>
          <w:szCs w:val="18"/>
        </w:rPr>
        <w:t>第</w:t>
      </w:r>
      <w:r w:rsidR="004C70C0" w:rsidRPr="004548B5">
        <w:rPr>
          <w:rStyle w:val="SingleTxtGCChar"/>
          <w:sz w:val="18"/>
          <w:szCs w:val="18"/>
        </w:rPr>
        <w:t>12.3</w:t>
      </w:r>
      <w:r w:rsidRPr="004548B5">
        <w:rPr>
          <w:rStyle w:val="SingleTxtGCChar"/>
          <w:sz w:val="18"/>
          <w:szCs w:val="18"/>
        </w:rPr>
        <w:t>-</w:t>
      </w:r>
      <w:r w:rsidR="004C70C0" w:rsidRPr="004548B5">
        <w:rPr>
          <w:rStyle w:val="SingleTxtGCChar"/>
          <w:sz w:val="18"/>
          <w:szCs w:val="18"/>
        </w:rPr>
        <w:t>12.5</w:t>
      </w:r>
      <w:r w:rsidR="004C70C0" w:rsidRPr="004548B5">
        <w:rPr>
          <w:rStyle w:val="SingleTxtGCChar"/>
          <w:rFonts w:hint="eastAsia"/>
          <w:sz w:val="18"/>
          <w:szCs w:val="18"/>
        </w:rPr>
        <w:t>段</w:t>
      </w:r>
      <w:r w:rsidRPr="004548B5">
        <w:rPr>
          <w:rStyle w:val="SingleTxtGCChar"/>
          <w:rFonts w:hint="eastAsia"/>
          <w:sz w:val="18"/>
          <w:szCs w:val="18"/>
        </w:rPr>
        <w:t>；</w:t>
      </w:r>
      <w:r w:rsidR="004C70C0" w:rsidRPr="000E48C4">
        <w:rPr>
          <w:rStyle w:val="SingleTxtGCChar"/>
          <w:rFonts w:ascii="Time New Roman" w:eastAsia="楷体" w:hAnsi="Time New Roman"/>
          <w:sz w:val="18"/>
          <w:szCs w:val="18"/>
        </w:rPr>
        <w:t>Barzhig</w:t>
      </w:r>
      <w:r w:rsidR="004C70C0" w:rsidRPr="000E48C4">
        <w:rPr>
          <w:rStyle w:val="SingleTxtGCChar"/>
          <w:rFonts w:ascii="Time New Roman" w:eastAsia="楷体" w:hAnsi="Time New Roman" w:hint="eastAsia"/>
          <w:sz w:val="18"/>
          <w:szCs w:val="18"/>
        </w:rPr>
        <w:t>诉法国</w:t>
      </w:r>
      <w:r w:rsidRPr="004548B5">
        <w:rPr>
          <w:rStyle w:val="SingleTxtGCChar"/>
          <w:rFonts w:hint="eastAsia"/>
          <w:sz w:val="18"/>
          <w:szCs w:val="18"/>
        </w:rPr>
        <w:t>，</w:t>
      </w:r>
      <w:r w:rsidR="004C70C0" w:rsidRPr="004548B5">
        <w:rPr>
          <w:rStyle w:val="SingleTxtGCChar"/>
          <w:rFonts w:hint="eastAsia"/>
          <w:sz w:val="18"/>
          <w:szCs w:val="18"/>
        </w:rPr>
        <w:t>第</w:t>
      </w:r>
      <w:r w:rsidR="004C70C0" w:rsidRPr="004548B5">
        <w:rPr>
          <w:rStyle w:val="SingleTxtGCChar"/>
          <w:sz w:val="18"/>
          <w:szCs w:val="18"/>
        </w:rPr>
        <w:t>327/1988</w:t>
      </w:r>
      <w:r w:rsidR="004C70C0" w:rsidRPr="004548B5">
        <w:rPr>
          <w:rStyle w:val="SingleTxtGCChar"/>
          <w:rFonts w:hint="eastAsia"/>
          <w:sz w:val="18"/>
          <w:szCs w:val="18"/>
        </w:rPr>
        <w:t>号来文</w:t>
      </w:r>
      <w:r w:rsidRPr="004548B5">
        <w:rPr>
          <w:rStyle w:val="SingleTxtGCChar"/>
          <w:rFonts w:hint="eastAsia"/>
          <w:sz w:val="18"/>
          <w:szCs w:val="18"/>
        </w:rPr>
        <w:t>，</w:t>
      </w:r>
      <w:r w:rsidR="004C70C0" w:rsidRPr="004548B5">
        <w:rPr>
          <w:rStyle w:val="SingleTxtGCChar"/>
          <w:rFonts w:hint="eastAsia"/>
          <w:sz w:val="18"/>
          <w:szCs w:val="18"/>
        </w:rPr>
        <w:t>第</w:t>
      </w:r>
      <w:r w:rsidR="004C70C0" w:rsidRPr="004548B5">
        <w:rPr>
          <w:rStyle w:val="SingleTxtGCChar"/>
          <w:sz w:val="18"/>
          <w:szCs w:val="18"/>
        </w:rPr>
        <w:t>5.1</w:t>
      </w:r>
      <w:r w:rsidR="004C70C0" w:rsidRPr="004548B5">
        <w:rPr>
          <w:rStyle w:val="SingleTxtGCChar"/>
          <w:rFonts w:hint="eastAsia"/>
          <w:sz w:val="18"/>
          <w:szCs w:val="18"/>
        </w:rPr>
        <w:t>段</w:t>
      </w:r>
      <w:r w:rsidRPr="004548B5">
        <w:rPr>
          <w:rStyle w:val="SingleTxtGCChar"/>
          <w:rFonts w:hint="eastAsia"/>
          <w:sz w:val="18"/>
          <w:szCs w:val="18"/>
        </w:rPr>
        <w:t>；</w:t>
      </w:r>
      <w:r w:rsidR="004C70C0" w:rsidRPr="004548B5">
        <w:rPr>
          <w:rStyle w:val="SingleTxtGCChar"/>
          <w:rFonts w:hint="eastAsia"/>
          <w:sz w:val="18"/>
          <w:szCs w:val="18"/>
        </w:rPr>
        <w:t>以及</w:t>
      </w:r>
      <w:r w:rsidR="004C70C0" w:rsidRPr="000E48C4">
        <w:rPr>
          <w:rStyle w:val="SingleTxtGCChar"/>
          <w:rFonts w:ascii="Time New Roman" w:eastAsia="楷体" w:hAnsi="Time New Roman"/>
          <w:sz w:val="18"/>
          <w:szCs w:val="18"/>
        </w:rPr>
        <w:t>Young</w:t>
      </w:r>
      <w:r w:rsidR="004C70C0" w:rsidRPr="000E48C4">
        <w:rPr>
          <w:rStyle w:val="SingleTxtGCChar"/>
          <w:rFonts w:ascii="Time New Roman" w:eastAsia="楷体" w:hAnsi="Time New Roman" w:hint="eastAsia"/>
          <w:sz w:val="18"/>
          <w:szCs w:val="18"/>
        </w:rPr>
        <w:t>诉澳大利亚</w:t>
      </w:r>
      <w:r w:rsidR="00D614FD" w:rsidRPr="004548B5">
        <w:rPr>
          <w:rStyle w:val="SingleTxtGCChar"/>
          <w:sz w:val="18"/>
          <w:szCs w:val="18"/>
        </w:rPr>
        <w:t>(</w:t>
      </w:r>
      <w:r w:rsidR="004C70C0" w:rsidRPr="004548B5">
        <w:rPr>
          <w:rStyle w:val="SingleTxtGCChar"/>
          <w:sz w:val="18"/>
          <w:szCs w:val="18"/>
        </w:rPr>
        <w:t>CCPR/C/78/D/</w:t>
      </w:r>
      <w:r w:rsidR="00A46021">
        <w:rPr>
          <w:rStyle w:val="SingleTxtGCChar"/>
          <w:sz w:val="18"/>
          <w:szCs w:val="18"/>
        </w:rPr>
        <w:t xml:space="preserve"> </w:t>
      </w:r>
      <w:r w:rsidR="004C70C0" w:rsidRPr="004548B5">
        <w:rPr>
          <w:rStyle w:val="SingleTxtGCChar"/>
          <w:sz w:val="18"/>
          <w:szCs w:val="18"/>
        </w:rPr>
        <w:t>941/2000</w:t>
      </w:r>
      <w:r w:rsidR="00D614FD" w:rsidRPr="004548B5">
        <w:rPr>
          <w:rStyle w:val="SingleTxtGCChar"/>
          <w:sz w:val="18"/>
          <w:szCs w:val="18"/>
        </w:rPr>
        <w:t>)</w:t>
      </w:r>
      <w:r w:rsidRPr="004548B5">
        <w:rPr>
          <w:rStyle w:val="SingleTxtGCChar"/>
          <w:sz w:val="18"/>
          <w:szCs w:val="18"/>
        </w:rPr>
        <w:t>，</w:t>
      </w:r>
      <w:r w:rsidR="004C70C0" w:rsidRPr="004548B5">
        <w:rPr>
          <w:rStyle w:val="SingleTxtGCChar"/>
          <w:rFonts w:hint="eastAsia"/>
          <w:sz w:val="18"/>
          <w:szCs w:val="18"/>
        </w:rPr>
        <w:t>第</w:t>
      </w:r>
      <w:r w:rsidR="004C70C0" w:rsidRPr="004548B5">
        <w:rPr>
          <w:rStyle w:val="SingleTxtGCChar"/>
          <w:sz w:val="18"/>
          <w:szCs w:val="18"/>
        </w:rPr>
        <w:t>9.4</w:t>
      </w:r>
      <w:r w:rsidR="004C70C0" w:rsidRPr="004548B5">
        <w:rPr>
          <w:rStyle w:val="SingleTxtGCChar"/>
          <w:rFonts w:hint="eastAsia"/>
          <w:sz w:val="18"/>
          <w:szCs w:val="18"/>
        </w:rPr>
        <w:t>段。</w:t>
      </w:r>
    </w:p>
  </w:footnote>
  <w:footnote w:id="17">
    <w:p w:rsidR="004C70C0" w:rsidRPr="000D76C7" w:rsidRDefault="00DD7C0A" w:rsidP="004548B5">
      <w:pPr>
        <w:pStyle w:val="a6"/>
        <w:ind w:hanging="703"/>
        <w:rPr>
          <w:rStyle w:val="SingleTxtGCChar"/>
          <w:sz w:val="18"/>
          <w:szCs w:val="18"/>
        </w:rPr>
      </w:pPr>
      <w:r w:rsidRPr="004548B5">
        <w:rPr>
          <w:rStyle w:val="SingleTxtGCChar"/>
          <w:sz w:val="18"/>
          <w:szCs w:val="18"/>
        </w:rPr>
        <w:tab/>
      </w:r>
      <w:r w:rsidR="004C70C0" w:rsidRPr="000E48C4">
        <w:rPr>
          <w:rStyle w:val="SingleTxtGCChar"/>
          <w:color w:val="0000FF"/>
          <w:sz w:val="18"/>
          <w:szCs w:val="18"/>
          <w:vertAlign w:val="superscript"/>
        </w:rPr>
        <w:footnoteRef/>
      </w:r>
      <w:r w:rsidR="006C6346" w:rsidRPr="004548B5">
        <w:rPr>
          <w:rStyle w:val="SingleTxtGCChar"/>
          <w:sz w:val="18"/>
          <w:szCs w:val="18"/>
        </w:rPr>
        <w:tab/>
      </w:r>
      <w:r w:rsidR="004C70C0" w:rsidRPr="004548B5">
        <w:rPr>
          <w:rStyle w:val="SingleTxtGCChar"/>
          <w:rFonts w:hint="eastAsia"/>
          <w:sz w:val="18"/>
          <w:szCs w:val="18"/>
        </w:rPr>
        <w:t>例如，见人权事务委员会，</w:t>
      </w:r>
      <w:r w:rsidR="004C70C0" w:rsidRPr="000E48C4">
        <w:rPr>
          <w:rStyle w:val="SingleTxtGCChar"/>
          <w:rFonts w:ascii="Time New Roman" w:eastAsia="楷体" w:hAnsi="Time New Roman"/>
          <w:sz w:val="18"/>
          <w:szCs w:val="18"/>
        </w:rPr>
        <w:t>R.T.</w:t>
      </w:r>
      <w:r w:rsidR="004C70C0" w:rsidRPr="000E48C4">
        <w:rPr>
          <w:rStyle w:val="SingleTxtGCChar"/>
          <w:rFonts w:ascii="Time New Roman" w:eastAsia="楷体" w:hAnsi="Time New Roman" w:hint="eastAsia"/>
          <w:sz w:val="18"/>
          <w:szCs w:val="18"/>
        </w:rPr>
        <w:t>诉法国</w:t>
      </w:r>
      <w:r w:rsidR="004C70C0" w:rsidRPr="004548B5">
        <w:rPr>
          <w:rStyle w:val="SingleTxtGCChar"/>
          <w:rFonts w:hint="eastAsia"/>
          <w:sz w:val="18"/>
          <w:szCs w:val="18"/>
        </w:rPr>
        <w:t>第</w:t>
      </w:r>
      <w:r w:rsidR="004C70C0" w:rsidRPr="004548B5">
        <w:rPr>
          <w:rStyle w:val="SingleTxtGCChar"/>
          <w:sz w:val="18"/>
          <w:szCs w:val="18"/>
        </w:rPr>
        <w:t>262/1987</w:t>
      </w:r>
      <w:r w:rsidR="004C70C0" w:rsidRPr="004548B5">
        <w:rPr>
          <w:rStyle w:val="SingleTxtGCChar"/>
          <w:rFonts w:hint="eastAsia"/>
          <w:sz w:val="18"/>
          <w:szCs w:val="18"/>
        </w:rPr>
        <w:t>号来文</w:t>
      </w:r>
      <w:r w:rsidRPr="004548B5">
        <w:rPr>
          <w:rStyle w:val="SingleTxtGCChar"/>
          <w:sz w:val="18"/>
          <w:szCs w:val="18"/>
        </w:rPr>
        <w:t>，</w:t>
      </w:r>
      <w:r w:rsidR="004C70C0" w:rsidRPr="004548B5">
        <w:rPr>
          <w:rStyle w:val="SingleTxtGCChar"/>
          <w:rFonts w:hint="eastAsia"/>
          <w:sz w:val="18"/>
          <w:szCs w:val="18"/>
        </w:rPr>
        <w:t>第</w:t>
      </w:r>
      <w:r w:rsidR="004C70C0" w:rsidRPr="004548B5">
        <w:rPr>
          <w:rStyle w:val="SingleTxtGCChar"/>
          <w:sz w:val="18"/>
          <w:szCs w:val="18"/>
        </w:rPr>
        <w:t>7.4</w:t>
      </w:r>
      <w:r w:rsidR="004C70C0" w:rsidRPr="004548B5">
        <w:rPr>
          <w:rStyle w:val="SingleTxtGCChar"/>
          <w:rFonts w:hint="eastAsia"/>
          <w:sz w:val="18"/>
          <w:szCs w:val="18"/>
        </w:rPr>
        <w:t>段</w:t>
      </w:r>
      <w:r w:rsidRPr="004548B5">
        <w:rPr>
          <w:rStyle w:val="SingleTxtGCChar"/>
          <w:sz w:val="18"/>
          <w:szCs w:val="18"/>
        </w:rPr>
        <w:t>；</w:t>
      </w:r>
      <w:r w:rsidR="004C70C0" w:rsidRPr="004548B5">
        <w:rPr>
          <w:rStyle w:val="SingleTxtGCChar"/>
          <w:rFonts w:hint="eastAsia"/>
          <w:sz w:val="18"/>
          <w:szCs w:val="18"/>
        </w:rPr>
        <w:t>以及</w:t>
      </w:r>
      <w:r w:rsidR="004C70C0" w:rsidRPr="000E48C4">
        <w:rPr>
          <w:rStyle w:val="SingleTxtGCChar"/>
          <w:rFonts w:ascii="Time New Roman" w:eastAsia="楷体" w:hAnsi="Time New Roman"/>
          <w:sz w:val="18"/>
          <w:szCs w:val="18"/>
        </w:rPr>
        <w:t>S.S.</w:t>
      </w:r>
      <w:r w:rsidR="004C70C0" w:rsidRPr="000E48C4">
        <w:rPr>
          <w:rStyle w:val="SingleTxtGCChar"/>
          <w:rFonts w:ascii="Time New Roman" w:eastAsia="楷体" w:hAnsi="Time New Roman" w:hint="eastAsia"/>
          <w:sz w:val="18"/>
          <w:szCs w:val="18"/>
        </w:rPr>
        <w:t>诉挪威</w:t>
      </w:r>
      <w:r w:rsidR="004C70C0" w:rsidRPr="004548B5">
        <w:rPr>
          <w:rStyle w:val="SingleTxtGCChar"/>
          <w:rFonts w:hint="eastAsia"/>
          <w:sz w:val="18"/>
          <w:szCs w:val="18"/>
        </w:rPr>
        <w:t>第</w:t>
      </w:r>
      <w:r w:rsidR="004C70C0" w:rsidRPr="000D76C7">
        <w:rPr>
          <w:rStyle w:val="SingleTxtGCChar"/>
          <w:sz w:val="18"/>
          <w:szCs w:val="18"/>
        </w:rPr>
        <w:t>79/1980</w:t>
      </w:r>
      <w:r w:rsidR="004C70C0" w:rsidRPr="000D76C7">
        <w:rPr>
          <w:rStyle w:val="SingleTxtGCChar"/>
          <w:rFonts w:hint="eastAsia"/>
          <w:sz w:val="18"/>
          <w:szCs w:val="18"/>
        </w:rPr>
        <w:t>号来文</w:t>
      </w:r>
      <w:r w:rsidRPr="000D76C7">
        <w:rPr>
          <w:rStyle w:val="SingleTxtGCChar"/>
          <w:rFonts w:hint="eastAsia"/>
          <w:sz w:val="18"/>
          <w:szCs w:val="18"/>
        </w:rPr>
        <w:t>，</w:t>
      </w:r>
      <w:r w:rsidR="004C70C0" w:rsidRPr="000D76C7">
        <w:rPr>
          <w:rStyle w:val="SingleTxtGCChar"/>
          <w:rFonts w:hint="eastAsia"/>
          <w:sz w:val="18"/>
          <w:szCs w:val="18"/>
        </w:rPr>
        <w:t>第</w:t>
      </w:r>
      <w:r w:rsidR="004C70C0" w:rsidRPr="000D76C7">
        <w:rPr>
          <w:rStyle w:val="SingleTxtGCChar"/>
          <w:sz w:val="18"/>
          <w:szCs w:val="18"/>
        </w:rPr>
        <w:t>6.2</w:t>
      </w:r>
      <w:r w:rsidR="004C70C0" w:rsidRPr="000D76C7">
        <w:rPr>
          <w:rStyle w:val="SingleTxtGCChar"/>
          <w:rFonts w:hint="eastAsia"/>
          <w:sz w:val="18"/>
          <w:szCs w:val="18"/>
        </w:rPr>
        <w:t>段。还见</w:t>
      </w:r>
      <w:r w:rsidR="004C70C0" w:rsidRPr="000E48C4">
        <w:rPr>
          <w:rStyle w:val="SingleTxtGCChar"/>
          <w:rFonts w:ascii="Time New Roman" w:eastAsia="楷体" w:hAnsi="Time New Roman"/>
          <w:sz w:val="18"/>
          <w:szCs w:val="18"/>
        </w:rPr>
        <w:t>Sadic</w:t>
      </w:r>
      <w:r w:rsidR="004C70C0" w:rsidRPr="000E48C4">
        <w:rPr>
          <w:rStyle w:val="SingleTxtGCChar"/>
          <w:rFonts w:ascii="Time New Roman" w:eastAsia="楷体" w:hAnsi="Time New Roman" w:hint="eastAsia"/>
          <w:sz w:val="18"/>
          <w:szCs w:val="18"/>
        </w:rPr>
        <w:t>诉丹麦</w:t>
      </w:r>
      <w:r w:rsidR="00D614FD" w:rsidRPr="000D76C7">
        <w:rPr>
          <w:rStyle w:val="SingleTxtGCChar"/>
          <w:sz w:val="18"/>
          <w:szCs w:val="18"/>
        </w:rPr>
        <w:t>(</w:t>
      </w:r>
      <w:r w:rsidR="004C70C0" w:rsidRPr="000D76C7">
        <w:rPr>
          <w:rStyle w:val="SingleTxtGCChar"/>
          <w:sz w:val="18"/>
          <w:szCs w:val="18"/>
        </w:rPr>
        <w:t>CERD/C/62/D/25/2002</w:t>
      </w:r>
      <w:r w:rsidR="00D614FD" w:rsidRPr="000D76C7">
        <w:rPr>
          <w:rStyle w:val="SingleTxtGCChar"/>
          <w:sz w:val="18"/>
          <w:szCs w:val="18"/>
        </w:rPr>
        <w:t>)</w:t>
      </w:r>
      <w:r w:rsidRPr="000D76C7">
        <w:rPr>
          <w:rStyle w:val="SingleTxtGCChar"/>
          <w:sz w:val="18"/>
          <w:szCs w:val="18"/>
        </w:rPr>
        <w:t>，</w:t>
      </w:r>
      <w:r w:rsidR="004C70C0" w:rsidRPr="000D76C7">
        <w:rPr>
          <w:rStyle w:val="SingleTxtGCChar"/>
          <w:rFonts w:hint="eastAsia"/>
          <w:sz w:val="18"/>
          <w:szCs w:val="18"/>
        </w:rPr>
        <w:t>第</w:t>
      </w:r>
      <w:r w:rsidR="004C70C0" w:rsidRPr="000D76C7">
        <w:rPr>
          <w:rStyle w:val="SingleTxtGCChar"/>
          <w:sz w:val="18"/>
          <w:szCs w:val="18"/>
        </w:rPr>
        <w:t>6.5</w:t>
      </w:r>
      <w:r w:rsidR="004C70C0" w:rsidRPr="000D76C7">
        <w:rPr>
          <w:rStyle w:val="SingleTxtGCChar"/>
          <w:rFonts w:hint="eastAsia"/>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C70C0" w:rsidP="004C70C0">
    <w:pPr>
      <w:pStyle w:val="af3"/>
    </w:pPr>
    <w:r>
      <w:t>CRC/C/83/D/60/2018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C70C0" w:rsidP="004C70C0">
    <w:pPr>
      <w:pStyle w:val="af3"/>
      <w:jc w:val="right"/>
    </w:pPr>
    <w:r>
      <w:t>CRC/C/83/D/60/2018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1C497E"/>
    <w:multiLevelType w:val="hybridMultilevel"/>
    <w:tmpl w:val="67464C08"/>
    <w:lvl w:ilvl="0" w:tplc="7B722FAC">
      <w:start w:val="2"/>
      <w:numFmt w:val="bullet"/>
      <w:lvlText w:val=""/>
      <w:lvlJc w:val="left"/>
      <w:pPr>
        <w:ind w:left="1380" w:hanging="1020"/>
      </w:pPr>
      <w:rPr>
        <w:rFonts w:ascii="Symbol" w:eastAsia="宋体" w:hAnsi="Symbol" w:cs="Times New Roman" w:hint="default"/>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5783"/>
    <w:rsid w:val="00011483"/>
    <w:rsid w:val="000163AE"/>
    <w:rsid w:val="0004357D"/>
    <w:rsid w:val="000A71B1"/>
    <w:rsid w:val="000D319F"/>
    <w:rsid w:val="000D76C7"/>
    <w:rsid w:val="000E48C4"/>
    <w:rsid w:val="000E4D0E"/>
    <w:rsid w:val="001132F3"/>
    <w:rsid w:val="00134DD8"/>
    <w:rsid w:val="00144B69"/>
    <w:rsid w:val="00153E86"/>
    <w:rsid w:val="00161A46"/>
    <w:rsid w:val="00165177"/>
    <w:rsid w:val="00175783"/>
    <w:rsid w:val="001B1BD1"/>
    <w:rsid w:val="001C3EF2"/>
    <w:rsid w:val="001D17F6"/>
    <w:rsid w:val="001D2C3F"/>
    <w:rsid w:val="00204B42"/>
    <w:rsid w:val="002137A2"/>
    <w:rsid w:val="002231C3"/>
    <w:rsid w:val="0024417F"/>
    <w:rsid w:val="00250F8D"/>
    <w:rsid w:val="002A2183"/>
    <w:rsid w:val="002C34DC"/>
    <w:rsid w:val="002D1D79"/>
    <w:rsid w:val="002E1C97"/>
    <w:rsid w:val="002F5834"/>
    <w:rsid w:val="00326EBF"/>
    <w:rsid w:val="00327FE4"/>
    <w:rsid w:val="0033398C"/>
    <w:rsid w:val="00363265"/>
    <w:rsid w:val="00392F6C"/>
    <w:rsid w:val="003D7D4D"/>
    <w:rsid w:val="003E0957"/>
    <w:rsid w:val="00413D23"/>
    <w:rsid w:val="00427F63"/>
    <w:rsid w:val="004548B5"/>
    <w:rsid w:val="004A17D1"/>
    <w:rsid w:val="004C4A0A"/>
    <w:rsid w:val="004C70C0"/>
    <w:rsid w:val="005122F1"/>
    <w:rsid w:val="00543EBA"/>
    <w:rsid w:val="0054408A"/>
    <w:rsid w:val="00586C7B"/>
    <w:rsid w:val="005E403A"/>
    <w:rsid w:val="006223E4"/>
    <w:rsid w:val="00680656"/>
    <w:rsid w:val="006B1119"/>
    <w:rsid w:val="006C6346"/>
    <w:rsid w:val="006E3E46"/>
    <w:rsid w:val="006E71B1"/>
    <w:rsid w:val="00705D89"/>
    <w:rsid w:val="00731A42"/>
    <w:rsid w:val="00767E69"/>
    <w:rsid w:val="0077079A"/>
    <w:rsid w:val="00774FDF"/>
    <w:rsid w:val="007A5599"/>
    <w:rsid w:val="00856233"/>
    <w:rsid w:val="00860F27"/>
    <w:rsid w:val="008B0560"/>
    <w:rsid w:val="008B2BFA"/>
    <w:rsid w:val="008D2FB3"/>
    <w:rsid w:val="0091630D"/>
    <w:rsid w:val="00936F03"/>
    <w:rsid w:val="00943B69"/>
    <w:rsid w:val="00944CB3"/>
    <w:rsid w:val="0094737F"/>
    <w:rsid w:val="0095118D"/>
    <w:rsid w:val="009A7E38"/>
    <w:rsid w:val="009B09D7"/>
    <w:rsid w:val="009B664D"/>
    <w:rsid w:val="009D35ED"/>
    <w:rsid w:val="009D55EF"/>
    <w:rsid w:val="00A03CB6"/>
    <w:rsid w:val="00A1364C"/>
    <w:rsid w:val="00A17EE1"/>
    <w:rsid w:val="00A21076"/>
    <w:rsid w:val="00A3739A"/>
    <w:rsid w:val="00A46021"/>
    <w:rsid w:val="00A52DAF"/>
    <w:rsid w:val="00A84072"/>
    <w:rsid w:val="00AB1CDF"/>
    <w:rsid w:val="00AB236A"/>
    <w:rsid w:val="00AC5E4D"/>
    <w:rsid w:val="00AD6913"/>
    <w:rsid w:val="00B16570"/>
    <w:rsid w:val="00B53320"/>
    <w:rsid w:val="00BC6522"/>
    <w:rsid w:val="00C121D5"/>
    <w:rsid w:val="00C17349"/>
    <w:rsid w:val="00C351AA"/>
    <w:rsid w:val="00C7253F"/>
    <w:rsid w:val="00C83089"/>
    <w:rsid w:val="00CF19D6"/>
    <w:rsid w:val="00D26A05"/>
    <w:rsid w:val="00D614FD"/>
    <w:rsid w:val="00D97B98"/>
    <w:rsid w:val="00DA25C1"/>
    <w:rsid w:val="00DC671F"/>
    <w:rsid w:val="00DD076A"/>
    <w:rsid w:val="00DD7C0A"/>
    <w:rsid w:val="00DE4DA7"/>
    <w:rsid w:val="00E33B38"/>
    <w:rsid w:val="00E4712C"/>
    <w:rsid w:val="00E47FE5"/>
    <w:rsid w:val="00E574AF"/>
    <w:rsid w:val="00E60DB0"/>
    <w:rsid w:val="00F03FC6"/>
    <w:rsid w:val="00F714DA"/>
    <w:rsid w:val="00F90004"/>
    <w:rsid w:val="00FB456B"/>
    <w:rsid w:val="00FD6B27"/>
    <w:rsid w:val="00FF4C3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CE020"/>
  <w15:docId w15:val="{72C4DA21-2E55-4C3E-A7C8-E28E67C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link w:val="HChGChar"/>
    <w:qFormat/>
    <w:rsid w:val="004C70C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link w:val="H23GChar"/>
    <w:qFormat/>
    <w:rsid w:val="004C70C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qFormat/>
    <w:rsid w:val="004C70C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4C70C0"/>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HChGChar">
    <w:name w:val="_ H _Ch_G Char"/>
    <w:link w:val="HChG"/>
    <w:locked/>
    <w:rsid w:val="004C70C0"/>
    <w:rPr>
      <w:rFonts w:eastAsia="Times New Roman"/>
      <w:b/>
      <w:sz w:val="28"/>
      <w:lang w:val="en-GB" w:eastAsia="en-US"/>
    </w:rPr>
  </w:style>
  <w:style w:type="character" w:customStyle="1" w:styleId="H23GChar">
    <w:name w:val="_ H_2/3_G Char"/>
    <w:link w:val="H23G"/>
    <w:locked/>
    <w:rsid w:val="004C70C0"/>
    <w:rPr>
      <w:rFonts w:eastAsia="Times New Roman"/>
      <w:b/>
      <w:lang w:val="en-GB" w:eastAsia="en-US"/>
    </w:rPr>
  </w:style>
  <w:style w:type="character" w:customStyle="1" w:styleId="SingleTxtGChar">
    <w:name w:val="_ Single Txt_G Char"/>
    <w:link w:val="SingleTxtG"/>
    <w:rsid w:val="004C70C0"/>
    <w:rPr>
      <w:lang w:val="en-GB"/>
    </w:rPr>
  </w:style>
  <w:style w:type="character" w:styleId="af9">
    <w:name w:val="Hyperlink"/>
    <w:basedOn w:val="a0"/>
    <w:uiPriority w:val="99"/>
    <w:unhideWhenUsed/>
    <w:rsid w:val="004C70C0"/>
    <w:rPr>
      <w:i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bijus.eu/?p=10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D605-A459-41EE-8D74-6D6B35DE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3119</Words>
  <Characters>3406</Characters>
  <Application>Microsoft Office Word</Application>
  <DocSecurity>0</DocSecurity>
  <Lines>141</Lines>
  <Paragraphs>64</Paragraphs>
  <ScaleCrop>false</ScaleCrop>
  <Company>DCM</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CRC/C/83/D/60/2018</dc:title>
  <dc:subject>2003702</dc:subject>
  <dc:creator>WUJS</dc:creator>
  <cp:keywords/>
  <dc:description/>
  <cp:lastModifiedBy>Xiaoqing Yang</cp:lastModifiedBy>
  <cp:revision>2</cp:revision>
  <cp:lastPrinted>2014-05-09T11:28:00Z</cp:lastPrinted>
  <dcterms:created xsi:type="dcterms:W3CDTF">2020-04-15T16:10:00Z</dcterms:created>
  <dcterms:modified xsi:type="dcterms:W3CDTF">2020-04-15T16:10:00Z</dcterms:modified>
</cp:coreProperties>
</file>