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84B" w:rsidRDefault="007B684B" w:rsidP="007B684B">
      <w:pPr>
        <w:spacing w:line="60" w:lineRule="exact"/>
        <w:rPr>
          <w:sz w:val="6"/>
        </w:rPr>
        <w:sectPr w:rsidR="007B684B" w:rsidSect="007B684B">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cols w:space="425"/>
          <w:titlePg/>
          <w:docGrid w:linePitch="312"/>
        </w:sectPr>
      </w:pPr>
      <w:r>
        <w:rPr>
          <w:rStyle w:val="CommentReference"/>
        </w:rPr>
        <w:commentReference w:id="0"/>
      </w:r>
    </w:p>
    <w:p w:rsidR="007B684B" w:rsidRDefault="007B684B" w:rsidP="007B684B">
      <w:pPr>
        <w:spacing w:line="60" w:lineRule="exact"/>
        <w:rPr>
          <w:sz w:val="6"/>
        </w:rPr>
      </w:pPr>
    </w:p>
    <w:p w:rsidR="00D338DB" w:rsidRDefault="00D338DB" w:rsidP="000F37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60"/>
        <w:ind w:left="1267" w:right="1260" w:hanging="1267"/>
        <w:rPr>
          <w:rFonts w:hint="eastAsia"/>
        </w:rPr>
      </w:pPr>
      <w:r>
        <w:rPr>
          <w:rFonts w:hint="eastAsia"/>
        </w:rPr>
        <w:t>消除对妇女歧视委员会</w:t>
      </w:r>
    </w:p>
    <w:p w:rsidR="00D338DB" w:rsidRPr="000F3767" w:rsidRDefault="00D338DB" w:rsidP="000F3767">
      <w:pPr>
        <w:pStyle w:val="SingleTxt"/>
        <w:spacing w:after="60"/>
        <w:ind w:left="0"/>
        <w:rPr>
          <w:rFonts w:ascii="SimHei" w:eastAsia="SimHei" w:hint="eastAsia"/>
          <w:color w:val="FF0000"/>
        </w:rPr>
      </w:pPr>
      <w:r w:rsidRPr="000F3767">
        <w:rPr>
          <w:rFonts w:ascii="SimHei" w:eastAsia="SimHei" w:hint="eastAsia"/>
          <w:color w:val="FF0000"/>
        </w:rPr>
        <w:t>会前工作组</w:t>
      </w:r>
    </w:p>
    <w:p w:rsidR="00D338DB" w:rsidRPr="000F3767" w:rsidRDefault="00D338DB" w:rsidP="000F3767">
      <w:pPr>
        <w:pStyle w:val="SingleTxt"/>
        <w:spacing w:after="60"/>
        <w:ind w:left="0"/>
        <w:rPr>
          <w:rFonts w:ascii="SimHei" w:eastAsia="SimHei" w:hint="eastAsia"/>
          <w:color w:val="FF0000"/>
        </w:rPr>
      </w:pPr>
      <w:r w:rsidRPr="000F3767">
        <w:rPr>
          <w:rFonts w:ascii="SimHei" w:eastAsia="SimHei" w:hint="eastAsia"/>
          <w:color w:val="FF0000"/>
        </w:rPr>
        <w:t>第四十届会议和第四十一届会议</w:t>
      </w:r>
    </w:p>
    <w:p w:rsidR="00D338DB" w:rsidRDefault="00D338DB" w:rsidP="000F3767">
      <w:pPr>
        <w:pStyle w:val="SingleTxt"/>
        <w:spacing w:after="60"/>
        <w:ind w:left="0"/>
        <w:rPr>
          <w:rFonts w:hint="eastAsia"/>
        </w:rPr>
      </w:pPr>
      <w:r>
        <w:rPr>
          <w:rFonts w:hint="eastAsia"/>
        </w:rPr>
        <w:t>2007年7月16日至20日</w:t>
      </w:r>
    </w:p>
    <w:p w:rsidR="000F3767" w:rsidRPr="000F3767" w:rsidRDefault="000F3767" w:rsidP="000F3767">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ascii="SimSun" w:eastAsia="SimSun"/>
          <w:color w:val="auto"/>
          <w:sz w:val="10"/>
        </w:rPr>
      </w:pPr>
    </w:p>
    <w:p w:rsidR="000F3767" w:rsidRPr="000F3767" w:rsidRDefault="000F3767" w:rsidP="000F3767">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0F3767" w:rsidRPr="000F3767" w:rsidRDefault="000F3767" w:rsidP="000F3767">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D338DB" w:rsidRDefault="000F3767" w:rsidP="000F3767">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r>
      <w:r w:rsidR="00D338DB">
        <w:rPr>
          <w:rFonts w:hint="eastAsia"/>
        </w:rPr>
        <w:t xml:space="preserve">与审议定期报告有关的议题和问题清单 </w:t>
      </w:r>
    </w:p>
    <w:p w:rsidR="000F3767" w:rsidRPr="000F3767" w:rsidRDefault="000F3767" w:rsidP="000F37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ascii="SimSun" w:eastAsia="SimSun"/>
          <w:color w:val="auto"/>
          <w:sz w:val="10"/>
        </w:rPr>
      </w:pPr>
    </w:p>
    <w:p w:rsidR="000F3767" w:rsidRPr="000F3767" w:rsidRDefault="000F3767" w:rsidP="000F37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D338DB" w:rsidRDefault="000F3767" w:rsidP="000F37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r>
      <w:r w:rsidR="00D338DB">
        <w:rPr>
          <w:rFonts w:hint="eastAsia"/>
        </w:rPr>
        <w:t>尼日利亚</w:t>
      </w:r>
    </w:p>
    <w:p w:rsidR="000F3767" w:rsidRPr="000F3767" w:rsidRDefault="000F3767" w:rsidP="000F3767">
      <w:pPr>
        <w:pStyle w:val="SingleTxt"/>
        <w:spacing w:after="0" w:line="120" w:lineRule="exact"/>
        <w:rPr>
          <w:sz w:val="10"/>
        </w:rPr>
      </w:pPr>
    </w:p>
    <w:p w:rsidR="000F3767" w:rsidRPr="000F3767" w:rsidRDefault="000F3767" w:rsidP="000F3767">
      <w:pPr>
        <w:pStyle w:val="SingleTxt"/>
        <w:spacing w:after="0" w:line="120" w:lineRule="exact"/>
        <w:rPr>
          <w:rFonts w:hint="eastAsia"/>
          <w:sz w:val="10"/>
        </w:rPr>
      </w:pPr>
    </w:p>
    <w:p w:rsidR="00D338DB" w:rsidRDefault="000F3767" w:rsidP="000F37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r>
      <w:r w:rsidR="00D338DB">
        <w:rPr>
          <w:rFonts w:hint="eastAsia"/>
        </w:rPr>
        <w:t>导言</w:t>
      </w:r>
    </w:p>
    <w:p w:rsidR="000F3767" w:rsidRPr="000F3767" w:rsidRDefault="000F3767" w:rsidP="000F3767">
      <w:pPr>
        <w:pStyle w:val="SingleTxt"/>
        <w:spacing w:after="0" w:line="120" w:lineRule="exact"/>
        <w:rPr>
          <w:rFonts w:hint="eastAsia"/>
          <w:sz w:val="10"/>
        </w:rPr>
      </w:pPr>
    </w:p>
    <w:p w:rsidR="000F3767" w:rsidRPr="000F3767" w:rsidRDefault="000F3767" w:rsidP="000F3767">
      <w:pPr>
        <w:pStyle w:val="SingleTxt"/>
        <w:spacing w:after="0" w:line="120" w:lineRule="exact"/>
        <w:rPr>
          <w:rFonts w:hint="eastAsia"/>
          <w:sz w:val="10"/>
        </w:rPr>
      </w:pPr>
    </w:p>
    <w:p w:rsidR="00D338DB" w:rsidRDefault="000F3767" w:rsidP="00D338DB">
      <w:pPr>
        <w:pStyle w:val="SingleTxt"/>
        <w:rPr>
          <w:rFonts w:hint="eastAsia"/>
        </w:rPr>
      </w:pPr>
      <w:r>
        <w:rPr>
          <w:rFonts w:hint="eastAsia"/>
        </w:rPr>
        <w:tab/>
      </w:r>
      <w:r w:rsidR="00D338DB">
        <w:rPr>
          <w:rFonts w:hint="eastAsia"/>
        </w:rPr>
        <w:t>会前工作组审查了尼日利亚的第六次定期报告</w:t>
      </w:r>
      <w:r w:rsidR="00FE7089">
        <w:rPr>
          <w:rFonts w:hint="eastAsia"/>
        </w:rPr>
        <w:t>（</w:t>
      </w:r>
      <w:r w:rsidR="00D338DB">
        <w:rPr>
          <w:rFonts w:hint="eastAsia"/>
        </w:rPr>
        <w:t>CEDAW/C/NGA/6</w:t>
      </w:r>
      <w:r w:rsidR="00FE7089">
        <w:rPr>
          <w:rFonts w:hint="eastAsia"/>
        </w:rPr>
        <w:t>）</w:t>
      </w:r>
      <w:r w:rsidR="00D338DB">
        <w:rPr>
          <w:rFonts w:hint="eastAsia"/>
        </w:rPr>
        <w:t xml:space="preserve">。 </w:t>
      </w:r>
    </w:p>
    <w:p w:rsidR="00D338DB" w:rsidRDefault="000F3767" w:rsidP="000F37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r>
      <w:r w:rsidR="00D338DB">
        <w:rPr>
          <w:rFonts w:hint="eastAsia"/>
        </w:rPr>
        <w:t>概述</w:t>
      </w:r>
    </w:p>
    <w:p w:rsidR="000F3767" w:rsidRPr="000F3767" w:rsidRDefault="000F3767" w:rsidP="000F3767">
      <w:pPr>
        <w:pStyle w:val="SingleTxt"/>
        <w:spacing w:after="0" w:line="120" w:lineRule="exact"/>
        <w:rPr>
          <w:rFonts w:hint="eastAsia"/>
          <w:sz w:val="10"/>
        </w:rPr>
      </w:pPr>
    </w:p>
    <w:p w:rsidR="00D338DB" w:rsidRDefault="00D338DB" w:rsidP="00D338DB">
      <w:pPr>
        <w:pStyle w:val="SingleTxt"/>
        <w:rPr>
          <w:rFonts w:hint="eastAsia"/>
        </w:rPr>
      </w:pPr>
      <w:r>
        <w:rPr>
          <w:rFonts w:hint="eastAsia"/>
        </w:rPr>
        <w:t>1.</w:t>
      </w:r>
      <w:r>
        <w:rPr>
          <w:rFonts w:hint="eastAsia"/>
        </w:rPr>
        <w:tab/>
        <w:t>报告第一部分的导言指出，作为编写第六次定期报告筹备进程的一个组成部分，政府、民间社会组织以及发展伙伴之间互相商定了一系列干预措施，这对于编写一份协商一致的报告至关重要。请说明报告是否已经内阁批准，是否已提交议会。</w:t>
      </w:r>
    </w:p>
    <w:p w:rsidR="00D338DB" w:rsidRDefault="000F3767" w:rsidP="000F37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r>
      <w:r w:rsidR="00D338DB">
        <w:rPr>
          <w:rFonts w:hint="eastAsia"/>
        </w:rPr>
        <w:t>提高妇女地位的宪法、立法和国家机制</w:t>
      </w:r>
      <w:r w:rsidR="00D338DB">
        <w:rPr>
          <w:rFonts w:hint="eastAsia"/>
        </w:rPr>
        <w:tab/>
      </w:r>
    </w:p>
    <w:p w:rsidR="000F3767" w:rsidRPr="000F3767" w:rsidRDefault="000F3767" w:rsidP="000F3767">
      <w:pPr>
        <w:pStyle w:val="SingleTxt"/>
        <w:spacing w:after="0" w:line="120" w:lineRule="exact"/>
        <w:rPr>
          <w:rFonts w:hint="eastAsia"/>
          <w:sz w:val="10"/>
        </w:rPr>
      </w:pPr>
    </w:p>
    <w:p w:rsidR="00D338DB" w:rsidRDefault="00D338DB" w:rsidP="00D338DB">
      <w:pPr>
        <w:pStyle w:val="SingleTxt"/>
        <w:rPr>
          <w:rFonts w:hint="eastAsia"/>
        </w:rPr>
      </w:pPr>
      <w:r>
        <w:rPr>
          <w:rFonts w:hint="eastAsia"/>
        </w:rPr>
        <w:t>2.</w:t>
      </w:r>
      <w:r>
        <w:rPr>
          <w:rFonts w:hint="eastAsia"/>
        </w:rPr>
        <w:tab/>
        <w:t>委员会在其以前的结论意见</w:t>
      </w:r>
      <w:r w:rsidR="00FE7089">
        <w:rPr>
          <w:rStyle w:val="FootnoteReference"/>
        </w:rPr>
        <w:footnoteReference w:id="1"/>
      </w:r>
      <w:r w:rsidR="00FE7089">
        <w:t xml:space="preserve"> </w:t>
      </w:r>
      <w:r>
        <w:rPr>
          <w:rFonts w:hint="eastAsia"/>
        </w:rPr>
        <w:t>中敦促该缔约国高度优先重视《公约》全面融入国内法这项工作的完成。报告指出了（见执行摘要及第二部分第2条和第15条）目前为把《公约》融入国内法所做的努力及延迟的原因，并提及《2005年尼日利亚联邦共和国为执行联合国&lt;消除对妇女一切形式歧视公约&gt;以及相关目的制定的法案草案》（见第二部分，第2条）。请提供更多资料，说明是否为加快《公约》完全融入国内法的进程制订了时限。另外请提供最新资料，说明所述法案现况及其对《公约》完全融入国内法的预期影响。</w:t>
      </w:r>
    </w:p>
    <w:p w:rsidR="00D338DB" w:rsidRDefault="00D338DB" w:rsidP="000F3767">
      <w:pPr>
        <w:pStyle w:val="SingleTxt"/>
        <w:spacing w:after="160" w:line="330" w:lineRule="exact"/>
        <w:rPr>
          <w:rFonts w:hint="eastAsia"/>
        </w:rPr>
      </w:pPr>
      <w:r>
        <w:rPr>
          <w:rFonts w:hint="eastAsia"/>
        </w:rPr>
        <w:t>3.</w:t>
      </w:r>
      <w:r>
        <w:rPr>
          <w:rFonts w:hint="eastAsia"/>
        </w:rPr>
        <w:tab/>
        <w:t>报告提及一份题为“2005年与妇女和儿童地位相关的尼日利亚现行宪法、国家和州制定的法规与规定、地方政府制定的地方法规、惯例法和宗教法、政策和习俗以及法庭裁决汇编”的出版物，并指出后来设立了一个改革对妇女歧视法律委员会和拟订了2006年废除对尼日利亚妇女一切形式歧视及其他相关事项的法案草案。请说明这项法案和上文问题2提及的法案是什么关系。另请提供资料，说明是否就该出版物采取了其他后续措施。</w:t>
      </w:r>
    </w:p>
    <w:p w:rsidR="00D338DB" w:rsidRDefault="00D338DB" w:rsidP="000F3767">
      <w:pPr>
        <w:pStyle w:val="SingleTxt"/>
        <w:spacing w:after="160" w:line="330" w:lineRule="exact"/>
        <w:rPr>
          <w:rFonts w:hint="eastAsia"/>
        </w:rPr>
      </w:pPr>
      <w:r>
        <w:rPr>
          <w:rFonts w:hint="eastAsia"/>
        </w:rPr>
        <w:t>4.</w:t>
      </w:r>
      <w:r>
        <w:rPr>
          <w:rFonts w:hint="eastAsia"/>
        </w:rPr>
        <w:tab/>
        <w:t>报告提及若干法案草案，包括上文问题2和问题3提及的法案草案以及正在联邦一级审议的法案，如《2003年禁止暴力侵害妇女行为法案》（见第二部分，第3条）和在州一级审议的法案，如《性别与平等机会法案》、《社会性别主流化法案》、《家庭暴力及其他相关事务法案》（见第二部分，第2条）。请提供最新资料，说明前述法案的现况，包括通过这些法案的预计时间。</w:t>
      </w:r>
    </w:p>
    <w:p w:rsidR="00D338DB" w:rsidRDefault="00D338DB" w:rsidP="000F3767">
      <w:pPr>
        <w:pStyle w:val="SingleTxt"/>
        <w:spacing w:after="160" w:line="330" w:lineRule="exact"/>
        <w:rPr>
          <w:rFonts w:hint="eastAsia"/>
        </w:rPr>
      </w:pPr>
      <w:r>
        <w:rPr>
          <w:rFonts w:hint="eastAsia"/>
        </w:rPr>
        <w:t>5.</w:t>
      </w:r>
      <w:r w:rsidR="000F3767">
        <w:rPr>
          <w:rFonts w:hint="eastAsia"/>
        </w:rPr>
        <w:tab/>
      </w:r>
      <w:r>
        <w:rPr>
          <w:rFonts w:hint="eastAsia"/>
        </w:rPr>
        <w:t>报告指出（见第二部分，第3.0段），联邦妇女事务部是政府中级别最高的全国性别问题协调机构，尼日利亚36个州都设立了同样的协调机构。请介绍联邦和州之间的现有协调机制。另请介绍为跟踪报告提及的提高妇女地位方案执行进展而在联邦一级设立的监测和评估机制。</w:t>
      </w:r>
    </w:p>
    <w:p w:rsidR="00D338DB" w:rsidRDefault="000F3767" w:rsidP="000F37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r>
      <w:r w:rsidR="00D338DB">
        <w:rPr>
          <w:rFonts w:hint="eastAsia"/>
        </w:rPr>
        <w:t>教育和定型观念</w:t>
      </w:r>
    </w:p>
    <w:p w:rsidR="000F3767" w:rsidRPr="000F3767" w:rsidRDefault="000F3767" w:rsidP="000F3767">
      <w:pPr>
        <w:pStyle w:val="SingleTxt"/>
        <w:spacing w:after="0" w:line="120" w:lineRule="exact"/>
        <w:rPr>
          <w:rFonts w:hint="eastAsia"/>
          <w:sz w:val="10"/>
        </w:rPr>
      </w:pPr>
    </w:p>
    <w:p w:rsidR="00D338DB" w:rsidRDefault="00D338DB" w:rsidP="000F3767">
      <w:pPr>
        <w:pStyle w:val="SingleTxt"/>
        <w:spacing w:after="160" w:line="330" w:lineRule="exact"/>
        <w:rPr>
          <w:rFonts w:hint="eastAsia"/>
        </w:rPr>
      </w:pPr>
      <w:r>
        <w:rPr>
          <w:rFonts w:hint="eastAsia"/>
        </w:rPr>
        <w:t>6.</w:t>
      </w:r>
      <w:r>
        <w:rPr>
          <w:rFonts w:hint="eastAsia"/>
        </w:rPr>
        <w:tab/>
        <w:t>报告提及为消除有碍妇女地位提高的性别角色定型观念而开展的活动。请说明如何评估所做工作产生的影响。例如，请提供受益于国家教育政策（2004）的女孩人数；这项政策旨在鼓励女孩更多参与科学技术领域（见第二部分，第5条）。</w:t>
      </w:r>
    </w:p>
    <w:p w:rsidR="00D338DB" w:rsidRDefault="00D338DB" w:rsidP="000F3767">
      <w:pPr>
        <w:pStyle w:val="SingleTxt"/>
        <w:spacing w:after="160" w:line="330" w:lineRule="exact"/>
        <w:rPr>
          <w:rFonts w:hint="eastAsia"/>
        </w:rPr>
      </w:pPr>
      <w:r>
        <w:rPr>
          <w:rFonts w:hint="eastAsia"/>
        </w:rPr>
        <w:t>7.</w:t>
      </w:r>
      <w:r>
        <w:rPr>
          <w:rFonts w:hint="eastAsia"/>
        </w:rPr>
        <w:tab/>
        <w:t>报告指出（见第二部分，第3条），联邦卫生部开展了一系列活动，包括培训方案和在“禁止切割女性生殖器官日”举行活动。请提供资料，说明这些活动以及方框3.1所列方案对减少和消除有害和消极的社会文化模式特别是切割女性生殖器官的影响。另请说明是否对方框3.1提及的活动和方案采取了后续行动。</w:t>
      </w:r>
    </w:p>
    <w:p w:rsidR="00D338DB" w:rsidRDefault="00D338DB" w:rsidP="000F3767">
      <w:pPr>
        <w:pStyle w:val="SingleTxt"/>
        <w:spacing w:after="160" w:line="330" w:lineRule="exact"/>
        <w:rPr>
          <w:rFonts w:hint="eastAsia"/>
        </w:rPr>
      </w:pPr>
      <w:r>
        <w:rPr>
          <w:rFonts w:hint="eastAsia"/>
        </w:rPr>
        <w:t>8.</w:t>
      </w:r>
      <w:r>
        <w:rPr>
          <w:rFonts w:hint="eastAsia"/>
        </w:rPr>
        <w:tab/>
        <w:t xml:space="preserve">报告指出（第二部分，第10.3段），报告所述期间，男孩总入学率高于女孩，继续学业率方面的性别差异持续存在（见表10.3和表10.4）。请说明是否制订了评价女孩教育普及率和完成学业情况的标准，以及实现这些目标的进展情况。  </w:t>
      </w:r>
    </w:p>
    <w:p w:rsidR="00D338DB" w:rsidRDefault="00D338DB" w:rsidP="000F3767">
      <w:pPr>
        <w:pStyle w:val="SingleTxt"/>
        <w:spacing w:after="160" w:line="330" w:lineRule="exact"/>
        <w:rPr>
          <w:rFonts w:hint="eastAsia"/>
        </w:rPr>
      </w:pPr>
      <w:r>
        <w:rPr>
          <w:rFonts w:hint="eastAsia"/>
        </w:rPr>
        <w:t>9.</w:t>
      </w:r>
      <w:r>
        <w:rPr>
          <w:rFonts w:hint="eastAsia"/>
        </w:rPr>
        <w:tab/>
        <w:t>报告指出（第二部分，第10.5段），在所有36个州建立妇女发展中心为辍学少女提供了继续接受非正规教育的机会。请说明已采取的措施产生的影响，并说明预期目标是否实现。</w:t>
      </w:r>
    </w:p>
    <w:p w:rsidR="00D338DB" w:rsidRDefault="00D338DB" w:rsidP="000F3767">
      <w:pPr>
        <w:pStyle w:val="SingleTxt"/>
        <w:spacing w:after="160" w:line="330" w:lineRule="exact"/>
        <w:rPr>
          <w:rFonts w:hint="eastAsia"/>
        </w:rPr>
      </w:pPr>
      <w:r>
        <w:rPr>
          <w:rFonts w:hint="eastAsia"/>
        </w:rPr>
        <w:t>10.</w:t>
      </w:r>
      <w:r>
        <w:rPr>
          <w:rFonts w:hint="eastAsia"/>
        </w:rPr>
        <w:tab/>
        <w:t>报告（第二部分，第10.8段）指出，政府已采取措施加紧征聘合格教师。根据2003年的数据，男女教师人数相差很大，其中包括中学教师。请提供更多资料，介绍为纠正这种情况采取的措施，包括根据《公约》第四条第1款采取的暂行特别措施，以尽快增加各级女教师的人数。</w:t>
      </w:r>
    </w:p>
    <w:p w:rsidR="000F3767" w:rsidRDefault="000F3767" w:rsidP="000F37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p>
    <w:p w:rsidR="00D338DB" w:rsidRDefault="000F3767" w:rsidP="000F37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r>
      <w:r w:rsidR="00D338DB">
        <w:rPr>
          <w:rFonts w:hint="eastAsia"/>
        </w:rPr>
        <w:t>暴力侵害妇女行为</w:t>
      </w:r>
    </w:p>
    <w:p w:rsidR="000F3767" w:rsidRPr="000F3767" w:rsidRDefault="000F3767" w:rsidP="000F3767">
      <w:pPr>
        <w:pStyle w:val="SingleTxt"/>
        <w:spacing w:after="0" w:line="120" w:lineRule="exact"/>
        <w:rPr>
          <w:rFonts w:hint="eastAsia"/>
          <w:sz w:val="10"/>
        </w:rPr>
      </w:pPr>
    </w:p>
    <w:p w:rsidR="00D338DB" w:rsidRDefault="00D338DB" w:rsidP="000F3767">
      <w:pPr>
        <w:pStyle w:val="SingleTxt"/>
        <w:spacing w:line="322" w:lineRule="exact"/>
        <w:rPr>
          <w:rFonts w:hint="eastAsia"/>
        </w:rPr>
      </w:pPr>
      <w:r>
        <w:rPr>
          <w:rFonts w:hint="eastAsia"/>
        </w:rPr>
        <w:t>11.</w:t>
      </w:r>
      <w:r>
        <w:rPr>
          <w:rFonts w:hint="eastAsia"/>
        </w:rPr>
        <w:tab/>
        <w:t>报告提供了一些资料（表3.2），介绍暴力侵害妇女案件的情况。请提供资料介绍国家及州在收集一切形式的暴力侵害妇女行为数据方面所做的努力，包括可能已经进行的以人口为基础的调查。</w:t>
      </w:r>
    </w:p>
    <w:p w:rsidR="00D338DB" w:rsidRDefault="00D338DB" w:rsidP="000F3767">
      <w:pPr>
        <w:pStyle w:val="SingleTxt"/>
        <w:spacing w:line="322" w:lineRule="exact"/>
        <w:rPr>
          <w:rFonts w:hint="eastAsia"/>
        </w:rPr>
      </w:pPr>
      <w:r>
        <w:rPr>
          <w:rFonts w:hint="eastAsia"/>
        </w:rPr>
        <w:t>12.</w:t>
      </w:r>
      <w:r>
        <w:rPr>
          <w:rFonts w:hint="eastAsia"/>
        </w:rPr>
        <w:tab/>
        <w:t>报告指出（第二部分，第3.8.1段），尽管不断做出努力，尼日利亚仍然存在各种形式的暴力侵害妇女行为，方框3.4突出显示了这一点。请说明政府是否打算通过一份综合计划或战略来打击一切形式的暴力侵害妇女和女孩行为。</w:t>
      </w:r>
    </w:p>
    <w:p w:rsidR="00D338DB" w:rsidRDefault="000F3767" w:rsidP="000F37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r>
      <w:r w:rsidR="00D338DB">
        <w:rPr>
          <w:rFonts w:hint="eastAsia"/>
        </w:rPr>
        <w:t>贩运和利用妇女卖淫营利</w:t>
      </w:r>
    </w:p>
    <w:p w:rsidR="000F3767" w:rsidRPr="000F3767" w:rsidRDefault="000F3767" w:rsidP="000F3767">
      <w:pPr>
        <w:pStyle w:val="SingleTxt"/>
        <w:spacing w:after="0" w:line="120" w:lineRule="exact"/>
        <w:rPr>
          <w:rFonts w:hint="eastAsia"/>
          <w:sz w:val="10"/>
        </w:rPr>
      </w:pPr>
    </w:p>
    <w:p w:rsidR="00D338DB" w:rsidRDefault="00D338DB" w:rsidP="000F3767">
      <w:pPr>
        <w:pStyle w:val="SingleTxt"/>
        <w:spacing w:line="322" w:lineRule="exact"/>
        <w:rPr>
          <w:rFonts w:hint="eastAsia"/>
        </w:rPr>
      </w:pPr>
      <w:r>
        <w:rPr>
          <w:rFonts w:hint="eastAsia"/>
        </w:rPr>
        <w:t>13.</w:t>
      </w:r>
      <w:r>
        <w:rPr>
          <w:rFonts w:hint="eastAsia"/>
        </w:rPr>
        <w:tab/>
        <w:t>报告指出（第二部分，第6.1段），在制止贩运妇女儿童方面取得的重大突破是2003年《（禁止）贩运人口法的执行和行政法》的颁布。请提供资料说明如何监测该法的执行情况。并请提供资料介绍依据该法已调查案件的数量、成功起诉的案件的数量以及对罪犯的判决情况。</w:t>
      </w:r>
    </w:p>
    <w:p w:rsidR="00D338DB" w:rsidRDefault="000F3767" w:rsidP="000F37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r>
      <w:r w:rsidR="00D338DB">
        <w:rPr>
          <w:rFonts w:hint="eastAsia"/>
        </w:rPr>
        <w:t>妇女参与政治生活和公共生活</w:t>
      </w:r>
    </w:p>
    <w:p w:rsidR="000F3767" w:rsidRPr="000F3767" w:rsidRDefault="000F3767" w:rsidP="000F3767">
      <w:pPr>
        <w:pStyle w:val="SingleTxt"/>
        <w:spacing w:after="0" w:line="120" w:lineRule="exact"/>
        <w:rPr>
          <w:rFonts w:hint="eastAsia"/>
          <w:sz w:val="10"/>
        </w:rPr>
      </w:pPr>
    </w:p>
    <w:p w:rsidR="00D338DB" w:rsidRDefault="00D338DB" w:rsidP="000F3767">
      <w:pPr>
        <w:pStyle w:val="SingleTxt"/>
        <w:spacing w:line="322" w:lineRule="exact"/>
        <w:rPr>
          <w:rFonts w:hint="eastAsia"/>
        </w:rPr>
      </w:pPr>
      <w:r>
        <w:rPr>
          <w:rFonts w:hint="eastAsia"/>
        </w:rPr>
        <w:t>14.</w:t>
      </w:r>
      <w:r w:rsidR="000F3767">
        <w:rPr>
          <w:rFonts w:hint="eastAsia"/>
        </w:rPr>
        <w:tab/>
      </w:r>
      <w:r>
        <w:rPr>
          <w:rFonts w:hint="eastAsia"/>
        </w:rPr>
        <w:t>报告（第二部分，第4.2段）指出，政府已采取特别措施确保通过平等权利行动保障男女平等。但是，表7.1显示，妇女参与选举/任命职位，特别是国民议会上下院，即参议院和联邦众议院以及地方政府一级这类职位的决策人数仍然很少。政府根据《公约》第四条第1款以及委员会关于暂行特别措施的一般性建议25和关于妇女参与政治和公共生活的一般性建议23，采取了哪些措施来增加妇女在上述领域的任职人数？</w:t>
      </w:r>
    </w:p>
    <w:p w:rsidR="00D338DB" w:rsidRDefault="00D338DB" w:rsidP="000F3767">
      <w:pPr>
        <w:pStyle w:val="SingleTxt"/>
        <w:spacing w:line="322" w:lineRule="exact"/>
        <w:rPr>
          <w:rFonts w:hint="eastAsia"/>
        </w:rPr>
      </w:pPr>
      <w:r>
        <w:rPr>
          <w:rFonts w:hint="eastAsia"/>
        </w:rPr>
        <w:t>15.</w:t>
      </w:r>
      <w:r>
        <w:rPr>
          <w:rFonts w:hint="eastAsia"/>
        </w:rPr>
        <w:tab/>
        <w:t>第二部分第7.2段提及的全国政治改革会议取得了什么成果，这种成果对《公约》第七条的执行工作有何影响？请介绍上述会议如何采纳女性利益攸关方提出的建议。</w:t>
      </w:r>
    </w:p>
    <w:p w:rsidR="00D338DB" w:rsidRDefault="000F3767" w:rsidP="000F37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r>
      <w:r w:rsidR="00D338DB">
        <w:rPr>
          <w:rFonts w:hint="eastAsia"/>
        </w:rPr>
        <w:t>就业、贫穷和农村妇女</w:t>
      </w:r>
    </w:p>
    <w:p w:rsidR="000F3767" w:rsidRPr="000F3767" w:rsidRDefault="000F3767" w:rsidP="000F3767">
      <w:pPr>
        <w:pStyle w:val="SingleTxt"/>
        <w:spacing w:after="0" w:line="120" w:lineRule="exact"/>
        <w:rPr>
          <w:rFonts w:hint="eastAsia"/>
          <w:sz w:val="10"/>
        </w:rPr>
      </w:pPr>
    </w:p>
    <w:p w:rsidR="00D338DB" w:rsidRDefault="00D338DB" w:rsidP="000F3767">
      <w:pPr>
        <w:pStyle w:val="SingleTxt"/>
        <w:spacing w:line="322" w:lineRule="exact"/>
        <w:rPr>
          <w:rFonts w:hint="eastAsia"/>
        </w:rPr>
      </w:pPr>
      <w:r>
        <w:rPr>
          <w:rFonts w:hint="eastAsia"/>
        </w:rPr>
        <w:t>16.</w:t>
      </w:r>
      <w:r>
        <w:rPr>
          <w:rFonts w:hint="eastAsia"/>
        </w:rPr>
        <w:tab/>
        <w:t xml:space="preserve">报告指出，关于《公约》第十一条，仍然普遍存在对妇女的排斥和歧视。请提供资料说明目前有哪些机制可用来反对工作场所的歧视，并请说明过去此类歧视是否遭到过反对。如果是，结果如何？　</w:t>
      </w:r>
    </w:p>
    <w:p w:rsidR="00D338DB" w:rsidRDefault="00D338DB" w:rsidP="000F3767">
      <w:pPr>
        <w:pStyle w:val="SingleTxt"/>
        <w:spacing w:line="322" w:lineRule="exact"/>
        <w:rPr>
          <w:rFonts w:hint="eastAsia"/>
        </w:rPr>
      </w:pPr>
      <w:r>
        <w:rPr>
          <w:rFonts w:hint="eastAsia"/>
        </w:rPr>
        <w:t>17.</w:t>
      </w:r>
      <w:r>
        <w:rPr>
          <w:rFonts w:hint="eastAsia"/>
        </w:rPr>
        <w:tab/>
        <w:t>请提供按性别和长期趋势分列的最新统计资料，说明公共部门和私营部门中妇女劳动力总量。并请提供资料介绍私营部门和公共部门中男女工资差距，同时说明有无同工同酬法律及其执行办法。</w:t>
      </w:r>
    </w:p>
    <w:p w:rsidR="00D338DB" w:rsidRDefault="00D338DB" w:rsidP="000F3767">
      <w:pPr>
        <w:pStyle w:val="SingleTxt"/>
        <w:spacing w:line="322" w:lineRule="exact"/>
        <w:rPr>
          <w:rFonts w:hint="eastAsia"/>
        </w:rPr>
      </w:pPr>
      <w:r>
        <w:rPr>
          <w:rFonts w:hint="eastAsia"/>
        </w:rPr>
        <w:t>18.</w:t>
      </w:r>
      <w:r>
        <w:rPr>
          <w:rFonts w:hint="eastAsia"/>
        </w:rPr>
        <w:tab/>
        <w:t xml:space="preserve">报告没有提供资料介绍非正规部门妇女情况。请提供这方面资料，包括为支助女企业家而制订的措施，以及促进加强女工群体社会保障的措施。 </w:t>
      </w:r>
    </w:p>
    <w:p w:rsidR="00D338DB" w:rsidRDefault="00D338DB" w:rsidP="000F3767">
      <w:pPr>
        <w:pStyle w:val="SingleTxt"/>
        <w:snapToGrid w:val="0"/>
        <w:spacing w:line="330" w:lineRule="exact"/>
        <w:rPr>
          <w:rFonts w:hint="eastAsia"/>
        </w:rPr>
      </w:pPr>
      <w:r>
        <w:rPr>
          <w:rFonts w:hint="eastAsia"/>
        </w:rPr>
        <w:t>19.</w:t>
      </w:r>
      <w:r>
        <w:rPr>
          <w:rFonts w:hint="eastAsia"/>
        </w:rPr>
        <w:tab/>
        <w:t>报告指出（第二部分，第11.2段），尼日利亚劳动大会于2003年2月通过一项两性公平政策。请介绍这项政策对妇女参与劳动力市场的影响。就政府及私营部门就业而言，这项政策的规定同样适用吗？</w:t>
      </w:r>
    </w:p>
    <w:p w:rsidR="00D338DB" w:rsidRDefault="00D338DB" w:rsidP="000F3767">
      <w:pPr>
        <w:pStyle w:val="SingleTxt"/>
        <w:snapToGrid w:val="0"/>
        <w:spacing w:line="330" w:lineRule="exact"/>
        <w:rPr>
          <w:rFonts w:hint="eastAsia"/>
        </w:rPr>
      </w:pPr>
      <w:r>
        <w:rPr>
          <w:rFonts w:hint="eastAsia"/>
        </w:rPr>
        <w:t>20.</w:t>
      </w:r>
      <w:r>
        <w:rPr>
          <w:rFonts w:hint="eastAsia"/>
        </w:rPr>
        <w:tab/>
        <w:t xml:space="preserve">报告审议了国家、州和地方各级为消除弱势群体的贫穷、提高其生活质量和为其构建社会安全网而制订的各项政策，例如《国家赋予经济权力和发展战略》、《州赋予经济权力和发展战略》和《地方政府赋予经济权力和发展战略》。请说明这些政策如何纳入社会性别观点，如何促进《公约》的执行工作。另请说明为了维护妇女利益，如何监测这些政策的执行情况。　</w:t>
      </w:r>
    </w:p>
    <w:p w:rsidR="00D338DB" w:rsidRDefault="00D338DB" w:rsidP="000F3767">
      <w:pPr>
        <w:pStyle w:val="SingleTxt"/>
        <w:snapToGrid w:val="0"/>
        <w:spacing w:line="330" w:lineRule="exact"/>
        <w:rPr>
          <w:rFonts w:hint="eastAsia"/>
        </w:rPr>
      </w:pPr>
      <w:r>
        <w:rPr>
          <w:rFonts w:hint="eastAsia"/>
        </w:rPr>
        <w:t>21.</w:t>
      </w:r>
      <w:r>
        <w:rPr>
          <w:rFonts w:hint="eastAsia"/>
        </w:rPr>
        <w:tab/>
        <w:t xml:space="preserve">报告介绍了《公约》第十四条执行进展情况以及面临的挑战。政府正采取什么措施保证农村妇女充分受益于相关的农村发展战略，包括在教育、保健和经济发展以及参与决策等领域？现有哪些措施用来加强农村妇女诉诸司法渠道以及获取信息、现代技术和土地的权利？　</w:t>
      </w:r>
    </w:p>
    <w:p w:rsidR="00D338DB" w:rsidRDefault="000F3767" w:rsidP="000F37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r>
      <w:r w:rsidR="00D338DB">
        <w:rPr>
          <w:rFonts w:hint="eastAsia"/>
        </w:rPr>
        <w:t>保健</w:t>
      </w:r>
    </w:p>
    <w:p w:rsidR="000F3767" w:rsidRPr="000F3767" w:rsidRDefault="000F3767" w:rsidP="000F3767">
      <w:pPr>
        <w:pStyle w:val="SingleTxt"/>
        <w:spacing w:after="0" w:line="120" w:lineRule="exact"/>
        <w:rPr>
          <w:rFonts w:hint="eastAsia"/>
          <w:sz w:val="10"/>
        </w:rPr>
      </w:pPr>
    </w:p>
    <w:p w:rsidR="00D338DB" w:rsidRDefault="00D338DB" w:rsidP="000F3767">
      <w:pPr>
        <w:pStyle w:val="SingleTxt"/>
        <w:spacing w:line="330" w:lineRule="exact"/>
        <w:rPr>
          <w:rFonts w:hint="eastAsia"/>
        </w:rPr>
      </w:pPr>
      <w:r>
        <w:rPr>
          <w:rFonts w:hint="eastAsia"/>
        </w:rPr>
        <w:t>22.</w:t>
      </w:r>
      <w:r>
        <w:rPr>
          <w:rFonts w:hint="eastAsia"/>
        </w:rPr>
        <w:tab/>
        <w:t>报告指出，孕产妇死亡率仍然很高，特别是在农村地区。现已采取了哪些措施来减少较高的孕产妇死亡率，消除国内的差异，以及农村与城市地区之间的差异？请说明已经采取或计划采取哪些步骤增加初级保健设施数量和提高其利用率，特别是在农村地区。</w:t>
      </w:r>
    </w:p>
    <w:p w:rsidR="00D338DB" w:rsidRDefault="00D338DB" w:rsidP="000F3767">
      <w:pPr>
        <w:pStyle w:val="SingleTxt"/>
        <w:spacing w:line="330" w:lineRule="exact"/>
        <w:rPr>
          <w:rFonts w:hint="eastAsia"/>
        </w:rPr>
      </w:pPr>
      <w:r>
        <w:rPr>
          <w:rFonts w:hint="eastAsia"/>
        </w:rPr>
        <w:t>23.</w:t>
      </w:r>
      <w:r w:rsidR="00D535EF">
        <w:rPr>
          <w:rFonts w:hint="eastAsia"/>
        </w:rPr>
        <w:tab/>
      </w:r>
      <w:r>
        <w:rPr>
          <w:rFonts w:hint="eastAsia"/>
        </w:rPr>
        <w:t>报告指出，本届政府出台的卫生部门改革中期行动计划仍在实施当中。政府如何监测该计划中妇女保健部分的执行情况，如何评估在报告所述七个关键领域切实取得的改进（第二部分，第12.2</w:t>
      </w:r>
      <w:r w:rsidR="00D535EF">
        <w:rPr>
          <w:rFonts w:hint="eastAsia"/>
        </w:rPr>
        <w:t>段）？</w:t>
      </w:r>
    </w:p>
    <w:p w:rsidR="00D338DB" w:rsidRDefault="00D338DB" w:rsidP="000F3767">
      <w:pPr>
        <w:pStyle w:val="SingleTxt"/>
        <w:spacing w:line="330" w:lineRule="exact"/>
        <w:rPr>
          <w:rFonts w:hint="eastAsia"/>
        </w:rPr>
      </w:pPr>
      <w:r>
        <w:rPr>
          <w:rFonts w:hint="eastAsia"/>
        </w:rPr>
        <w:t>24.</w:t>
      </w:r>
      <w:r>
        <w:rPr>
          <w:rFonts w:hint="eastAsia"/>
        </w:rPr>
        <w:tab/>
        <w:t>报告指出了目前为防止艾滋病毒/艾滋病蔓延而制订的措施和政策。请介绍在联邦、州和地方各级通过的这些战略、政策、机制和方案的影响和结果，并说明各项战略如何增强妇女自身有效防止这一流行病的能力。</w:t>
      </w:r>
    </w:p>
    <w:p w:rsidR="00D338DB" w:rsidRDefault="000F3767" w:rsidP="000F37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r>
      <w:r w:rsidR="00D338DB">
        <w:rPr>
          <w:rFonts w:hint="eastAsia"/>
        </w:rPr>
        <w:t>婚姻和家庭关系</w:t>
      </w:r>
    </w:p>
    <w:p w:rsidR="000F3767" w:rsidRPr="000F3767" w:rsidRDefault="000F3767" w:rsidP="000F3767">
      <w:pPr>
        <w:pStyle w:val="SingleTxt"/>
        <w:spacing w:after="0" w:line="120" w:lineRule="exact"/>
        <w:rPr>
          <w:rFonts w:hint="eastAsia"/>
          <w:sz w:val="10"/>
        </w:rPr>
      </w:pPr>
    </w:p>
    <w:p w:rsidR="00D338DB" w:rsidRDefault="00D338DB" w:rsidP="000F3767">
      <w:pPr>
        <w:pStyle w:val="SingleTxt"/>
        <w:spacing w:line="330" w:lineRule="exact"/>
        <w:rPr>
          <w:rFonts w:hint="eastAsia"/>
        </w:rPr>
      </w:pPr>
      <w:r>
        <w:rPr>
          <w:rFonts w:hint="eastAsia"/>
        </w:rPr>
        <w:t>25.</w:t>
      </w:r>
      <w:r>
        <w:rPr>
          <w:rFonts w:hint="eastAsia"/>
        </w:rPr>
        <w:tab/>
        <w:t>报告指出（第二部分，第16条），尼日利亚同时存在着三种婚姻形式，分别以民法、宗教法和习惯法为基础。请解释政府计划如何使民法、宗教法和习惯法与《公约》保持一致，特别是涉及《公约》第十六条方面。</w:t>
      </w:r>
    </w:p>
    <w:p w:rsidR="00D338DB" w:rsidRDefault="00D338DB" w:rsidP="000F3767">
      <w:pPr>
        <w:pStyle w:val="SingleTxt"/>
        <w:spacing w:line="330" w:lineRule="exact"/>
        <w:rPr>
          <w:rFonts w:hint="eastAsia"/>
        </w:rPr>
      </w:pPr>
      <w:r>
        <w:rPr>
          <w:rFonts w:hint="eastAsia"/>
        </w:rPr>
        <w:t>26.</w:t>
      </w:r>
      <w:r>
        <w:rPr>
          <w:rFonts w:hint="eastAsia"/>
        </w:rPr>
        <w:tab/>
        <w:t>报告指出，联邦至少有10个州实施了《儿童权利法案》的条款，其中规定最低结婚和订婚年龄为18岁（第二部分，第16.1段）。请详细介绍政府做出了哪些努力，包括正在审议的法律草案，以期依照《公约》第十六条和《儿童权利公约》确保将全国妇女和男子的最低结婚年龄提高到18岁。</w:t>
      </w:r>
    </w:p>
    <w:p w:rsidR="000F3767" w:rsidRDefault="000F3767" w:rsidP="000F37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p>
    <w:p w:rsidR="00D338DB" w:rsidRDefault="000F3767" w:rsidP="000F37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r>
      <w:r w:rsidR="00D338DB">
        <w:rPr>
          <w:rFonts w:hint="eastAsia"/>
        </w:rPr>
        <w:t>任择议定书及对第二十条第1款的修正</w:t>
      </w:r>
    </w:p>
    <w:p w:rsidR="000F3767" w:rsidRPr="000F3767" w:rsidRDefault="000F3767" w:rsidP="000F3767">
      <w:pPr>
        <w:pStyle w:val="SingleTxt"/>
        <w:spacing w:after="0" w:line="120" w:lineRule="exact"/>
        <w:rPr>
          <w:rFonts w:hint="eastAsia"/>
          <w:sz w:val="10"/>
        </w:rPr>
      </w:pPr>
    </w:p>
    <w:p w:rsidR="00D338DB" w:rsidRDefault="00D338DB" w:rsidP="00D338DB">
      <w:pPr>
        <w:pStyle w:val="SingleTxt"/>
        <w:rPr>
          <w:rFonts w:hint="eastAsia"/>
        </w:rPr>
      </w:pPr>
      <w:r>
        <w:rPr>
          <w:rFonts w:hint="eastAsia"/>
        </w:rPr>
        <w:t>27.</w:t>
      </w:r>
      <w:r>
        <w:rPr>
          <w:rFonts w:hint="eastAsia"/>
        </w:rPr>
        <w:tab/>
        <w:t>请提供资料，说明采取了哪些措施来广泛宣传尼日利亚于2004年11月22日批准的《公约任择议定书》。另请说明在接受对《公约》第二十条第1款的修正方面取得的进展。</w:t>
      </w:r>
    </w:p>
    <w:p w:rsidR="000F3767" w:rsidRPr="000F3767" w:rsidRDefault="000F3767" w:rsidP="000F3767">
      <w:pPr>
        <w:pStyle w:val="SingleTxt"/>
        <w:spacing w:after="0" w:line="240" w:lineRule="auto"/>
        <w:rPr>
          <w:rFonts w:hint="eastAsia"/>
          <w:sz w:val="20"/>
        </w:rPr>
      </w:pPr>
      <w:r>
        <w:rPr>
          <w:rFonts w:hint="eastAsia"/>
          <w:noProof/>
          <w:sz w:val="20"/>
        </w:rPr>
        <w:pict>
          <v:line id="_x0000_s1026" style="position:absolute;left:0;text-align:left;z-index:1;mso-position-horizontal:center" from="0,30pt" to="1in,30pt" strokeweight=".25pt">
            <w10:anchorlock/>
          </v:line>
        </w:pict>
      </w:r>
    </w:p>
    <w:p w:rsidR="00EA31C3" w:rsidRPr="007B684B" w:rsidRDefault="00EA31C3" w:rsidP="00D338DB">
      <w:pPr>
        <w:pStyle w:val="SingleTxt"/>
        <w:rPr>
          <w:rFonts w:hint="eastAsia"/>
        </w:rPr>
      </w:pPr>
    </w:p>
    <w:sectPr w:rsidR="00EA31C3" w:rsidRPr="007B684B" w:rsidSect="007B684B">
      <w:type w:val="continuous"/>
      <w:pgSz w:w="12240" w:h="15840" w:code="1"/>
      <w:pgMar w:top="1742" w:right="1195" w:bottom="1898" w:left="1195"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10-10T22:46:00Z" w:initials="Start">
    <w:p w:rsidR="00A9104B" w:rsidRDefault="00A9104B">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NO&gt;&gt;N0752013C&lt;&lt;ODS JOB NO&gt;&gt;</w:t>
      </w:r>
    </w:p>
    <w:p w:rsidR="00A9104B" w:rsidRDefault="00A9104B">
      <w:pPr>
        <w:pStyle w:val="CommentText"/>
      </w:pPr>
      <w:r>
        <w:t>&lt;&lt;ODS DOC SYMBOL1&gt;&gt;CEDAW/C/NGA/Q/6&lt;&lt;ODS DOC SYMBOL1&gt;&gt;</w:t>
      </w:r>
    </w:p>
    <w:p w:rsidR="00A9104B" w:rsidRDefault="00A9104B">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9AE" w:rsidRDefault="009879AE" w:rsidP="007B684B">
      <w:pPr>
        <w:pStyle w:val="Header"/>
      </w:pPr>
      <w:r>
        <w:separator/>
      </w:r>
    </w:p>
  </w:endnote>
  <w:endnote w:type="continuationSeparator" w:id="0">
    <w:p w:rsidR="009879AE" w:rsidRDefault="009879AE" w:rsidP="007B684B">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A9104B" w:rsidTr="007B684B">
      <w:tblPrEx>
        <w:tblCellMar>
          <w:top w:w="0" w:type="dxa"/>
          <w:bottom w:w="0" w:type="dxa"/>
        </w:tblCellMar>
      </w:tblPrEx>
      <w:tc>
        <w:tcPr>
          <w:tcW w:w="5033" w:type="dxa"/>
          <w:shd w:val="clear" w:color="auto" w:fill="auto"/>
        </w:tcPr>
        <w:p w:rsidR="00A9104B" w:rsidRPr="007B684B" w:rsidRDefault="00A9104B" w:rsidP="007B684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B79D4">
            <w:rPr>
              <w:b w:val="0"/>
              <w:w w:val="103"/>
              <w:sz w:val="14"/>
            </w:rPr>
            <w:t>07-52013</w:t>
          </w:r>
          <w:r>
            <w:rPr>
              <w:b w:val="0"/>
              <w:w w:val="103"/>
              <w:sz w:val="14"/>
            </w:rPr>
            <w:fldChar w:fldCharType="end"/>
          </w:r>
        </w:p>
      </w:tc>
      <w:tc>
        <w:tcPr>
          <w:tcW w:w="5033" w:type="dxa"/>
          <w:shd w:val="clear" w:color="auto" w:fill="auto"/>
        </w:tcPr>
        <w:p w:rsidR="00A9104B" w:rsidRPr="007B684B" w:rsidRDefault="00A9104B" w:rsidP="007B684B">
          <w:pPr>
            <w:pStyle w:val="Footer"/>
            <w:jc w:val="left"/>
            <w:rPr>
              <w:w w:val="103"/>
              <w:sz w:val="17"/>
            </w:rPr>
          </w:pPr>
          <w:r>
            <w:rPr>
              <w:w w:val="103"/>
              <w:sz w:val="17"/>
            </w:rPr>
            <w:fldChar w:fldCharType="begin"/>
          </w:r>
          <w:r>
            <w:rPr>
              <w:w w:val="103"/>
              <w:sz w:val="17"/>
            </w:rPr>
            <w:instrText xml:space="preserve"> PAGE  \* MERGEFORMAT </w:instrText>
          </w:r>
          <w:r>
            <w:rPr>
              <w:w w:val="103"/>
              <w:sz w:val="17"/>
            </w:rPr>
            <w:fldChar w:fldCharType="separate"/>
          </w:r>
          <w:r w:rsidR="00BB79D4">
            <w:rPr>
              <w:w w:val="103"/>
              <w:sz w:val="17"/>
            </w:rPr>
            <w:t>4</w:t>
          </w:r>
          <w:r>
            <w:rPr>
              <w:w w:val="103"/>
              <w:sz w:val="17"/>
            </w:rPr>
            <w:fldChar w:fldCharType="end"/>
          </w:r>
        </w:p>
      </w:tc>
    </w:tr>
  </w:tbl>
  <w:p w:rsidR="00A9104B" w:rsidRPr="007B684B" w:rsidRDefault="00A9104B" w:rsidP="007B68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A9104B" w:rsidTr="007B684B">
      <w:tblPrEx>
        <w:tblCellMar>
          <w:top w:w="0" w:type="dxa"/>
          <w:bottom w:w="0" w:type="dxa"/>
        </w:tblCellMar>
      </w:tblPrEx>
      <w:tc>
        <w:tcPr>
          <w:tcW w:w="5033" w:type="dxa"/>
          <w:shd w:val="clear" w:color="auto" w:fill="auto"/>
        </w:tcPr>
        <w:p w:rsidR="00A9104B" w:rsidRPr="007B684B" w:rsidRDefault="00A9104B" w:rsidP="007B684B">
          <w:pPr>
            <w:pStyle w:val="Footer"/>
            <w:jc w:val="right"/>
          </w:pPr>
          <w:r>
            <w:fldChar w:fldCharType="begin"/>
          </w:r>
          <w:r>
            <w:instrText xml:space="preserve"> PAGE  \* MERGEFORMAT </w:instrText>
          </w:r>
          <w:r>
            <w:fldChar w:fldCharType="separate"/>
          </w:r>
          <w:r w:rsidR="00BB79D4">
            <w:t>5</w:t>
          </w:r>
          <w:r>
            <w:fldChar w:fldCharType="end"/>
          </w:r>
        </w:p>
      </w:tc>
      <w:tc>
        <w:tcPr>
          <w:tcW w:w="5033" w:type="dxa"/>
          <w:shd w:val="clear" w:color="auto" w:fill="auto"/>
        </w:tcPr>
        <w:p w:rsidR="00A9104B" w:rsidRPr="007B684B" w:rsidRDefault="00A9104B" w:rsidP="007B684B">
          <w:pPr>
            <w:pStyle w:val="Footer"/>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B79D4">
            <w:rPr>
              <w:b w:val="0"/>
              <w:w w:val="103"/>
              <w:sz w:val="14"/>
            </w:rPr>
            <w:t>07-52013</w:t>
          </w:r>
          <w:r>
            <w:rPr>
              <w:b w:val="0"/>
              <w:w w:val="103"/>
              <w:sz w:val="14"/>
            </w:rPr>
            <w:fldChar w:fldCharType="end"/>
          </w:r>
        </w:p>
      </w:tc>
    </w:tr>
  </w:tbl>
  <w:p w:rsidR="00A9104B" w:rsidRPr="007B684B" w:rsidRDefault="00A9104B" w:rsidP="007B68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04B" w:rsidRDefault="00A9104B" w:rsidP="007B684B">
    <w:pPr>
      <w:pStyle w:val="Footer"/>
      <w:rPr>
        <w:b w:val="0"/>
        <w:sz w:val="21"/>
      </w:rPr>
    </w:pPr>
    <w:r>
      <w:rPr>
        <w:b w:val="0"/>
        <w:sz w:val="21"/>
      </w:rPr>
      <w:fldChar w:fldCharType="begin"/>
    </w:r>
    <w:r>
      <w:rPr>
        <w:b w:val="0"/>
        <w:sz w:val="21"/>
      </w:rPr>
      <w:instrText xml:space="preserve"> DOCVARIABLE "jobn" \* MERGEFORMAT </w:instrText>
    </w:r>
    <w:r>
      <w:rPr>
        <w:b w:val="0"/>
        <w:sz w:val="21"/>
      </w:rPr>
      <w:fldChar w:fldCharType="separate"/>
    </w:r>
    <w:r w:rsidR="00BB79D4">
      <w:rPr>
        <w:b w:val="0"/>
        <w:sz w:val="21"/>
      </w:rPr>
      <w:t>07-52013 (C)</w:t>
    </w:r>
    <w:r>
      <w:rPr>
        <w:b w:val="0"/>
        <w:sz w:val="21"/>
      </w:rPr>
      <w:fldChar w:fldCharType="end"/>
    </w:r>
    <w:r>
      <w:rPr>
        <w:b w:val="0"/>
        <w:sz w:val="21"/>
      </w:rPr>
      <w:t xml:space="preserve">    101007    1</w:t>
    </w:r>
    <w:r>
      <w:rPr>
        <w:rFonts w:hint="eastAsia"/>
        <w:b w:val="0"/>
        <w:sz w:val="21"/>
      </w:rPr>
      <w:t>7</w:t>
    </w:r>
    <w:r>
      <w:rPr>
        <w:b w:val="0"/>
        <w:sz w:val="21"/>
      </w:rPr>
      <w:t>1007</w:t>
    </w:r>
  </w:p>
  <w:p w:rsidR="00A9104B" w:rsidRPr="007B684B" w:rsidRDefault="00A9104B" w:rsidP="007B684B">
    <w:pPr>
      <w:spacing w:before="80" w:line="210" w:lineRule="exact"/>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BB79D4">
      <w:rPr>
        <w:rFonts w:ascii="Barcode 3 of 9 by request" w:hAnsi="Barcode 3 of 9 by request"/>
        <w:sz w:val="24"/>
      </w:rPr>
      <w:t>*0752013*</w:t>
    </w:r>
    <w:r>
      <w:rPr>
        <w:rFonts w:ascii="Barcode 3 of 9 by request" w:hAnsi="Barcode 3 of 9 by request"/>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9AE" w:rsidRPr="00FE7089" w:rsidRDefault="009879AE" w:rsidP="00FE7089">
      <w:pPr>
        <w:pStyle w:val="Footer"/>
        <w:spacing w:after="80"/>
        <w:ind w:left="792"/>
        <w:rPr>
          <w:sz w:val="16"/>
        </w:rPr>
      </w:pPr>
      <w:r w:rsidRPr="00FE7089">
        <w:rPr>
          <w:sz w:val="16"/>
        </w:rPr>
        <w:t>__________________</w:t>
      </w:r>
    </w:p>
  </w:footnote>
  <w:footnote w:type="continuationSeparator" w:id="0">
    <w:p w:rsidR="009879AE" w:rsidRPr="00FE7089" w:rsidRDefault="009879AE" w:rsidP="00FE7089">
      <w:pPr>
        <w:pStyle w:val="Footer"/>
        <w:spacing w:after="80"/>
        <w:ind w:left="792"/>
        <w:rPr>
          <w:sz w:val="16"/>
        </w:rPr>
      </w:pPr>
      <w:r w:rsidRPr="00FE7089">
        <w:rPr>
          <w:sz w:val="16"/>
        </w:rPr>
        <w:t>__________________</w:t>
      </w:r>
    </w:p>
  </w:footnote>
  <w:footnote w:id="1">
    <w:p w:rsidR="00A9104B" w:rsidRPr="00FE7089" w:rsidRDefault="00A9104B" w:rsidP="00FE708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FE7089">
        <w:rPr>
          <w:rFonts w:hint="eastAsia"/>
        </w:rPr>
        <w:t>《大会正式记录，第五十九届会议》</w:t>
      </w:r>
      <w:r>
        <w:rPr>
          <w:rFonts w:hint="eastAsia"/>
        </w:rPr>
        <w:t>（</w:t>
      </w:r>
      <w:r w:rsidRPr="00FE7089">
        <w:rPr>
          <w:rFonts w:hint="eastAsia"/>
        </w:rPr>
        <w:t>A/59/38），第一部分，第292段。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A9104B" w:rsidTr="007B684B">
      <w:tblPrEx>
        <w:tblCellMar>
          <w:top w:w="0" w:type="dxa"/>
          <w:bottom w:w="0" w:type="dxa"/>
        </w:tblCellMar>
      </w:tblPrEx>
      <w:trPr>
        <w:trHeight w:hRule="exact" w:val="864"/>
      </w:trPr>
      <w:tc>
        <w:tcPr>
          <w:tcW w:w="4838" w:type="dxa"/>
          <w:shd w:val="clear" w:color="auto" w:fill="auto"/>
          <w:vAlign w:val="bottom"/>
        </w:tcPr>
        <w:p w:rsidR="00A9104B" w:rsidRPr="007B684B" w:rsidRDefault="00A9104B" w:rsidP="007B684B">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BB79D4">
            <w:rPr>
              <w:b/>
              <w:sz w:val="17"/>
            </w:rPr>
            <w:t>CEDAW/C/NGA/Q/6</w:t>
          </w:r>
          <w:r>
            <w:rPr>
              <w:b/>
              <w:sz w:val="17"/>
            </w:rPr>
            <w:fldChar w:fldCharType="end"/>
          </w:r>
        </w:p>
      </w:tc>
      <w:tc>
        <w:tcPr>
          <w:tcW w:w="5033" w:type="dxa"/>
          <w:shd w:val="clear" w:color="auto" w:fill="auto"/>
          <w:vAlign w:val="bottom"/>
        </w:tcPr>
        <w:p w:rsidR="00A9104B" w:rsidRDefault="00A9104B" w:rsidP="007B684B">
          <w:pPr>
            <w:pStyle w:val="Header"/>
          </w:pPr>
        </w:p>
      </w:tc>
    </w:tr>
  </w:tbl>
  <w:p w:rsidR="00A9104B" w:rsidRPr="007B684B" w:rsidRDefault="00A9104B" w:rsidP="007B68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A9104B" w:rsidTr="007B684B">
      <w:tblPrEx>
        <w:tblCellMar>
          <w:top w:w="0" w:type="dxa"/>
          <w:bottom w:w="0" w:type="dxa"/>
        </w:tblCellMar>
      </w:tblPrEx>
      <w:trPr>
        <w:trHeight w:hRule="exact" w:val="864"/>
      </w:trPr>
      <w:tc>
        <w:tcPr>
          <w:tcW w:w="4838" w:type="dxa"/>
          <w:shd w:val="clear" w:color="auto" w:fill="auto"/>
          <w:vAlign w:val="bottom"/>
        </w:tcPr>
        <w:p w:rsidR="00A9104B" w:rsidRDefault="00A9104B" w:rsidP="007B684B">
          <w:pPr>
            <w:pStyle w:val="Header"/>
          </w:pPr>
        </w:p>
      </w:tc>
      <w:tc>
        <w:tcPr>
          <w:tcW w:w="5033" w:type="dxa"/>
          <w:shd w:val="clear" w:color="auto" w:fill="auto"/>
          <w:vAlign w:val="bottom"/>
        </w:tcPr>
        <w:p w:rsidR="00A9104B" w:rsidRPr="007B684B" w:rsidRDefault="00A9104B" w:rsidP="007B684B">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BB79D4">
            <w:rPr>
              <w:b/>
              <w:sz w:val="17"/>
            </w:rPr>
            <w:t>CEDAW/C/NGA/Q/6</w:t>
          </w:r>
          <w:r>
            <w:rPr>
              <w:b/>
              <w:sz w:val="17"/>
            </w:rPr>
            <w:fldChar w:fldCharType="end"/>
          </w:r>
        </w:p>
      </w:tc>
    </w:tr>
  </w:tbl>
  <w:p w:rsidR="00A9104B" w:rsidRPr="007B684B" w:rsidRDefault="00A9104B" w:rsidP="007B68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A9104B" w:rsidTr="007B684B">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A9104B" w:rsidRDefault="00A9104B" w:rsidP="007B684B">
          <w:pPr>
            <w:pStyle w:val="Header"/>
            <w:spacing w:after="120"/>
          </w:pPr>
        </w:p>
      </w:tc>
      <w:tc>
        <w:tcPr>
          <w:tcW w:w="1872" w:type="dxa"/>
          <w:tcBorders>
            <w:bottom w:val="single" w:sz="4" w:space="0" w:color="auto"/>
          </w:tcBorders>
          <w:shd w:val="clear" w:color="auto" w:fill="auto"/>
          <w:vAlign w:val="bottom"/>
        </w:tcPr>
        <w:p w:rsidR="00A9104B" w:rsidRPr="007B684B" w:rsidRDefault="00A9104B" w:rsidP="007B684B">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A9104B" w:rsidRDefault="00A9104B" w:rsidP="007B684B">
          <w:pPr>
            <w:pStyle w:val="Header"/>
            <w:spacing w:after="120"/>
          </w:pPr>
        </w:p>
      </w:tc>
      <w:tc>
        <w:tcPr>
          <w:tcW w:w="6523" w:type="dxa"/>
          <w:gridSpan w:val="3"/>
          <w:tcBorders>
            <w:bottom w:val="single" w:sz="4" w:space="0" w:color="auto"/>
          </w:tcBorders>
          <w:shd w:val="clear" w:color="auto" w:fill="auto"/>
          <w:vAlign w:val="bottom"/>
        </w:tcPr>
        <w:p w:rsidR="00A9104B" w:rsidRPr="007B684B" w:rsidRDefault="00A9104B" w:rsidP="007B684B">
          <w:pPr>
            <w:spacing w:after="80" w:line="240" w:lineRule="auto"/>
            <w:jc w:val="right"/>
            <w:rPr>
              <w:rFonts w:ascii="Times New Roman"/>
              <w:position w:val="-4"/>
            </w:rPr>
          </w:pPr>
          <w:r>
            <w:rPr>
              <w:rFonts w:ascii="Times New Roman"/>
              <w:position w:val="-4"/>
              <w:sz w:val="40"/>
            </w:rPr>
            <w:t>CEDAW</w:t>
          </w:r>
          <w:r>
            <w:rPr>
              <w:rFonts w:ascii="Times New Roman"/>
              <w:position w:val="-4"/>
            </w:rPr>
            <w:t>/C/NGA/Q/6</w:t>
          </w:r>
        </w:p>
      </w:tc>
    </w:tr>
    <w:tr w:rsidR="00A9104B" w:rsidRPr="007B684B" w:rsidTr="007B684B">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A9104B" w:rsidRDefault="00A9104B" w:rsidP="007B684B">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A9104B" w:rsidRPr="007B684B" w:rsidRDefault="00A9104B" w:rsidP="007B684B">
          <w:pPr>
            <w:pStyle w:val="Header"/>
            <w:spacing w:before="109"/>
            <w:ind w:left="-72"/>
          </w:pPr>
        </w:p>
      </w:tc>
      <w:tc>
        <w:tcPr>
          <w:tcW w:w="5227" w:type="dxa"/>
          <w:gridSpan w:val="3"/>
          <w:tcBorders>
            <w:top w:val="single" w:sz="4" w:space="0" w:color="auto"/>
            <w:bottom w:val="single" w:sz="12" w:space="0" w:color="auto"/>
          </w:tcBorders>
          <w:shd w:val="clear" w:color="auto" w:fill="auto"/>
        </w:tcPr>
        <w:p w:rsidR="00A9104B" w:rsidRPr="007B684B" w:rsidRDefault="00A9104B" w:rsidP="007B684B">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A9104B" w:rsidRPr="007B684B" w:rsidRDefault="00A9104B" w:rsidP="007B684B">
          <w:pPr>
            <w:pStyle w:val="Header"/>
            <w:spacing w:before="109"/>
          </w:pPr>
        </w:p>
      </w:tc>
      <w:tc>
        <w:tcPr>
          <w:tcW w:w="3180" w:type="dxa"/>
          <w:gridSpan w:val="2"/>
          <w:tcBorders>
            <w:top w:val="single" w:sz="4" w:space="0" w:color="auto"/>
            <w:bottom w:val="single" w:sz="12" w:space="0" w:color="auto"/>
          </w:tcBorders>
          <w:shd w:val="clear" w:color="auto" w:fill="auto"/>
        </w:tcPr>
        <w:p w:rsidR="00A9104B" w:rsidRDefault="00A9104B" w:rsidP="007B684B">
          <w:pPr>
            <w:spacing w:before="240" w:line="240" w:lineRule="exact"/>
            <w:rPr>
              <w:rFonts w:ascii="Times New Roman"/>
            </w:rPr>
          </w:pPr>
          <w:r>
            <w:rPr>
              <w:rFonts w:ascii="Times New Roman"/>
            </w:rPr>
            <w:t>Distr.: General</w:t>
          </w:r>
        </w:p>
        <w:p w:rsidR="00A9104B" w:rsidRDefault="00A9104B" w:rsidP="007B684B">
          <w:pPr>
            <w:spacing w:line="240" w:lineRule="exact"/>
            <w:rPr>
              <w:rFonts w:ascii="Times New Roman"/>
            </w:rPr>
          </w:pPr>
          <w:r>
            <w:rPr>
              <w:rFonts w:ascii="Times New Roman"/>
            </w:rPr>
            <w:t>27 September 2007</w:t>
          </w:r>
        </w:p>
        <w:p w:rsidR="00A9104B" w:rsidRDefault="00A9104B" w:rsidP="007B684B">
          <w:pPr>
            <w:spacing w:line="240" w:lineRule="exact"/>
            <w:rPr>
              <w:rFonts w:ascii="Times New Roman"/>
            </w:rPr>
          </w:pPr>
          <w:r>
            <w:rPr>
              <w:rFonts w:ascii="Times New Roman"/>
            </w:rPr>
            <w:t>Chinese</w:t>
          </w:r>
        </w:p>
        <w:p w:rsidR="00A9104B" w:rsidRPr="007B684B" w:rsidRDefault="00A9104B" w:rsidP="007B684B">
          <w:pPr>
            <w:spacing w:line="240" w:lineRule="exact"/>
            <w:rPr>
              <w:rFonts w:ascii="Times New Roman"/>
            </w:rPr>
          </w:pPr>
          <w:r>
            <w:rPr>
              <w:rFonts w:ascii="Times New Roman"/>
            </w:rPr>
            <w:t>Original: English</w:t>
          </w:r>
        </w:p>
      </w:tc>
    </w:tr>
  </w:tbl>
  <w:p w:rsidR="00A9104B" w:rsidRPr="007B684B" w:rsidRDefault="00A9104B" w:rsidP="007B684B">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52013*"/>
    <w:docVar w:name="CreationDt" w:val="10/10/2007 22:09:34"/>
    <w:docVar w:name="DocCategory" w:val="Doc"/>
    <w:docVar w:name="DocType" w:val="Final"/>
    <w:docVar w:name="FooterJN" w:val="07-52013"/>
    <w:docVar w:name="jobn" w:val="07-52013 (C)"/>
    <w:docVar w:name="jobnDT" w:val="07-52013 (C)   101007"/>
    <w:docVar w:name="jobnDTDT" w:val="07-52013 (C)   101007   101007"/>
    <w:docVar w:name="JobNo" w:val="0752013C"/>
    <w:docVar w:name="OandT" w:val="shi"/>
    <w:docVar w:name="sss1" w:val="CEDAW/C/NGA/Q/6"/>
    <w:docVar w:name="sss2" w:val="-"/>
    <w:docVar w:name="Symbol1" w:val="CEDAW/C/NGA/Q/6"/>
    <w:docVar w:name="Symbol2" w:val="-"/>
  </w:docVars>
  <w:rsids>
    <w:rsidRoot w:val="008D7D9D"/>
    <w:rsid w:val="000125BC"/>
    <w:rsid w:val="00021A2B"/>
    <w:rsid w:val="00037B39"/>
    <w:rsid w:val="00044CA4"/>
    <w:rsid w:val="00045EFE"/>
    <w:rsid w:val="0007337D"/>
    <w:rsid w:val="000758DF"/>
    <w:rsid w:val="00076EB8"/>
    <w:rsid w:val="00095C67"/>
    <w:rsid w:val="000A31F9"/>
    <w:rsid w:val="000C1786"/>
    <w:rsid w:val="000E240F"/>
    <w:rsid w:val="000E49A4"/>
    <w:rsid w:val="000F1058"/>
    <w:rsid w:val="000F3767"/>
    <w:rsid w:val="001113F8"/>
    <w:rsid w:val="001212F9"/>
    <w:rsid w:val="00121328"/>
    <w:rsid w:val="0012708E"/>
    <w:rsid w:val="00141322"/>
    <w:rsid w:val="0015066B"/>
    <w:rsid w:val="00150D3A"/>
    <w:rsid w:val="00153D29"/>
    <w:rsid w:val="00161E69"/>
    <w:rsid w:val="00161F54"/>
    <w:rsid w:val="00170FBE"/>
    <w:rsid w:val="0017506F"/>
    <w:rsid w:val="001B2814"/>
    <w:rsid w:val="001B4F95"/>
    <w:rsid w:val="001C3F7F"/>
    <w:rsid w:val="001C5166"/>
    <w:rsid w:val="001E20EC"/>
    <w:rsid w:val="001E4442"/>
    <w:rsid w:val="001E5A51"/>
    <w:rsid w:val="001F03A7"/>
    <w:rsid w:val="00207135"/>
    <w:rsid w:val="00231575"/>
    <w:rsid w:val="00247382"/>
    <w:rsid w:val="00252E35"/>
    <w:rsid w:val="00254858"/>
    <w:rsid w:val="00257053"/>
    <w:rsid w:val="00266257"/>
    <w:rsid w:val="00271BE6"/>
    <w:rsid w:val="0027454D"/>
    <w:rsid w:val="00280671"/>
    <w:rsid w:val="002814F9"/>
    <w:rsid w:val="00282D17"/>
    <w:rsid w:val="002A4AEF"/>
    <w:rsid w:val="002B305F"/>
    <w:rsid w:val="002B564F"/>
    <w:rsid w:val="002C2254"/>
    <w:rsid w:val="002C3BC9"/>
    <w:rsid w:val="002C54DB"/>
    <w:rsid w:val="002D0694"/>
    <w:rsid w:val="002D5503"/>
    <w:rsid w:val="002E66D5"/>
    <w:rsid w:val="002F41E2"/>
    <w:rsid w:val="00320C99"/>
    <w:rsid w:val="003274A9"/>
    <w:rsid w:val="00331221"/>
    <w:rsid w:val="003649EE"/>
    <w:rsid w:val="00371BC6"/>
    <w:rsid w:val="00373A15"/>
    <w:rsid w:val="00394A02"/>
    <w:rsid w:val="003C7B20"/>
    <w:rsid w:val="003E4565"/>
    <w:rsid w:val="003E748F"/>
    <w:rsid w:val="003E7612"/>
    <w:rsid w:val="00414423"/>
    <w:rsid w:val="004411AD"/>
    <w:rsid w:val="004424EF"/>
    <w:rsid w:val="00453BB0"/>
    <w:rsid w:val="00460162"/>
    <w:rsid w:val="004620A8"/>
    <w:rsid w:val="00487444"/>
    <w:rsid w:val="004A06D1"/>
    <w:rsid w:val="004A11FC"/>
    <w:rsid w:val="004C0224"/>
    <w:rsid w:val="004C3255"/>
    <w:rsid w:val="004D07E1"/>
    <w:rsid w:val="004D1C19"/>
    <w:rsid w:val="004E5249"/>
    <w:rsid w:val="004F29B8"/>
    <w:rsid w:val="0050413E"/>
    <w:rsid w:val="00515657"/>
    <w:rsid w:val="00521275"/>
    <w:rsid w:val="0052216F"/>
    <w:rsid w:val="005232CA"/>
    <w:rsid w:val="00523636"/>
    <w:rsid w:val="005335B9"/>
    <w:rsid w:val="00536CCE"/>
    <w:rsid w:val="005541E4"/>
    <w:rsid w:val="0058302A"/>
    <w:rsid w:val="005B7338"/>
    <w:rsid w:val="005C02AB"/>
    <w:rsid w:val="005D0F04"/>
    <w:rsid w:val="005D3D1D"/>
    <w:rsid w:val="005F12F0"/>
    <w:rsid w:val="005F3273"/>
    <w:rsid w:val="005F34A3"/>
    <w:rsid w:val="00610CF2"/>
    <w:rsid w:val="006479F1"/>
    <w:rsid w:val="00650BEE"/>
    <w:rsid w:val="006520FA"/>
    <w:rsid w:val="0065377D"/>
    <w:rsid w:val="00666F57"/>
    <w:rsid w:val="006740A7"/>
    <w:rsid w:val="00691524"/>
    <w:rsid w:val="006A654B"/>
    <w:rsid w:val="006E2924"/>
    <w:rsid w:val="006E7A26"/>
    <w:rsid w:val="006F2B3D"/>
    <w:rsid w:val="007319E0"/>
    <w:rsid w:val="00737B00"/>
    <w:rsid w:val="0075155C"/>
    <w:rsid w:val="00753A05"/>
    <w:rsid w:val="00756E03"/>
    <w:rsid w:val="00757193"/>
    <w:rsid w:val="00761190"/>
    <w:rsid w:val="00776537"/>
    <w:rsid w:val="00783A25"/>
    <w:rsid w:val="007877F4"/>
    <w:rsid w:val="007B684B"/>
    <w:rsid w:val="007E1B5E"/>
    <w:rsid w:val="007F2278"/>
    <w:rsid w:val="00805783"/>
    <w:rsid w:val="00806F57"/>
    <w:rsid w:val="00806F90"/>
    <w:rsid w:val="00824C19"/>
    <w:rsid w:val="008378D1"/>
    <w:rsid w:val="00846462"/>
    <w:rsid w:val="0086691F"/>
    <w:rsid w:val="00883DB0"/>
    <w:rsid w:val="00884C8F"/>
    <w:rsid w:val="00896D38"/>
    <w:rsid w:val="008C3296"/>
    <w:rsid w:val="008D7D9D"/>
    <w:rsid w:val="008E2D03"/>
    <w:rsid w:val="008F2BB5"/>
    <w:rsid w:val="008F425D"/>
    <w:rsid w:val="008F5472"/>
    <w:rsid w:val="008F5D0F"/>
    <w:rsid w:val="009122E0"/>
    <w:rsid w:val="00913351"/>
    <w:rsid w:val="0096193C"/>
    <w:rsid w:val="009769E1"/>
    <w:rsid w:val="00977E0D"/>
    <w:rsid w:val="00986C04"/>
    <w:rsid w:val="009879AE"/>
    <w:rsid w:val="009A2F76"/>
    <w:rsid w:val="009D2AC2"/>
    <w:rsid w:val="009E1774"/>
    <w:rsid w:val="009E2668"/>
    <w:rsid w:val="009E40A3"/>
    <w:rsid w:val="009E5C8C"/>
    <w:rsid w:val="009F10B1"/>
    <w:rsid w:val="009F47E3"/>
    <w:rsid w:val="009F6938"/>
    <w:rsid w:val="00A0537D"/>
    <w:rsid w:val="00A069AD"/>
    <w:rsid w:val="00A17A85"/>
    <w:rsid w:val="00A20856"/>
    <w:rsid w:val="00A24399"/>
    <w:rsid w:val="00A24CA5"/>
    <w:rsid w:val="00A33D6D"/>
    <w:rsid w:val="00A37345"/>
    <w:rsid w:val="00A5206D"/>
    <w:rsid w:val="00A72E47"/>
    <w:rsid w:val="00A9104B"/>
    <w:rsid w:val="00A95404"/>
    <w:rsid w:val="00A968C5"/>
    <w:rsid w:val="00AA3C28"/>
    <w:rsid w:val="00AB2786"/>
    <w:rsid w:val="00AC6D18"/>
    <w:rsid w:val="00AD4308"/>
    <w:rsid w:val="00AF2A33"/>
    <w:rsid w:val="00AF55EB"/>
    <w:rsid w:val="00B17490"/>
    <w:rsid w:val="00B20CF5"/>
    <w:rsid w:val="00B309DD"/>
    <w:rsid w:val="00B36621"/>
    <w:rsid w:val="00B36D64"/>
    <w:rsid w:val="00B41B48"/>
    <w:rsid w:val="00B56194"/>
    <w:rsid w:val="00B61A34"/>
    <w:rsid w:val="00B64E8E"/>
    <w:rsid w:val="00B65E8B"/>
    <w:rsid w:val="00B8025A"/>
    <w:rsid w:val="00B827B1"/>
    <w:rsid w:val="00BB23A4"/>
    <w:rsid w:val="00BB79D4"/>
    <w:rsid w:val="00BC2276"/>
    <w:rsid w:val="00BD2150"/>
    <w:rsid w:val="00BE1CC3"/>
    <w:rsid w:val="00BE365A"/>
    <w:rsid w:val="00BE47C4"/>
    <w:rsid w:val="00C052A2"/>
    <w:rsid w:val="00C06A4A"/>
    <w:rsid w:val="00C1391A"/>
    <w:rsid w:val="00C14CE6"/>
    <w:rsid w:val="00C15218"/>
    <w:rsid w:val="00C2725D"/>
    <w:rsid w:val="00C42033"/>
    <w:rsid w:val="00C464DD"/>
    <w:rsid w:val="00C76854"/>
    <w:rsid w:val="00C770B4"/>
    <w:rsid w:val="00CA6C97"/>
    <w:rsid w:val="00CB2B1E"/>
    <w:rsid w:val="00CC3E8B"/>
    <w:rsid w:val="00CC4E84"/>
    <w:rsid w:val="00CD5641"/>
    <w:rsid w:val="00CE64AC"/>
    <w:rsid w:val="00CF7718"/>
    <w:rsid w:val="00D177F1"/>
    <w:rsid w:val="00D323B5"/>
    <w:rsid w:val="00D338DB"/>
    <w:rsid w:val="00D42ACC"/>
    <w:rsid w:val="00D47B73"/>
    <w:rsid w:val="00D51DC5"/>
    <w:rsid w:val="00D535EF"/>
    <w:rsid w:val="00D676D7"/>
    <w:rsid w:val="00D71517"/>
    <w:rsid w:val="00D7168D"/>
    <w:rsid w:val="00D874E1"/>
    <w:rsid w:val="00D93FFF"/>
    <w:rsid w:val="00D9586D"/>
    <w:rsid w:val="00DB0932"/>
    <w:rsid w:val="00DC1354"/>
    <w:rsid w:val="00DC2506"/>
    <w:rsid w:val="00DC49FA"/>
    <w:rsid w:val="00DD3D6B"/>
    <w:rsid w:val="00DD4467"/>
    <w:rsid w:val="00DD61C8"/>
    <w:rsid w:val="00DD772B"/>
    <w:rsid w:val="00E050BA"/>
    <w:rsid w:val="00E25442"/>
    <w:rsid w:val="00E25A1F"/>
    <w:rsid w:val="00E37EEB"/>
    <w:rsid w:val="00E6412C"/>
    <w:rsid w:val="00E710FB"/>
    <w:rsid w:val="00E806D9"/>
    <w:rsid w:val="00E82CA2"/>
    <w:rsid w:val="00E95594"/>
    <w:rsid w:val="00EA31C3"/>
    <w:rsid w:val="00EB33AC"/>
    <w:rsid w:val="00EC6F21"/>
    <w:rsid w:val="00EE0913"/>
    <w:rsid w:val="00F01440"/>
    <w:rsid w:val="00F13305"/>
    <w:rsid w:val="00F40463"/>
    <w:rsid w:val="00F46D72"/>
    <w:rsid w:val="00F50336"/>
    <w:rsid w:val="00F62E3F"/>
    <w:rsid w:val="00F67F90"/>
    <w:rsid w:val="00F77B3E"/>
    <w:rsid w:val="00F833CB"/>
    <w:rsid w:val="00F87754"/>
    <w:rsid w:val="00F90A4B"/>
    <w:rsid w:val="00F90C56"/>
    <w:rsid w:val="00FC1CE4"/>
    <w:rsid w:val="00FD594E"/>
    <w:rsid w:val="00FD75B9"/>
    <w:rsid w:val="00FE5FE8"/>
    <w:rsid w:val="00FE708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val="en-US"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SingleTxt"/>
    <w:rsid w:val="001E5A51"/>
    <w:pPr>
      <w:keepNext/>
      <w:keepLines/>
      <w:suppressAutoHyphens/>
      <w:outlineLvl w:val="0"/>
    </w:pPr>
    <w:rPr>
      <w:rFonts w:ascii="SimHei" w:eastAsia="SimHei"/>
      <w:color w:val="FF0000"/>
      <w:sz w:val="24"/>
    </w:rPr>
  </w:style>
  <w:style w:type="paragraph" w:customStyle="1" w:styleId="HCh">
    <w:name w:val="_ H _Ch"/>
    <w:basedOn w:val="H1"/>
    <w:next w:val="SingleTxt"/>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SingleTxt"/>
    <w:rsid w:val="001E5A51"/>
    <w:pPr>
      <w:outlineLvl w:val="1"/>
    </w:pPr>
    <w:rPr>
      <w:rFonts w:ascii="SimHei" w:eastAsia="SimHei"/>
      <w:color w:val="FF0000"/>
      <w:spacing w:val="2"/>
    </w:rPr>
  </w:style>
  <w:style w:type="paragraph" w:customStyle="1" w:styleId="H4">
    <w:name w:val="_ H_4"/>
    <w:basedOn w:val="Normal"/>
    <w:next w:val="Normal"/>
    <w:rsid w:val="001E5A51"/>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1E5A51"/>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semiHidden/>
    <w:rsid w:val="001E5A51"/>
    <w:rPr>
      <w:color w:val="FF00FF"/>
      <w:spacing w:val="0"/>
      <w:w w:val="150"/>
      <w:position w:val="0"/>
      <w:vertAlign w:val="superscript"/>
    </w:rPr>
  </w:style>
  <w:style w:type="character" w:styleId="EndnoteReference">
    <w:name w:val="endnote reference"/>
    <w:basedOn w:val="FootnoteReference"/>
    <w:semiHidden/>
    <w:rsid w:val="001E5A51"/>
    <w:rPr>
      <w:color w:val="FF00FF"/>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eastAsia="zh-CN"/>
    </w:rPr>
  </w:style>
  <w:style w:type="paragraph" w:styleId="Footer">
    <w:name w:val="footer"/>
    <w:rsid w:val="001E5A51"/>
    <w:pPr>
      <w:tabs>
        <w:tab w:val="center" w:pos="4320"/>
        <w:tab w:val="right" w:pos="8640"/>
      </w:tabs>
      <w:jc w:val="both"/>
    </w:pPr>
    <w:rPr>
      <w:b/>
      <w:noProof/>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TotalTime>
  <Pages>1</Pages>
  <Words>533</Words>
  <Characters>3044</Characters>
  <Application>Microsoft Office Word</Application>
  <DocSecurity>4</DocSecurity>
  <Lines>25</Lines>
  <Paragraphs>7</Paragraphs>
  <ScaleCrop>false</ScaleCrop>
  <Company>United Nations</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Peizhen.Shi</dc:creator>
  <cp:keywords/>
  <dc:description/>
  <cp:lastModifiedBy>Peizhen.Shi</cp:lastModifiedBy>
  <cp:revision>27</cp:revision>
  <cp:lastPrinted>2007-10-17T09:05:00Z</cp:lastPrinted>
  <dcterms:created xsi:type="dcterms:W3CDTF">2007-10-10T21:08:00Z</dcterms:created>
  <dcterms:modified xsi:type="dcterms:W3CDTF">2007-10-17T09:07:00Z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0752013</vt:lpwstr>
  </property>
  <property fmtid="{D5CDD505-2E9C-101B-9397-08002B2CF9AE}" pid="3" name="Symbol1">
    <vt:lpwstr>CEDAW/C/NGA/Q/6</vt:lpwstr>
  </property>
  <property fmtid="{D5CDD505-2E9C-101B-9397-08002B2CF9AE}" pid="4" name="Symbol2">
    <vt:lpwstr/>
  </property>
  <property fmtid="{D5CDD505-2E9C-101B-9397-08002B2CF9AE}" pid="5" name="Translator">
    <vt:lpwstr/>
  </property>
  <property fmtid="{D5CDD505-2E9C-101B-9397-08002B2CF9AE}" pid="6" name="Operator">
    <vt:lpwstr>shi</vt:lpwstr>
  </property>
  <property fmtid="{D5CDD505-2E9C-101B-9397-08002B2CF9AE}" pid="7" name="DraftPages">
    <vt:lpwstr> </vt:lpwstr>
  </property>
  <property fmtid="{D5CDD505-2E9C-101B-9397-08002B2CF9AE}" pid="8" name="Comment">
    <vt:lpwstr/>
  </property>
</Properties>
</file>